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framePr w:wrap="around"/>
        <w:rPr>
          <w:rFonts w:ascii="宋体" w:hAnsi="宋体" w:eastAsia="宋体"/>
          <w:sz w:val="24"/>
          <w:szCs w:val="24"/>
        </w:rPr>
      </w:pPr>
      <w:bookmarkStart w:id="48" w:name="_GoBack"/>
      <w:bookmarkEnd w:id="48"/>
      <w:r>
        <w:rPr>
          <w:rFonts w:ascii="宋体" w:hAnsi="宋体" w:eastAsia="宋体"/>
          <w:sz w:val="24"/>
          <w:szCs w:val="24"/>
        </w:rPr>
        <w:t>ICS 13.040.40</w:t>
      </w:r>
    </w:p>
    <w:p>
      <w:pPr>
        <w:pStyle w:val="131"/>
        <w:framePr w:wrap="around"/>
        <w:rPr>
          <w:rFonts w:ascii="宋体" w:hAnsi="宋体" w:eastAsia="宋体"/>
        </w:rPr>
      </w:pPr>
      <w:r>
        <w:rPr>
          <w:rFonts w:ascii="宋体" w:hAnsi="宋体" w:eastAsia="宋体"/>
          <w:sz w:val="24"/>
          <w:szCs w:val="24"/>
        </w:rPr>
        <w:t>CCS Z 60</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31"/>
              <w:framePr w:wrap="around"/>
              <w:rPr>
                <w:rFonts w:ascii="Times New Roman"/>
              </w:rPr>
            </w:pP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8"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oL4RLw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KC+ES8NAgAAIAQAAA4AAAAAAAAAAQAg&#10;AAAAJAEAAGRycy9lMm9Eb2MueG1sUEsFBgAAAAAGAAYAWQEAAKMFA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0"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0"/>
          </w:p>
        </w:tc>
      </w:tr>
    </w:tbl>
    <w:p>
      <w:pPr>
        <w:pStyle w:val="117"/>
        <w:framePr w:wrap="around"/>
      </w:pPr>
      <w:r>
        <w:t>DB</w:t>
      </w:r>
      <w:r>
        <w:fldChar w:fldCharType="begin">
          <w:ffData>
            <w:name w:val="c3"/>
            <w:enabled/>
            <w:calcOnExit w:val="0"/>
            <w:textInput>
              <w:maxLength w:val="2"/>
            </w:textInput>
          </w:ffData>
        </w:fldChar>
      </w:r>
      <w:bookmarkStart w:id="1" w:name="c3"/>
      <w:r>
        <w:instrText xml:space="preserve"> FORMTEXT </w:instrText>
      </w:r>
      <w:r>
        <w:fldChar w:fldCharType="separate"/>
      </w:r>
      <w:r>
        <w:t>32</w:t>
      </w:r>
      <w:r>
        <w:fldChar w:fldCharType="end"/>
      </w:r>
      <w:bookmarkEnd w:id="1"/>
    </w:p>
    <w:p>
      <w:pPr>
        <w:pStyle w:val="118"/>
        <w:framePr w:wrap="around"/>
        <w:rPr>
          <w:rFonts w:ascii="Times New Roman" w:hAnsi="Times New Roman"/>
        </w:rPr>
      </w:pPr>
      <w:r>
        <w:rPr>
          <w:rFonts w:ascii="Times New Roman" w:hAnsi="Times New Roman"/>
        </w:rPr>
        <w:fldChar w:fldCharType="begin">
          <w:ffData>
            <w:name w:val="c4"/>
            <w:enabled/>
            <w:calcOnExit w:val="0"/>
            <w:textInput/>
          </w:ffData>
        </w:fldChar>
      </w:r>
      <w:bookmarkStart w:id="2" w:name="c4"/>
      <w:r>
        <w:rPr>
          <w:rFonts w:ascii="Times New Roman" w:hAnsi="Times New Roman"/>
        </w:rPr>
        <w:instrText xml:space="preserve"> FORMTEXT </w:instrText>
      </w:r>
      <w:r>
        <w:rPr>
          <w:rFonts w:ascii="Times New Roman" w:hAnsi="Times New Roman"/>
        </w:rPr>
        <w:fldChar w:fldCharType="separate"/>
      </w:r>
      <w:r>
        <w:rPr>
          <w:rFonts w:hint="eastAsia" w:ascii="Times New Roman" w:hAnsi="Times New Roman"/>
        </w:rPr>
        <w:t>江苏省</w:t>
      </w:r>
      <w:r>
        <w:rPr>
          <w:rFonts w:ascii="Times New Roman" w:hAnsi="Times New Roman"/>
        </w:rPr>
        <w:fldChar w:fldCharType="end"/>
      </w:r>
      <w:bookmarkEnd w:id="2"/>
      <w:r>
        <w:rPr>
          <w:rFonts w:hint="eastAsia" w:ascii="Times New Roman" w:hAnsi="Times New Roman"/>
        </w:rPr>
        <w:t>地方标准</w:t>
      </w:r>
    </w:p>
    <w:p>
      <w:pPr>
        <w:pStyle w:val="55"/>
        <w:framePr w:wrap="around"/>
        <w:rPr>
          <w:rFonts w:ascii="Times New Roman"/>
        </w:rPr>
      </w:pPr>
      <w:r>
        <w:rPr>
          <w:rFonts w:ascii="Times New Roman"/>
        </w:rPr>
        <w:t>DB</w:t>
      </w:r>
      <w:r>
        <w:rPr>
          <w:rFonts w:ascii="Times New Roman"/>
        </w:rPr>
        <w:fldChar w:fldCharType="begin">
          <w:ffData>
            <w:name w:val="StdNo0"/>
            <w:enabled/>
            <w:calcOnExit w:val="0"/>
            <w:textInput>
              <w:default w:val="XX"/>
              <w:maxLength w:val="2"/>
            </w:textInput>
          </w:ffData>
        </w:fldChar>
      </w:r>
      <w:bookmarkStart w:id="3" w:name="StdNo0"/>
      <w:r>
        <w:rPr>
          <w:rFonts w:ascii="Times New Roman"/>
        </w:rPr>
        <w:instrText xml:space="preserve"> FORMTEXT </w:instrText>
      </w:r>
      <w:r>
        <w:rPr>
          <w:rFonts w:ascii="Times New Roman"/>
        </w:rPr>
        <w:fldChar w:fldCharType="separate"/>
      </w:r>
      <w:r>
        <w:rPr>
          <w:rFonts w:ascii="Times New Roman"/>
        </w:rPr>
        <w:t>32</w:t>
      </w:r>
      <w:r>
        <w:rPr>
          <w:rFonts w:ascii="Times New Roman"/>
        </w:rPr>
        <w:fldChar w:fldCharType="end"/>
      </w:r>
      <w:bookmarkEnd w:id="3"/>
      <w:r>
        <w:rPr>
          <w:rFonts w:ascii="Times New Roman"/>
        </w:rPr>
        <w:t>/</w:t>
      </w:r>
      <w:r>
        <w:rPr>
          <w:rFonts w:ascii="Times New Roman"/>
        </w:rPr>
        <w:fldChar w:fldCharType="begin">
          <w:ffData>
            <w:name w:val="StdNo1"/>
            <w:enabled/>
            <w:calcOnExit w:val="0"/>
            <w:textInput>
              <w:default w:val="XXXXX"/>
            </w:textInput>
          </w:ffData>
        </w:fldChar>
      </w:r>
      <w:bookmarkStart w:id="4" w:name="StdNo1"/>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4"/>
      <w:r>
        <w:rPr>
          <w:rFonts w:ascii="Times New Roman"/>
        </w:rPr>
        <w:t>—</w:t>
      </w:r>
      <w:r>
        <w:rPr>
          <w:rFonts w:ascii="Times New Roman"/>
        </w:rPr>
        <w:fldChar w:fldCharType="begin">
          <w:ffData>
            <w:name w:val="StdNo2"/>
            <w:enabled/>
            <w:calcOnExit w:val="0"/>
            <w:textInput>
              <w:default w:val="2021"/>
              <w:maxLength w:val="4"/>
            </w:textInput>
          </w:ffData>
        </w:fldChar>
      </w:r>
      <w:r>
        <w:rPr>
          <w:rFonts w:ascii="Times New Roman"/>
        </w:rPr>
        <w:instrText xml:space="preserve"> </w:instrText>
      </w:r>
      <w:bookmarkStart w:id="5" w:name="StdNo2"/>
      <w:r>
        <w:rPr>
          <w:rFonts w:ascii="Times New Roman"/>
        </w:rPr>
        <w:instrText xml:space="preserve">FORMTEXT </w:instrText>
      </w:r>
      <w:r>
        <w:rPr>
          <w:rFonts w:ascii="Times New Roman"/>
        </w:rPr>
        <w:fldChar w:fldCharType="separate"/>
      </w:r>
      <w:r>
        <w:rPr>
          <w:rFonts w:ascii="Times New Roman"/>
        </w:rPr>
        <w:t>2021</w:t>
      </w:r>
      <w:r>
        <w:rPr>
          <w:rFonts w:ascii="Times New Roman"/>
        </w:rPr>
        <w:fldChar w:fldCharType="end"/>
      </w:r>
      <w:bookmarkEnd w:id="5"/>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tcPr>
          <w:p>
            <w:pPr>
              <w:pStyle w:val="84"/>
              <w:framePr w:wrap="around"/>
              <w:rPr>
                <w:rFonts w:ascii="Times New Roman"/>
              </w:rPr>
            </w:pP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bookmarkStart w:id="6" w:name="DT"/>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6"/>
          </w:p>
        </w:tc>
      </w:tr>
    </w:tbl>
    <w:p>
      <w:pPr>
        <w:pStyle w:val="55"/>
        <w:framePr w:wrap="around"/>
        <w:rPr>
          <w:rFonts w:ascii="Times New Roman"/>
        </w:rPr>
      </w:pPr>
    </w:p>
    <w:p>
      <w:pPr>
        <w:pStyle w:val="55"/>
        <w:framePr w:wrap="around"/>
        <w:rPr>
          <w:rFonts w:ascii="Times New Roman"/>
        </w:rPr>
      </w:pPr>
    </w:p>
    <w:p>
      <w:pPr>
        <w:pStyle w:val="86"/>
        <w:framePr w:wrap="around"/>
        <w:rPr>
          <w:rFonts w:ascii="Times New Roman"/>
        </w:rPr>
      </w:pPr>
      <w:r>
        <w:rPr>
          <w:rFonts w:ascii="Times New Roman"/>
        </w:rPr>
        <w:fldChar w:fldCharType="begin">
          <w:ffData>
            <w:name w:val="StdName"/>
            <w:enabled/>
            <w:calcOnExit w:val="0"/>
            <w:textInput>
              <w:default w:val="大气污染物综合排放标准"/>
            </w:textInput>
          </w:ffData>
        </w:fldChar>
      </w:r>
      <w:r>
        <w:rPr>
          <w:rFonts w:ascii="Times New Roman"/>
        </w:rPr>
        <w:instrText xml:space="preserve"> </w:instrText>
      </w:r>
      <w:bookmarkStart w:id="7" w:name="StdName"/>
      <w:r>
        <w:rPr>
          <w:rFonts w:ascii="Times New Roman"/>
        </w:rPr>
        <w:instrText xml:space="preserve">FORMTEXT </w:instrText>
      </w:r>
      <w:r>
        <w:rPr>
          <w:rFonts w:ascii="Times New Roman"/>
        </w:rPr>
        <w:fldChar w:fldCharType="separate"/>
      </w:r>
      <w:r>
        <w:rPr>
          <w:rFonts w:hint="eastAsia" w:ascii="Times New Roman"/>
        </w:rPr>
        <w:t>大气污染物综合排放标准</w:t>
      </w:r>
      <w:r>
        <w:rPr>
          <w:rFonts w:ascii="Times New Roman"/>
        </w:rPr>
        <w:fldChar w:fldCharType="end"/>
      </w:r>
      <w:bookmarkEnd w:id="7"/>
    </w:p>
    <w:p>
      <w:pPr>
        <w:pStyle w:val="87"/>
        <w:framePr w:wrap="around"/>
      </w:pPr>
      <w:r>
        <w:fldChar w:fldCharType="begin">
          <w:ffData>
            <w:name w:val="StdEnglishName"/>
            <w:enabled/>
            <w:calcOnExit w:val="0"/>
            <w:textInput>
              <w:default w:val="Integrated emission standard of air pollutants"/>
            </w:textInput>
          </w:ffData>
        </w:fldChar>
      </w:r>
      <w:bookmarkStart w:id="8" w:name="StdEnglishName"/>
      <w:r>
        <w:instrText xml:space="preserve"> FORMTEXT </w:instrText>
      </w:r>
      <w:r>
        <w:fldChar w:fldCharType="separate"/>
      </w:r>
      <w:r>
        <w:t>Integrated emission standard of air pollutants</w:t>
      </w:r>
      <w:r>
        <w:fldChar w:fldCharType="end"/>
      </w:r>
      <w:bookmarkEnd w:id="8"/>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89"/>
              <w:framePr w:wrap="around"/>
              <w:rPr>
                <w:rFonts w:ascii="Times New Roman"/>
              </w:rPr>
            </w:pPr>
            <w:r>
              <w:rPr>
                <w:rFonts w:ascii="Times New Roman"/>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4445" t="0" r="0" b="317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1270" t="0" r="0" b="317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0"/>
              <w:framePr w:wrap="around"/>
              <w:rPr>
                <w:rFonts w:ascii="Times New Roman"/>
              </w:rPr>
            </w:pPr>
            <w:r>
              <w:rPr>
                <w:rFonts w:ascii="Times New Roman"/>
              </w:rPr>
              <w:fldChar w:fldCharType="begin">
                <w:ffData>
                  <w:name w:val="WCRQ"/>
                  <w:enabled/>
                  <w:calcOnExit w:val="0"/>
                  <w:textInput/>
                </w:ffData>
              </w:fldChar>
            </w:r>
            <w:bookmarkStart w:id="9" w:name="WCRQ"/>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9"/>
          </w:p>
        </w:tc>
      </w:tr>
    </w:tbl>
    <w:p>
      <w:pPr>
        <w:pStyle w:val="138"/>
        <w:framePr w:w="4201" w:wrap="around" w:hAnchor="page" w:x="1426" w:y="14022"/>
      </w:pPr>
      <w:r>
        <w:fldChar w:fldCharType="begin">
          <w:ffData>
            <w:name w:val="FY"/>
            <w:enabled/>
            <w:calcOnExit w:val="0"/>
            <w:textInput>
              <w:default w:val="2021"/>
              <w:maxLength w:val="4"/>
            </w:textInput>
          </w:ffData>
        </w:fldChar>
      </w:r>
      <w:r>
        <w:instrText xml:space="preserve"> </w:instrText>
      </w:r>
      <w:bookmarkStart w:id="10" w:name="FY"/>
      <w:r>
        <w:instrText xml:space="preserve">FORMTEXT </w:instrText>
      </w:r>
      <w:r>
        <w:fldChar w:fldCharType="separate"/>
      </w:r>
      <w:r>
        <w:t>2021</w:t>
      </w:r>
      <w:r>
        <w:fldChar w:fldCharType="end"/>
      </w:r>
      <w:bookmarkEnd w:id="10"/>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r>
        <w:fldChar w:fldCharType="begin">
          <w:ffData>
            <w:name w:val="FD"/>
            <w:enabled/>
            <w:calcOnExit w:val="0"/>
            <w:textInput>
              <w:default w:val="XX"/>
              <w:maxLength w:val="2"/>
            </w:textInput>
          </w:ffData>
        </w:fldChar>
      </w:r>
      <w:bookmarkStart w:id="11" w:name="FD"/>
      <w:r>
        <w:instrText xml:space="preserve"> FORMTEXT </w:instrText>
      </w:r>
      <w:r>
        <w:fldChar w:fldCharType="separate"/>
      </w:r>
      <w:r>
        <w:t>XX</w:t>
      </w:r>
      <w:r>
        <w:fldChar w:fldCharType="end"/>
      </w:r>
      <w:bookmarkEnd w:id="11"/>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9"/>
        <w:framePr w:w="3031" w:wrap="around" w:hAnchor="page" w:x="7981" w:y="14023"/>
      </w:pPr>
      <w:r>
        <w:fldChar w:fldCharType="begin">
          <w:ffData>
            <w:name w:val="SY"/>
            <w:enabled/>
            <w:calcOnExit w:val="0"/>
            <w:textInput>
              <w:default w:val="2021"/>
              <w:maxLength w:val="4"/>
            </w:textInput>
          </w:ffData>
        </w:fldChar>
      </w:r>
      <w:r>
        <w:instrText xml:space="preserve"> </w:instrText>
      </w:r>
      <w:bookmarkStart w:id="12" w:name="SY"/>
      <w:r>
        <w:instrText xml:space="preserve">FORMTEXT </w:instrText>
      </w:r>
      <w:r>
        <w:fldChar w:fldCharType="separate"/>
      </w:r>
      <w:r>
        <w:t>2021</w:t>
      </w:r>
      <w:r>
        <w:fldChar w:fldCharType="end"/>
      </w:r>
      <w:bookmarkEnd w:id="12"/>
      <w:r>
        <w:t xml:space="preserve"> - </w:t>
      </w:r>
      <w:r>
        <w:fldChar w:fldCharType="begin">
          <w:ffData>
            <w:name w:val="SM"/>
            <w:enabled/>
            <w:calcOnExit w:val="0"/>
            <w:textInput>
              <w:default w:val="XX"/>
              <w:maxLength w:val="2"/>
            </w:textInput>
          </w:ffData>
        </w:fldChar>
      </w:r>
      <w:bookmarkStart w:id="13" w:name="SM"/>
      <w:r>
        <w:instrText xml:space="preserve"> FORMTEXT </w:instrText>
      </w:r>
      <w:r>
        <w:fldChar w:fldCharType="separate"/>
      </w:r>
      <w:r>
        <w:t>XX</w:t>
      </w:r>
      <w:r>
        <w:fldChar w:fldCharType="end"/>
      </w:r>
      <w:bookmarkEnd w:id="13"/>
      <w:r>
        <w:t xml:space="preserve"> - </w:t>
      </w:r>
      <w:r>
        <w:fldChar w:fldCharType="begin">
          <w:ffData>
            <w:name w:val="SD"/>
            <w:enabled/>
            <w:calcOnExit w:val="0"/>
            <w:textInput>
              <w:default w:val="XX"/>
              <w:maxLength w:val="2"/>
            </w:textInput>
          </w:ffData>
        </w:fldChar>
      </w:r>
      <w:bookmarkStart w:id="14" w:name="SD"/>
      <w:r>
        <w:instrText xml:space="preserve"> FORMTEXT </w:instrText>
      </w:r>
      <w:r>
        <w:fldChar w:fldCharType="separate"/>
      </w:r>
      <w:r>
        <w:t>XX</w:t>
      </w:r>
      <w:r>
        <w:fldChar w:fldCharType="end"/>
      </w:r>
      <w:bookmarkEnd w:id="14"/>
      <w:r>
        <w:rPr>
          <w:rFonts w:hint="eastAsia"/>
        </w:rPr>
        <w:t>实施</w:t>
      </w:r>
    </w:p>
    <w:p>
      <w:pPr>
        <w:framePr w:w="5158" w:h="796" w:hRule="exact" w:hSpace="125" w:vSpace="181" w:wrap="around" w:vAnchor="page" w:hAnchor="page" w:x="2963" w:y="15058" w:anchorLock="1"/>
        <w:spacing w:line="380" w:lineRule="exact"/>
        <w:jc w:val="distribute"/>
        <w:rPr>
          <w:rFonts w:ascii="黑体" w:eastAsia="黑体"/>
          <w:spacing w:val="20"/>
          <w:w w:val="135"/>
          <w:kern w:val="0"/>
          <w:sz w:val="28"/>
          <w:szCs w:val="20"/>
        </w:rPr>
      </w:pPr>
      <w:r>
        <w:rPr>
          <w:rFonts w:hint="eastAsia" w:ascii="黑体" w:eastAsia="黑体"/>
          <w:spacing w:val="20"/>
          <w:w w:val="135"/>
          <w:kern w:val="0"/>
          <w:sz w:val="28"/>
          <w:szCs w:val="20"/>
        </w:rPr>
        <w:t>江苏省生态环境厅</w:t>
      </w:r>
    </w:p>
    <w:p>
      <w:pPr>
        <w:framePr w:w="5158" w:h="796" w:hRule="exact" w:hSpace="125" w:vSpace="181" w:wrap="around" w:vAnchor="page" w:hAnchor="page" w:x="2963" w:y="15058" w:anchorLock="1"/>
        <w:spacing w:line="380" w:lineRule="exact"/>
        <w:jc w:val="distribute"/>
        <w:rPr>
          <w:rFonts w:ascii="黑体" w:eastAsia="黑体"/>
          <w:spacing w:val="20"/>
          <w:w w:val="135"/>
          <w:kern w:val="0"/>
          <w:sz w:val="28"/>
          <w:szCs w:val="20"/>
        </w:rPr>
      </w:pPr>
      <w:r>
        <w:rPr>
          <w:rFonts w:hint="eastAsia" w:ascii="黑体" w:eastAsia="黑体"/>
          <w:spacing w:val="20"/>
          <w:w w:val="135"/>
          <w:kern w:val="0"/>
          <w:sz w:val="28"/>
          <w:szCs w:val="20"/>
        </w:rPr>
        <w:t>江苏省市场监督管理局</w:t>
      </w:r>
    </w:p>
    <w:p>
      <w:pPr>
        <w:pStyle w:val="28"/>
        <w:ind w:firstLine="480"/>
        <w:rPr>
          <w:rFonts w:ascii="Times New Roman"/>
        </w:rPr>
        <w:sectPr>
          <w:headerReference r:id="rId3" w:type="even"/>
          <w:footerReference r:id="rId4" w:type="even"/>
          <w:pgSz w:w="11906" w:h="16838"/>
          <w:pgMar w:top="567" w:right="850" w:bottom="1134" w:left="1418" w:header="0" w:footer="0" w:gutter="0"/>
          <w:pgNumType w:start="1"/>
          <w:cols w:space="425" w:num="1"/>
          <w:docGrid w:type="lines" w:linePitch="312" w:charSpace="0"/>
        </w:sectPr>
      </w:pPr>
      <w:r>
        <w:rPr>
          <w:rFonts w:hAnsi="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4331335</wp:posOffset>
                </wp:positionH>
                <wp:positionV relativeFrom="paragraph">
                  <wp:posOffset>9208770</wp:posOffset>
                </wp:positionV>
                <wp:extent cx="922020" cy="332740"/>
                <wp:effectExtent l="0" t="0" r="0" b="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922020" cy="332740"/>
                        </a:xfrm>
                        <a:prstGeom prst="rect">
                          <a:avLst/>
                        </a:prstGeom>
                        <a:solidFill>
                          <a:schemeClr val="bg1"/>
                        </a:solidFill>
                        <a:ln w="9525">
                          <a:noFill/>
                          <a:miter lim="800000"/>
                        </a:ln>
                      </wps:spPr>
                      <wps:txbx>
                        <w:txbxContent>
                          <w:p>
                            <w:pPr>
                              <w:rPr>
                                <w:rFonts w:ascii="黑体" w:eastAsia="黑体"/>
                                <w:spacing w:val="20"/>
                                <w:w w:val="135"/>
                                <w:kern w:val="0"/>
                                <w:sz w:val="28"/>
                                <w:szCs w:val="20"/>
                              </w:rPr>
                            </w:pPr>
                            <w:r>
                              <w:rPr>
                                <w:rFonts w:hint="eastAsia" w:ascii="黑体" w:eastAsia="黑体"/>
                                <w:spacing w:val="20"/>
                                <w:w w:val="135"/>
                                <w:kern w:val="0"/>
                                <w:sz w:val="28"/>
                                <w:szCs w:val="20"/>
                              </w:rPr>
                              <w:t>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1.05pt;margin-top:725.1pt;height:26.2pt;width:72.6pt;z-index:251659264;mso-width-relative:page;mso-height-relative:margin;mso-height-percent:200;" fillcolor="#FFFFFF [3212]" filled="t" stroked="f" coordsize="21600,21600" o:gfxdata="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93+etkAAAANAQAADwAAAAAAAAABACAAAAAiAAAAZHJzL2Rv&#10;d25yZXYueG1sUEsBAhQAFAAAAAgAh07iQBBzVKE5AgAAVQQAAA4AAAAAAAAAAQAgAAAAKAEAAGRy&#10;cy9lMm9Eb2MueG1sUEsFBgAAAAAGAAYAWQEAANMFAAAAAA==&#10;">
                <v:fill on="t" focussize="0,0"/>
                <v:stroke on="f" miterlimit="8" joinstyle="miter"/>
                <v:imagedata o:title=""/>
                <o:lock v:ext="edit" aspectratio="f"/>
                <v:textbox style="mso-fit-shape-to-text:t;">
                  <w:txbxContent>
                    <w:p>
                      <w:pPr>
                        <w:rPr>
                          <w:rFonts w:ascii="黑体" w:eastAsia="黑体"/>
                          <w:spacing w:val="20"/>
                          <w:w w:val="135"/>
                          <w:kern w:val="0"/>
                          <w:sz w:val="28"/>
                          <w:szCs w:val="20"/>
                        </w:rPr>
                      </w:pPr>
                      <w:r>
                        <w:rPr>
                          <w:rFonts w:hint="eastAsia" w:ascii="黑体" w:eastAsia="黑体"/>
                          <w:spacing w:val="20"/>
                          <w:w w:val="135"/>
                          <w:kern w:val="0"/>
                          <w:sz w:val="28"/>
                          <w:szCs w:val="20"/>
                        </w:rPr>
                        <w:t>发布</w:t>
                      </w:r>
                    </w:p>
                  </w:txbxContent>
                </v:textbox>
              </v:shape>
            </w:pict>
          </mc:Fallback>
        </mc:AlternateContent>
      </w: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58"/>
        <w:outlineLvl w:val="9"/>
        <w:rPr>
          <w:rFonts w:ascii="Times New Roman"/>
        </w:rPr>
      </w:pPr>
      <w:r>
        <w:rPr>
          <w:rFonts w:hint="eastAsia" w:ascii="Times New Roman"/>
        </w:rPr>
        <w:t>目</w:t>
      </w:r>
      <w:bookmarkStart w:id="15" w:name="BKML"/>
      <w:r>
        <w:rPr>
          <w:rFonts w:ascii="Times New Roman"/>
        </w:rPr>
        <w:t> </w:t>
      </w:r>
      <w:r>
        <w:rPr>
          <w:rFonts w:hint="eastAsia" w:ascii="Times New Roman"/>
        </w:rPr>
        <w:t>次</w:t>
      </w:r>
      <w:bookmarkEnd w:id="15"/>
    </w:p>
    <w:p>
      <w:pPr>
        <w:pStyle w:val="24"/>
        <w:rPr>
          <w:rFonts w:asciiTheme="minorHAnsi" w:hAnsiTheme="minorHAnsi" w:eastAsiaTheme="minorEastAsia" w:cstheme="minorBidi"/>
          <w:szCs w:val="22"/>
        </w:rPr>
      </w:pPr>
      <w:r>
        <w:fldChar w:fldCharType="begin"/>
      </w:r>
      <w:r>
        <w:instrText xml:space="preserve"> TOC \o "1-2" \h \z \u </w:instrText>
      </w:r>
      <w:r>
        <w:fldChar w:fldCharType="separate"/>
      </w:r>
      <w:r>
        <w:fldChar w:fldCharType="begin"/>
      </w:r>
      <w:r>
        <w:instrText xml:space="preserve"> HYPERLINK \l "_Toc58415725" </w:instrText>
      </w:r>
      <w:r>
        <w:fldChar w:fldCharType="separate"/>
      </w:r>
      <w:r>
        <w:rPr>
          <w:rStyle w:val="46"/>
        </w:rPr>
        <w:t>前言</w:t>
      </w:r>
      <w:r>
        <w:tab/>
      </w:r>
      <w:r>
        <w:fldChar w:fldCharType="begin"/>
      </w:r>
      <w:r>
        <w:instrText xml:space="preserve"> PAGEREF _Toc58415725 \h </w:instrText>
      </w:r>
      <w:r>
        <w:fldChar w:fldCharType="separate"/>
      </w:r>
      <w:r>
        <w:t>II</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"_Toc58415726" </w:instrText>
      </w:r>
      <w:r>
        <w:fldChar w:fldCharType="separate"/>
      </w:r>
      <w:r>
        <w:rPr>
          <w:rStyle w:val="46"/>
        </w:rPr>
        <w:t>引言</w:t>
      </w:r>
      <w:r>
        <w:tab/>
      </w:r>
      <w:r>
        <w:fldChar w:fldCharType="begin"/>
      </w:r>
      <w:r>
        <w:instrText xml:space="preserve"> PAGEREF _Toc58415726 \h </w:instrText>
      </w:r>
      <w:r>
        <w:fldChar w:fldCharType="separate"/>
      </w:r>
      <w:r>
        <w:t>III</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"_Toc58415727" </w:instrText>
      </w:r>
      <w:r>
        <w:fldChar w:fldCharType="separate"/>
      </w:r>
      <w:r>
        <w:rPr>
          <w:rStyle w:val="46"/>
        </w:rPr>
        <w:t>1  范围</w:t>
      </w:r>
      <w:r>
        <w:tab/>
      </w:r>
      <w:r>
        <w:fldChar w:fldCharType="begin"/>
      </w:r>
      <w:r>
        <w:instrText xml:space="preserve"> PAGEREF _Toc58415727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"_Toc58415728" </w:instrText>
      </w:r>
      <w:r>
        <w:fldChar w:fldCharType="separate"/>
      </w:r>
      <w:r>
        <w:rPr>
          <w:rStyle w:val="46"/>
          <w:rFonts w:hAnsi="黑体"/>
        </w:rPr>
        <w:t xml:space="preserve">2  </w:t>
      </w:r>
      <w:r>
        <w:rPr>
          <w:rStyle w:val="46"/>
        </w:rPr>
        <w:t>规范性引用文件</w:t>
      </w:r>
      <w:r>
        <w:tab/>
      </w:r>
      <w:r>
        <w:fldChar w:fldCharType="begin"/>
      </w:r>
      <w:r>
        <w:instrText xml:space="preserve"> PAGEREF _Toc58415728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"_Toc58415729" </w:instrText>
      </w:r>
      <w:r>
        <w:fldChar w:fldCharType="separate"/>
      </w:r>
      <w:r>
        <w:rPr>
          <w:rStyle w:val="46"/>
          <w:rFonts w:hAnsi="黑体"/>
        </w:rPr>
        <w:t xml:space="preserve">3  </w:t>
      </w:r>
      <w:r>
        <w:rPr>
          <w:rStyle w:val="46"/>
        </w:rPr>
        <w:t>术语和定义</w:t>
      </w:r>
      <w:r>
        <w:tab/>
      </w:r>
      <w:r>
        <w:fldChar w:fldCharType="begin"/>
      </w:r>
      <w:r>
        <w:instrText xml:space="preserve"> PAGEREF _Toc58415729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"_Toc58415730" </w:instrText>
      </w:r>
      <w:r>
        <w:fldChar w:fldCharType="separate"/>
      </w:r>
      <w:r>
        <w:rPr>
          <w:rStyle w:val="46"/>
          <w:rFonts w:hAnsi="黑体"/>
          <w:bCs/>
        </w:rPr>
        <w:t xml:space="preserve">4  </w:t>
      </w:r>
      <w:r>
        <w:rPr>
          <w:rStyle w:val="46"/>
        </w:rPr>
        <w:t>污染物排放控制要求</w:t>
      </w:r>
      <w:r>
        <w:tab/>
      </w:r>
      <w:r>
        <w:fldChar w:fldCharType="begin"/>
      </w:r>
      <w:r>
        <w:instrText xml:space="preserve"> PAGEREF _Toc58415730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"_Toc58415731" </w:instrText>
      </w:r>
      <w:r>
        <w:fldChar w:fldCharType="separate"/>
      </w:r>
      <w:r>
        <w:rPr>
          <w:rStyle w:val="46"/>
          <w:rFonts w:hAnsi="黑体"/>
        </w:rPr>
        <w:t xml:space="preserve">5  </w:t>
      </w:r>
      <w:r>
        <w:rPr>
          <w:rStyle w:val="46"/>
        </w:rPr>
        <w:t>污染物监测要求</w:t>
      </w:r>
      <w:r>
        <w:tab/>
      </w:r>
      <w:r>
        <w:fldChar w:fldCharType="begin"/>
      </w:r>
      <w:r>
        <w:instrText xml:space="preserve"> PAGEREF _Toc58415731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"_Toc58415732" </w:instrText>
      </w:r>
      <w:r>
        <w:fldChar w:fldCharType="separate"/>
      </w:r>
      <w:r>
        <w:rPr>
          <w:rStyle w:val="46"/>
          <w:rFonts w:hAnsi="黑体"/>
        </w:rPr>
        <w:t xml:space="preserve">6 </w:t>
      </w:r>
      <w:r>
        <w:rPr>
          <w:rStyle w:val="46"/>
        </w:rPr>
        <w:t xml:space="preserve"> 实施与监督</w:t>
      </w:r>
      <w:r>
        <w:tab/>
      </w:r>
      <w:r>
        <w:fldChar w:fldCharType="begin"/>
      </w:r>
      <w:r>
        <w:instrText xml:space="preserve"> PAGEREF _Toc58415732 \h </w:instrText>
      </w:r>
      <w:r>
        <w:fldChar w:fldCharType="separate"/>
      </w:r>
      <w:r>
        <w:t>13</w:t>
      </w:r>
      <w:r>
        <w:fldChar w:fldCharType="end"/>
      </w:r>
      <w:r>
        <w:fldChar w:fldCharType="end"/>
      </w:r>
    </w:p>
    <w:p>
      <w:pPr>
        <w:pStyle w:val="28"/>
        <w:rPr>
          <w:rFonts w:ascii="Times New Roman"/>
        </w:rPr>
      </w:pPr>
      <w:r>
        <w:rPr>
          <w:rFonts w:ascii="Times New Roman"/>
        </w:rPr>
        <w:fldChar w:fldCharType="end"/>
      </w:r>
    </w:p>
    <w:p>
      <w:bookmarkStart w:id="16" w:name="_Toc29810616"/>
    </w:p>
    <w:p>
      <w:r>
        <w:br w:type="page"/>
      </w:r>
    </w:p>
    <w:p>
      <w:pPr>
        <w:pStyle w:val="2"/>
        <w:tabs>
          <w:tab w:val="left" w:pos="1355"/>
          <w:tab w:val="center" w:pos="4677"/>
        </w:tabs>
        <w:spacing w:before="312" w:after="560" w:afterLines="0"/>
        <w:rPr>
          <w:szCs w:val="48"/>
        </w:rPr>
      </w:pPr>
      <w:bookmarkStart w:id="17" w:name="_Toc58415725"/>
      <w:bookmarkStart w:id="18" w:name="_Toc57791975"/>
      <w:r>
        <w:rPr>
          <w:sz w:val="32"/>
          <w:szCs w:val="48"/>
        </w:rPr>
        <w:tab/>
      </w:r>
      <w:r>
        <w:rPr>
          <w:sz w:val="32"/>
          <w:szCs w:val="48"/>
        </w:rPr>
        <w:tab/>
      </w:r>
      <w:r>
        <w:rPr>
          <w:rFonts w:hint="eastAsia"/>
          <w:sz w:val="32"/>
          <w:szCs w:val="48"/>
        </w:rPr>
        <w:t>前</w:t>
      </w:r>
      <w:bookmarkStart w:id="19" w:name="BKQY"/>
      <w:r>
        <w:rPr>
          <w:sz w:val="32"/>
          <w:szCs w:val="48"/>
        </w:rPr>
        <w:t> </w:t>
      </w:r>
      <w:r>
        <w:rPr>
          <w:rFonts w:hint="eastAsia"/>
          <w:sz w:val="32"/>
          <w:szCs w:val="48"/>
        </w:rPr>
        <w:t>言</w:t>
      </w:r>
      <w:bookmarkEnd w:id="16"/>
      <w:bookmarkEnd w:id="17"/>
      <w:bookmarkEnd w:id="18"/>
      <w:bookmarkEnd w:id="19"/>
    </w:p>
    <w:p>
      <w:pPr>
        <w:widowControl/>
        <w:spacing w:line="276" w:lineRule="auto"/>
        <w:ind w:firstLine="420" w:firstLineChars="200"/>
        <w:rPr>
          <w:kern w:val="0"/>
          <w:szCs w:val="21"/>
          <w:lang w:val="zh-CN"/>
        </w:rPr>
      </w:pPr>
      <w:bookmarkStart w:id="20" w:name="_Hlk29567925"/>
      <w:r>
        <w:rPr>
          <w:rFonts w:hint="eastAsia"/>
          <w:kern w:val="0"/>
          <w:szCs w:val="21"/>
          <w:lang w:val="zh-CN"/>
        </w:rPr>
        <w:t>本文件按照</w:t>
      </w:r>
      <w:r>
        <w:rPr>
          <w:kern w:val="0"/>
          <w:szCs w:val="21"/>
          <w:lang w:val="zh-CN"/>
        </w:rPr>
        <w:t>GB/T 1.1</w:t>
      </w:r>
      <w:r>
        <w:rPr>
          <w:rFonts w:hAnsi="宋体"/>
          <w:szCs w:val="21"/>
        </w:rPr>
        <w:t>-</w:t>
      </w:r>
      <w:r>
        <w:rPr>
          <w:kern w:val="0"/>
          <w:szCs w:val="21"/>
          <w:lang w:val="zh-CN"/>
        </w:rPr>
        <w:t>20</w:t>
      </w:r>
      <w:bookmarkEnd w:id="20"/>
      <w:bookmarkStart w:id="21" w:name="_Hlk29567928"/>
      <w:r>
        <w:rPr>
          <w:kern w:val="0"/>
          <w:szCs w:val="21"/>
          <w:lang w:val="zh-CN"/>
        </w:rPr>
        <w:t>20</w:t>
      </w:r>
      <w:r>
        <w:rPr>
          <w:rFonts w:hint="eastAsia"/>
          <w:kern w:val="0"/>
          <w:szCs w:val="21"/>
          <w:lang w:val="zh-CN"/>
        </w:rPr>
        <w:t>给出的规则起草。</w:t>
      </w:r>
      <w:bookmarkEnd w:id="21"/>
    </w:p>
    <w:p>
      <w:pPr>
        <w:widowControl/>
        <w:spacing w:line="276" w:lineRule="auto"/>
        <w:ind w:firstLine="420" w:firstLineChars="200"/>
        <w:rPr>
          <w:kern w:val="0"/>
          <w:szCs w:val="21"/>
          <w:lang w:val="zh-CN"/>
        </w:rPr>
      </w:pPr>
      <w:r>
        <w:rPr>
          <w:rFonts w:hint="eastAsia"/>
          <w:kern w:val="0"/>
          <w:szCs w:val="21"/>
          <w:lang w:val="zh-CN"/>
        </w:rPr>
        <w:t>请注意本文件的某些内容可能涉及专利。本文件的发布机构不承担识别专利的责任。</w:t>
      </w:r>
    </w:p>
    <w:p>
      <w:pPr>
        <w:spacing w:line="276" w:lineRule="auto"/>
        <w:ind w:firstLine="420" w:firstLineChars="200"/>
        <w:rPr>
          <w:kern w:val="0"/>
          <w:szCs w:val="21"/>
          <w:lang w:val="zh-CN"/>
        </w:rPr>
      </w:pPr>
      <w:r>
        <w:rPr>
          <w:rFonts w:hint="eastAsia"/>
          <w:kern w:val="0"/>
          <w:szCs w:val="21"/>
          <w:lang w:val="zh-CN"/>
        </w:rPr>
        <w:t>本文件由江苏省生态环境厅提出并归口。</w:t>
      </w:r>
    </w:p>
    <w:p>
      <w:pPr>
        <w:widowControl/>
        <w:snapToGrid w:val="0"/>
        <w:spacing w:line="276" w:lineRule="auto"/>
        <w:ind w:firstLine="420" w:firstLineChars="200"/>
        <w:rPr>
          <w:kern w:val="0"/>
          <w:szCs w:val="21"/>
          <w:lang w:val="zh-CN"/>
        </w:rPr>
      </w:pPr>
      <w:r>
        <w:rPr>
          <w:rFonts w:hint="eastAsia"/>
          <w:kern w:val="0"/>
          <w:szCs w:val="21"/>
          <w:lang w:val="zh-CN"/>
        </w:rPr>
        <w:t>本文件由江苏省人民政府于</w:t>
      </w:r>
      <w:r>
        <w:rPr>
          <w:kern w:val="0"/>
          <w:szCs w:val="21"/>
          <w:lang w:val="zh-CN"/>
        </w:rPr>
        <w:t>**</w:t>
      </w:r>
      <w:r>
        <w:rPr>
          <w:rFonts w:hint="eastAsia"/>
          <w:kern w:val="0"/>
          <w:szCs w:val="21"/>
          <w:lang w:val="zh-CN"/>
        </w:rPr>
        <w:t>年</w:t>
      </w:r>
      <w:r>
        <w:rPr>
          <w:kern w:val="0"/>
          <w:szCs w:val="21"/>
          <w:lang w:val="zh-CN"/>
        </w:rPr>
        <w:t>**</w:t>
      </w:r>
      <w:r>
        <w:rPr>
          <w:rFonts w:hint="eastAsia"/>
          <w:kern w:val="0"/>
          <w:szCs w:val="21"/>
          <w:lang w:val="zh-CN"/>
        </w:rPr>
        <w:t>月</w:t>
      </w:r>
      <w:r>
        <w:rPr>
          <w:kern w:val="0"/>
          <w:szCs w:val="21"/>
          <w:lang w:val="zh-CN"/>
        </w:rPr>
        <w:t>**</w:t>
      </w:r>
      <w:r>
        <w:rPr>
          <w:rFonts w:hint="eastAsia"/>
          <w:kern w:val="0"/>
          <w:szCs w:val="21"/>
          <w:lang w:val="zh-CN"/>
        </w:rPr>
        <w:t>日批准。</w:t>
      </w:r>
    </w:p>
    <w:p>
      <w:pPr>
        <w:widowControl/>
        <w:jc w:val="left"/>
        <w:rPr>
          <w:kern w:val="0"/>
          <w:szCs w:val="21"/>
          <w:lang w:val="zh-CN"/>
        </w:rPr>
      </w:pPr>
      <w:r>
        <w:rPr>
          <w:szCs w:val="21"/>
          <w:lang w:val="zh-CN"/>
        </w:rPr>
        <w:br w:type="page"/>
      </w:r>
    </w:p>
    <w:p>
      <w:pPr>
        <w:pStyle w:val="2"/>
        <w:spacing w:before="312" w:after="560" w:afterLines="0"/>
        <w:jc w:val="center"/>
        <w:rPr>
          <w:szCs w:val="48"/>
        </w:rPr>
      </w:pPr>
      <w:bookmarkStart w:id="22" w:name="_Toc57791976"/>
      <w:bookmarkStart w:id="23" w:name="_Toc58415726"/>
      <w:r>
        <w:rPr>
          <w:rFonts w:hint="eastAsia"/>
          <w:sz w:val="32"/>
          <w:szCs w:val="48"/>
        </w:rPr>
        <w:t>引</w:t>
      </w:r>
      <w:r>
        <w:rPr>
          <w:sz w:val="32"/>
          <w:szCs w:val="48"/>
        </w:rPr>
        <w:t> </w:t>
      </w:r>
      <w:r>
        <w:rPr>
          <w:rFonts w:hint="eastAsia"/>
          <w:sz w:val="32"/>
          <w:szCs w:val="48"/>
        </w:rPr>
        <w:t>言</w:t>
      </w:r>
      <w:bookmarkEnd w:id="22"/>
      <w:bookmarkEnd w:id="23"/>
    </w:p>
    <w:p>
      <w:pPr>
        <w:widowControl/>
        <w:spacing w:line="276" w:lineRule="auto"/>
        <w:ind w:firstLine="420" w:firstLineChars="200"/>
        <w:rPr>
          <w:kern w:val="0"/>
          <w:szCs w:val="21"/>
          <w:lang w:val="zh-CN"/>
        </w:rPr>
      </w:pPr>
      <w:r>
        <w:rPr>
          <w:rFonts w:hint="eastAsia"/>
          <w:kern w:val="0"/>
          <w:szCs w:val="21"/>
          <w:lang w:val="zh-CN"/>
        </w:rPr>
        <w:t>为贯彻《中华人民共和国环境保护法》、《中华人民共和国大气污染防治法》、《江苏省大气污染防治条例》，加强江苏省大气污染物排放控制，改善环境空气质量，保障人体健康，促进固定污染源生产工艺和污染治理水平的提升，制定本文件。</w:t>
      </w:r>
    </w:p>
    <w:p>
      <w:pPr>
        <w:widowControl/>
        <w:spacing w:line="276" w:lineRule="auto"/>
        <w:ind w:firstLine="420" w:firstLineChars="200"/>
        <w:rPr>
          <w:kern w:val="0"/>
          <w:szCs w:val="21"/>
          <w:lang w:val="zh-CN"/>
        </w:rPr>
      </w:pPr>
    </w:p>
    <w:p>
      <w:pPr>
        <w:pStyle w:val="28"/>
        <w:rPr>
          <w:rFonts w:ascii="Times New Roman"/>
        </w:rPr>
        <w:sectPr>
          <w:headerReference r:id="rId5" w:type="default"/>
          <w:footerReference r:id="rId6" w:type="default"/>
          <w:footerReference r:id="rId7" w:type="even"/>
          <w:pgSz w:w="11906" w:h="16838"/>
          <w:pgMar w:top="567" w:right="1134" w:bottom="1134" w:left="1418" w:header="1418" w:footer="1134" w:gutter="0"/>
          <w:pgNumType w:fmt="upperRoman" w:start="1"/>
          <w:cols w:space="425" w:num="1"/>
          <w:formProt w:val="0"/>
          <w:docGrid w:type="lines" w:linePitch="312" w:charSpace="0"/>
        </w:sectPr>
      </w:pPr>
    </w:p>
    <w:p>
      <w:pPr>
        <w:spacing w:before="640" w:after="560" w:line="460" w:lineRule="exact"/>
        <w:jc w:val="center"/>
      </w:pPr>
      <w:r>
        <w:rPr>
          <w:rFonts w:hint="eastAsia" w:ascii="黑体" w:hAnsi="黑体" w:eastAsia="黑体"/>
          <w:sz w:val="32"/>
          <w:szCs w:val="40"/>
        </w:rPr>
        <w:t>大气污染物综合排放标准</w:t>
      </w:r>
    </w:p>
    <w:p>
      <w:pPr>
        <w:pStyle w:val="2"/>
        <w:spacing w:before="312" w:after="312"/>
      </w:pPr>
      <w:bookmarkStart w:id="24" w:name="_Toc57791977"/>
      <w:bookmarkStart w:id="25" w:name="_Toc29810617"/>
      <w:bookmarkStart w:id="26" w:name="_Toc58415727"/>
      <w:r>
        <w:rPr>
          <w:rFonts w:hint="eastAsia"/>
        </w:rPr>
        <w:t>1</w:t>
      </w:r>
      <w:r>
        <w:t xml:space="preserve">  </w:t>
      </w:r>
      <w:r>
        <w:rPr>
          <w:rFonts w:hint="eastAsia"/>
        </w:rPr>
        <w:t>范围</w:t>
      </w:r>
      <w:bookmarkEnd w:id="24"/>
      <w:bookmarkEnd w:id="25"/>
      <w:bookmarkEnd w:id="26"/>
    </w:p>
    <w:p>
      <w:pPr>
        <w:pStyle w:val="28"/>
        <w:overflowPunct w:val="0"/>
        <w:rPr>
          <w:rFonts w:ascii="Times New Roman"/>
        </w:rPr>
      </w:pPr>
      <w:r>
        <w:rPr>
          <w:rFonts w:hint="eastAsia" w:ascii="Times New Roman"/>
        </w:rPr>
        <w:t>本文件规定了江苏省固定污染源大气污染物的排放控制、监测与监督管理要求。</w:t>
      </w:r>
    </w:p>
    <w:p>
      <w:pPr>
        <w:pStyle w:val="28"/>
        <w:overflowPunct w:val="0"/>
        <w:rPr>
          <w:rFonts w:ascii="Times New Roman"/>
        </w:rPr>
      </w:pPr>
      <w:r>
        <w:rPr>
          <w:rFonts w:hint="eastAsia" w:ascii="Times New Roman"/>
        </w:rPr>
        <w:t>本文件适用于江苏省现有固定污染源的大气污染物排放管理，以及建设项目的环境影响评价、</w:t>
      </w:r>
      <w:r>
        <w:rPr>
          <w:rFonts w:hint="eastAsia"/>
          <w:szCs w:val="21"/>
        </w:rPr>
        <w:t>环境保护工程设计、排污许可证核发</w:t>
      </w:r>
      <w:r>
        <w:rPr>
          <w:rFonts w:hint="eastAsia" w:ascii="Times New Roman"/>
        </w:rPr>
        <w:t>及其投产后的大气污染物排放管理。</w:t>
      </w:r>
    </w:p>
    <w:p>
      <w:pPr>
        <w:widowControl/>
        <w:overflowPunct w:val="0"/>
        <w:spacing w:line="276" w:lineRule="auto"/>
        <w:ind w:firstLine="420" w:firstLineChars="200"/>
        <w:rPr>
          <w:kern w:val="0"/>
          <w:szCs w:val="21"/>
          <w:lang w:val="zh-CN"/>
        </w:rPr>
      </w:pPr>
      <w:r>
        <w:rPr>
          <w:rFonts w:hint="eastAsia" w:ascii="宋体" w:hAnsi="宋体" w:cs="宋体"/>
          <w:color w:val="000000"/>
          <w:kern w:val="0"/>
          <w:szCs w:val="21"/>
        </w:rPr>
        <w:t>本文件是大气污染物排放控制的基本要求。</w:t>
      </w:r>
      <w:r>
        <w:rPr>
          <w:rFonts w:hint="eastAsia"/>
          <w:szCs w:val="21"/>
        </w:rPr>
        <w:t>环境影响评价文件或排污许可证要求严于本文件时，按照批复的环境影响评价文件或排污许可证执行。</w:t>
      </w:r>
    </w:p>
    <w:p>
      <w:pPr>
        <w:widowControl/>
        <w:overflowPunct w:val="0"/>
        <w:spacing w:line="276" w:lineRule="auto"/>
        <w:ind w:firstLine="420" w:firstLineChars="200"/>
        <w:rPr>
          <w:kern w:val="0"/>
          <w:szCs w:val="21"/>
          <w:lang w:val="zh-CN"/>
        </w:rPr>
      </w:pPr>
      <w:r>
        <w:rPr>
          <w:rFonts w:hint="eastAsia"/>
          <w:kern w:val="0"/>
          <w:szCs w:val="21"/>
          <w:lang w:val="zh-CN"/>
        </w:rPr>
        <w:t>国家或本省已发布针对行业、通用工艺或设备大气污染物排放标准的，或者恶臭污染物排放标准的，执行相应国家或地方排放标准的规定。</w:t>
      </w:r>
    </w:p>
    <w:p>
      <w:pPr>
        <w:widowControl/>
        <w:overflowPunct w:val="0"/>
        <w:spacing w:line="276" w:lineRule="auto"/>
        <w:ind w:firstLine="420" w:firstLineChars="200"/>
        <w:rPr>
          <w:kern w:val="0"/>
          <w:szCs w:val="21"/>
          <w:lang w:val="zh-CN"/>
        </w:rPr>
      </w:pPr>
      <w:r>
        <w:rPr>
          <w:rFonts w:hint="eastAsia"/>
          <w:kern w:val="0"/>
          <w:szCs w:val="21"/>
          <w:lang w:val="zh-CN"/>
        </w:rPr>
        <w:t>本文件实施后国家及本省另行发布的大气污染物排放标准，按其适用范围执行，不再执行本文件。</w:t>
      </w:r>
    </w:p>
    <w:p>
      <w:pPr>
        <w:pStyle w:val="2"/>
        <w:spacing w:before="312" w:after="312"/>
      </w:pPr>
      <w:bookmarkStart w:id="27" w:name="_Toc58415728"/>
      <w:bookmarkStart w:id="28" w:name="_Toc29810618"/>
      <w:bookmarkStart w:id="29" w:name="_Toc57791978"/>
      <w:r>
        <w:rPr>
          <w:rFonts w:hint="eastAsia" w:hAnsi="黑体"/>
        </w:rPr>
        <w:t>2</w:t>
      </w:r>
      <w:r>
        <w:rPr>
          <w:rFonts w:hAnsi="黑体"/>
        </w:rPr>
        <w:t xml:space="preserve">  </w:t>
      </w:r>
      <w:r>
        <w:rPr>
          <w:rFonts w:hint="eastAsia"/>
        </w:rPr>
        <w:t>规范性引用文件</w:t>
      </w:r>
      <w:bookmarkEnd w:id="27"/>
      <w:bookmarkEnd w:id="28"/>
      <w:bookmarkEnd w:id="29"/>
    </w:p>
    <w:p>
      <w:pPr>
        <w:pStyle w:val="28"/>
        <w:rPr>
          <w:rFonts w:ascii="Times New Roman"/>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ascii="Times New Roman"/>
        </w:rPr>
        <w:t>。</w:t>
      </w:r>
    </w:p>
    <w:p>
      <w:pPr>
        <w:adjustRightInd w:val="0"/>
        <w:ind w:firstLine="420" w:firstLineChars="200"/>
        <w:rPr>
          <w:szCs w:val="21"/>
        </w:rPr>
      </w:pPr>
      <w:r>
        <w:rPr>
          <w:szCs w:val="21"/>
        </w:rPr>
        <w:t>GB/T 4754</w:t>
      </w:r>
      <w:r>
        <w:rPr>
          <w:rFonts w:ascii="宋体" w:hAnsi="宋体"/>
          <w:szCs w:val="21"/>
        </w:rPr>
        <w:t>-</w:t>
      </w:r>
      <w:r>
        <w:rPr>
          <w:szCs w:val="21"/>
        </w:rPr>
        <w:t>2017  国民经济行业分类</w:t>
      </w:r>
    </w:p>
    <w:p>
      <w:pPr>
        <w:pStyle w:val="28"/>
        <w:rPr>
          <w:rFonts w:ascii="Times New Roman"/>
          <w:szCs w:val="21"/>
        </w:rPr>
      </w:pPr>
      <w:r>
        <w:rPr>
          <w:rFonts w:ascii="Times New Roman"/>
          <w:szCs w:val="21"/>
        </w:rPr>
        <w:t>GB 9801  空气质量</w:t>
      </w:r>
      <w:r>
        <w:rPr>
          <w:rFonts w:hint="eastAsia" w:ascii="Times New Roman"/>
          <w:szCs w:val="21"/>
        </w:rPr>
        <w:t xml:space="preserve"> </w:t>
      </w:r>
      <w:r>
        <w:rPr>
          <w:rFonts w:ascii="Times New Roman"/>
          <w:szCs w:val="21"/>
        </w:rPr>
        <w:t>一氧化碳的测定</w:t>
      </w:r>
      <w:r>
        <w:rPr>
          <w:rFonts w:hint="eastAsia" w:ascii="Times New Roman"/>
          <w:szCs w:val="21"/>
        </w:rPr>
        <w:t xml:space="preserve"> </w:t>
      </w:r>
      <w:r>
        <w:rPr>
          <w:rFonts w:ascii="Times New Roman"/>
          <w:szCs w:val="21"/>
        </w:rPr>
        <w:t>非分散红外法</w:t>
      </w:r>
    </w:p>
    <w:p>
      <w:pPr>
        <w:pStyle w:val="28"/>
        <w:rPr>
          <w:rFonts w:ascii="Times New Roman"/>
          <w:szCs w:val="21"/>
        </w:rPr>
      </w:pPr>
      <w:r>
        <w:rPr>
          <w:rFonts w:ascii="Times New Roman"/>
          <w:szCs w:val="21"/>
        </w:rPr>
        <w:t>GB/T 15432  环境空气</w:t>
      </w:r>
      <w:r>
        <w:rPr>
          <w:rFonts w:hint="eastAsia" w:ascii="Times New Roman"/>
          <w:szCs w:val="21"/>
        </w:rPr>
        <w:t xml:space="preserve"> </w:t>
      </w:r>
      <w:r>
        <w:rPr>
          <w:rFonts w:ascii="Times New Roman"/>
          <w:szCs w:val="21"/>
        </w:rPr>
        <w:t>总悬浮颗粒物的测定</w:t>
      </w:r>
      <w:r>
        <w:rPr>
          <w:rFonts w:hint="eastAsia" w:ascii="Times New Roman"/>
          <w:szCs w:val="21"/>
        </w:rPr>
        <w:t xml:space="preserve"> </w:t>
      </w:r>
      <w:r>
        <w:rPr>
          <w:rFonts w:ascii="Times New Roman"/>
          <w:szCs w:val="21"/>
        </w:rPr>
        <w:t>重量法</w:t>
      </w:r>
    </w:p>
    <w:p>
      <w:pPr>
        <w:pStyle w:val="28"/>
        <w:rPr>
          <w:rFonts w:ascii="Times New Roman"/>
          <w:szCs w:val="21"/>
        </w:rPr>
      </w:pPr>
      <w:r>
        <w:rPr>
          <w:rFonts w:ascii="Times New Roman"/>
          <w:szCs w:val="21"/>
        </w:rPr>
        <w:t xml:space="preserve">GB/T 15501  空气质量 硝基苯类（一硝基和二硝基化合物）的测定 锌还原-盐酸萘乙二胺分光光度法 </w:t>
      </w:r>
    </w:p>
    <w:p>
      <w:pPr>
        <w:pStyle w:val="28"/>
        <w:rPr>
          <w:rFonts w:ascii="Times New Roman"/>
          <w:szCs w:val="21"/>
        </w:rPr>
      </w:pPr>
      <w:r>
        <w:rPr>
          <w:rFonts w:ascii="Times New Roman"/>
          <w:szCs w:val="21"/>
        </w:rPr>
        <w:t>GB/T 15502  空气质量 苯胺类的测定 盐酸萘乙二胺分光光度法</w:t>
      </w:r>
    </w:p>
    <w:p>
      <w:pPr>
        <w:pStyle w:val="28"/>
        <w:rPr>
          <w:rFonts w:ascii="Times New Roman"/>
          <w:szCs w:val="21"/>
        </w:rPr>
      </w:pPr>
      <w:r>
        <w:rPr>
          <w:rFonts w:ascii="Times New Roman"/>
          <w:szCs w:val="21"/>
        </w:rPr>
        <w:t>GB/T 15516  空气质量</w:t>
      </w:r>
      <w:r>
        <w:rPr>
          <w:rFonts w:hint="eastAsia" w:ascii="Times New Roman"/>
          <w:szCs w:val="21"/>
        </w:rPr>
        <w:t xml:space="preserve"> </w:t>
      </w:r>
      <w:r>
        <w:rPr>
          <w:rFonts w:ascii="Times New Roman"/>
          <w:szCs w:val="21"/>
        </w:rPr>
        <w:t>甲醛的测定</w:t>
      </w:r>
      <w:r>
        <w:rPr>
          <w:rFonts w:hint="eastAsia" w:ascii="Times New Roman"/>
          <w:szCs w:val="21"/>
        </w:rPr>
        <w:t xml:space="preserve"> </w:t>
      </w:r>
      <w:r>
        <w:rPr>
          <w:rFonts w:ascii="Times New Roman"/>
          <w:szCs w:val="21"/>
        </w:rPr>
        <w:t>乙酰丙酮分光光度法</w:t>
      </w:r>
    </w:p>
    <w:p>
      <w:pPr>
        <w:pStyle w:val="28"/>
        <w:ind w:firstLineChars="0"/>
        <w:rPr>
          <w:rFonts w:ascii="Times New Roman"/>
          <w:szCs w:val="21"/>
        </w:rPr>
      </w:pPr>
      <w:r>
        <w:rPr>
          <w:rFonts w:ascii="Times New Roman"/>
          <w:szCs w:val="21"/>
        </w:rPr>
        <w:t xml:space="preserve">GB/T 16157  </w:t>
      </w:r>
      <w:r>
        <w:rPr>
          <w:rFonts w:hint="eastAsia" w:ascii="Times New Roman"/>
          <w:szCs w:val="21"/>
        </w:rPr>
        <w:t>固定污染源排气中颗粒物测定与气态污染物采样方法</w:t>
      </w:r>
    </w:p>
    <w:p>
      <w:pPr>
        <w:pStyle w:val="28"/>
        <w:rPr>
          <w:rFonts w:ascii="Times New Roman"/>
          <w:szCs w:val="21"/>
        </w:rPr>
      </w:pPr>
      <w:r>
        <w:rPr>
          <w:rFonts w:hint="eastAsia" w:ascii="Times New Roman"/>
          <w:szCs w:val="21"/>
        </w:rPr>
        <w:t>G</w:t>
      </w:r>
      <w:r>
        <w:rPr>
          <w:rFonts w:ascii="Times New Roman"/>
          <w:szCs w:val="21"/>
        </w:rPr>
        <w:t xml:space="preserve">B 37822  </w:t>
      </w:r>
      <w:r>
        <w:rPr>
          <w:rFonts w:hint="eastAsia" w:ascii="Times New Roman"/>
          <w:szCs w:val="21"/>
        </w:rPr>
        <w:t>挥发性有机物无组织排放控制标准</w:t>
      </w:r>
    </w:p>
    <w:p>
      <w:pPr>
        <w:pStyle w:val="28"/>
        <w:rPr>
          <w:rFonts w:ascii="Times New Roman"/>
          <w:szCs w:val="21"/>
        </w:rPr>
      </w:pPr>
      <w:r>
        <w:rPr>
          <w:rFonts w:ascii="Times New Roman"/>
          <w:szCs w:val="21"/>
        </w:rPr>
        <w:t>HJ/T 27  固定污染源排气中氯化氢的测定</w:t>
      </w:r>
      <w:r>
        <w:rPr>
          <w:rFonts w:hint="eastAsia" w:ascii="Times New Roman"/>
          <w:szCs w:val="21"/>
        </w:rPr>
        <w:t xml:space="preserve"> </w:t>
      </w:r>
      <w:r>
        <w:rPr>
          <w:rFonts w:ascii="Times New Roman"/>
          <w:szCs w:val="21"/>
        </w:rPr>
        <w:t>硫氰酸汞分光光度法</w:t>
      </w:r>
    </w:p>
    <w:p>
      <w:pPr>
        <w:pStyle w:val="28"/>
        <w:rPr>
          <w:rFonts w:ascii="Times New Roman"/>
          <w:szCs w:val="21"/>
        </w:rPr>
      </w:pPr>
      <w:r>
        <w:rPr>
          <w:rFonts w:ascii="Times New Roman"/>
          <w:szCs w:val="21"/>
        </w:rPr>
        <w:t>HJ/T 28  固定污染源排气中氰化氢的测定 异烟酸-吡唑啉酮分光光度法</w:t>
      </w:r>
    </w:p>
    <w:p>
      <w:pPr>
        <w:pStyle w:val="28"/>
        <w:rPr>
          <w:rFonts w:ascii="Times New Roman"/>
          <w:szCs w:val="21"/>
        </w:rPr>
      </w:pPr>
      <w:r>
        <w:rPr>
          <w:rFonts w:ascii="Times New Roman"/>
          <w:szCs w:val="21"/>
        </w:rPr>
        <w:t>HJ/T 29  固定污染源排气中铬酸雾的测定 二苯基碳酰二肼分光光度法</w:t>
      </w:r>
    </w:p>
    <w:p>
      <w:pPr>
        <w:pStyle w:val="28"/>
        <w:rPr>
          <w:rFonts w:ascii="Times New Roman"/>
          <w:szCs w:val="21"/>
        </w:rPr>
      </w:pPr>
      <w:r>
        <w:rPr>
          <w:rFonts w:ascii="Times New Roman"/>
          <w:szCs w:val="21"/>
        </w:rPr>
        <w:t>HJ/T 30  固定污染源排气中氯气的测定</w:t>
      </w:r>
      <w:r>
        <w:rPr>
          <w:rFonts w:hint="eastAsia" w:ascii="Times New Roman"/>
          <w:szCs w:val="21"/>
        </w:rPr>
        <w:t xml:space="preserve"> </w:t>
      </w:r>
      <w:r>
        <w:rPr>
          <w:rFonts w:ascii="Times New Roman"/>
          <w:szCs w:val="21"/>
        </w:rPr>
        <w:t>甲基橙分光光度法</w:t>
      </w:r>
    </w:p>
    <w:p>
      <w:pPr>
        <w:pStyle w:val="28"/>
        <w:rPr>
          <w:rFonts w:ascii="Times New Roman"/>
          <w:szCs w:val="21"/>
        </w:rPr>
      </w:pPr>
      <w:r>
        <w:rPr>
          <w:rFonts w:ascii="Times New Roman"/>
          <w:szCs w:val="21"/>
        </w:rPr>
        <w:t>HJ/T 31  固定污染源排气中光气的测定 苯胺紫外分光光度法</w:t>
      </w:r>
    </w:p>
    <w:p>
      <w:pPr>
        <w:pStyle w:val="28"/>
        <w:rPr>
          <w:rFonts w:ascii="Times New Roman"/>
          <w:szCs w:val="21"/>
        </w:rPr>
      </w:pPr>
      <w:r>
        <w:rPr>
          <w:rFonts w:ascii="Times New Roman"/>
          <w:szCs w:val="21"/>
        </w:rPr>
        <w:t>HJ/T 32  固定污染源排气中酚类化合物的测定 4-氨基安替比林分光光度法</w:t>
      </w:r>
    </w:p>
    <w:p>
      <w:pPr>
        <w:pStyle w:val="28"/>
        <w:rPr>
          <w:rFonts w:ascii="Times New Roman"/>
          <w:szCs w:val="21"/>
        </w:rPr>
      </w:pPr>
      <w:r>
        <w:rPr>
          <w:rFonts w:ascii="Times New Roman"/>
          <w:szCs w:val="21"/>
        </w:rPr>
        <w:t>HJ/T 33  固定污染源排气中甲醇的测定 气相色谱法</w:t>
      </w:r>
    </w:p>
    <w:p>
      <w:pPr>
        <w:pStyle w:val="28"/>
        <w:rPr>
          <w:rFonts w:ascii="Times New Roman"/>
          <w:szCs w:val="21"/>
        </w:rPr>
      </w:pPr>
      <w:r>
        <w:rPr>
          <w:rFonts w:ascii="Times New Roman"/>
          <w:szCs w:val="21"/>
        </w:rPr>
        <w:t>HJ/T 34  固定污染源排气中氯乙烯的测定</w:t>
      </w:r>
      <w:r>
        <w:rPr>
          <w:rFonts w:hint="eastAsia" w:ascii="Times New Roman"/>
          <w:szCs w:val="21"/>
        </w:rPr>
        <w:t xml:space="preserve"> </w:t>
      </w:r>
      <w:r>
        <w:rPr>
          <w:rFonts w:ascii="Times New Roman"/>
          <w:szCs w:val="21"/>
        </w:rPr>
        <w:t>气相色谱法</w:t>
      </w:r>
    </w:p>
    <w:p>
      <w:pPr>
        <w:pStyle w:val="28"/>
        <w:rPr>
          <w:rFonts w:ascii="Times New Roman"/>
          <w:szCs w:val="21"/>
        </w:rPr>
      </w:pPr>
      <w:r>
        <w:rPr>
          <w:rFonts w:ascii="Times New Roman"/>
          <w:szCs w:val="21"/>
        </w:rPr>
        <w:t>HJ/T 35  固定污染源排气中乙醛的测定</w:t>
      </w:r>
      <w:r>
        <w:rPr>
          <w:rFonts w:hint="eastAsia" w:ascii="Times New Roman"/>
          <w:szCs w:val="21"/>
        </w:rPr>
        <w:t xml:space="preserve"> </w:t>
      </w:r>
      <w:r>
        <w:rPr>
          <w:rFonts w:ascii="Times New Roman"/>
          <w:szCs w:val="21"/>
        </w:rPr>
        <w:t>气相色谱法</w:t>
      </w:r>
    </w:p>
    <w:p>
      <w:pPr>
        <w:pStyle w:val="28"/>
        <w:rPr>
          <w:rFonts w:ascii="Times New Roman"/>
          <w:szCs w:val="21"/>
        </w:rPr>
      </w:pPr>
      <w:r>
        <w:rPr>
          <w:rFonts w:ascii="Times New Roman"/>
          <w:szCs w:val="21"/>
        </w:rPr>
        <w:t>HJ/T 36  固定污染源排气中</w:t>
      </w:r>
      <w:r>
        <w:rPr>
          <w:rFonts w:hint="eastAsia" w:ascii="Times New Roman"/>
          <w:szCs w:val="21"/>
        </w:rPr>
        <w:t>丙烯醛</w:t>
      </w:r>
      <w:r>
        <w:rPr>
          <w:rFonts w:ascii="Times New Roman"/>
          <w:szCs w:val="21"/>
        </w:rPr>
        <w:t>的测定</w:t>
      </w:r>
      <w:r>
        <w:rPr>
          <w:rFonts w:hint="eastAsia" w:ascii="Times New Roman"/>
          <w:szCs w:val="21"/>
        </w:rPr>
        <w:t xml:space="preserve"> </w:t>
      </w:r>
      <w:r>
        <w:rPr>
          <w:rFonts w:ascii="Times New Roman"/>
          <w:szCs w:val="21"/>
        </w:rPr>
        <w:t>气相色谱法</w:t>
      </w:r>
    </w:p>
    <w:p>
      <w:pPr>
        <w:pStyle w:val="28"/>
        <w:rPr>
          <w:rFonts w:ascii="Times New Roman"/>
          <w:szCs w:val="21"/>
        </w:rPr>
      </w:pPr>
      <w:r>
        <w:rPr>
          <w:rFonts w:ascii="Times New Roman"/>
          <w:szCs w:val="21"/>
        </w:rPr>
        <w:t>HJ/T 37  固定污染源排气中丙烯腈的测定 气相色谱法</w:t>
      </w:r>
    </w:p>
    <w:p>
      <w:pPr>
        <w:pStyle w:val="28"/>
        <w:rPr>
          <w:rFonts w:ascii="Times New Roman"/>
          <w:szCs w:val="21"/>
        </w:rPr>
      </w:pPr>
      <w:r>
        <w:rPr>
          <w:rFonts w:ascii="Times New Roman"/>
          <w:szCs w:val="21"/>
        </w:rPr>
        <w:t>HJ 38  固定污染源</w:t>
      </w:r>
      <w:r>
        <w:rPr>
          <w:rFonts w:hint="eastAsia" w:ascii="Times New Roman"/>
          <w:szCs w:val="21"/>
        </w:rPr>
        <w:t>废气 总烃、甲烷和</w:t>
      </w:r>
      <w:r>
        <w:rPr>
          <w:rFonts w:ascii="Times New Roman"/>
          <w:szCs w:val="21"/>
        </w:rPr>
        <w:t>非甲烷总烃的测定</w:t>
      </w:r>
      <w:r>
        <w:rPr>
          <w:rFonts w:hint="eastAsia" w:ascii="Times New Roman"/>
          <w:szCs w:val="21"/>
        </w:rPr>
        <w:t xml:space="preserve"> </w:t>
      </w:r>
      <w:r>
        <w:rPr>
          <w:rFonts w:ascii="Times New Roman"/>
          <w:szCs w:val="21"/>
        </w:rPr>
        <w:t>气相色谱法</w:t>
      </w:r>
    </w:p>
    <w:p>
      <w:pPr>
        <w:pStyle w:val="28"/>
        <w:rPr>
          <w:rFonts w:ascii="Times New Roman"/>
          <w:szCs w:val="21"/>
        </w:rPr>
      </w:pPr>
      <w:r>
        <w:rPr>
          <w:rFonts w:ascii="Times New Roman"/>
          <w:szCs w:val="21"/>
        </w:rPr>
        <w:t>HJ/T 40  固定污染源排气中苯并</w:t>
      </w:r>
      <w:r>
        <w:rPr>
          <w:rFonts w:hint="eastAsia" w:ascii="Times New Roman"/>
          <w:szCs w:val="21"/>
        </w:rPr>
        <w:t>[</w:t>
      </w:r>
      <w:r>
        <w:rPr>
          <w:rFonts w:ascii="Times New Roman"/>
          <w:szCs w:val="21"/>
        </w:rPr>
        <w:t>a</w:t>
      </w:r>
      <w:r>
        <w:rPr>
          <w:rFonts w:hint="eastAsia" w:ascii="Times New Roman"/>
          <w:szCs w:val="21"/>
        </w:rPr>
        <w:t>]</w:t>
      </w:r>
      <w:r>
        <w:rPr>
          <w:rFonts w:ascii="Times New Roman"/>
          <w:szCs w:val="21"/>
        </w:rPr>
        <w:t>芘的测定</w:t>
      </w:r>
      <w:r>
        <w:rPr>
          <w:rFonts w:hint="eastAsia" w:ascii="Times New Roman"/>
          <w:szCs w:val="21"/>
        </w:rPr>
        <w:t xml:space="preserve"> </w:t>
      </w:r>
      <w:r>
        <w:rPr>
          <w:rFonts w:ascii="Times New Roman"/>
          <w:szCs w:val="21"/>
        </w:rPr>
        <w:t>高效液相色谱法</w:t>
      </w:r>
    </w:p>
    <w:p>
      <w:pPr>
        <w:pStyle w:val="28"/>
        <w:rPr>
          <w:rFonts w:ascii="Times New Roman"/>
          <w:szCs w:val="21"/>
        </w:rPr>
      </w:pPr>
      <w:r>
        <w:rPr>
          <w:rFonts w:ascii="Times New Roman"/>
          <w:szCs w:val="21"/>
        </w:rPr>
        <w:t xml:space="preserve">HJ/T 41  </w:t>
      </w:r>
      <w:r>
        <w:rPr>
          <w:rFonts w:hint="eastAsia" w:ascii="Times New Roman"/>
          <w:szCs w:val="21"/>
        </w:rPr>
        <w:t>固定污染源排气中石棉尘的测定 镜检法</w:t>
      </w:r>
    </w:p>
    <w:p>
      <w:pPr>
        <w:pStyle w:val="28"/>
        <w:rPr>
          <w:rFonts w:ascii="Times New Roman"/>
          <w:szCs w:val="21"/>
        </w:rPr>
      </w:pPr>
      <w:r>
        <w:rPr>
          <w:rFonts w:ascii="Times New Roman"/>
          <w:szCs w:val="21"/>
        </w:rPr>
        <w:t>HJ/T 42  固定污染源排气中氮氧化物的测定</w:t>
      </w:r>
      <w:r>
        <w:rPr>
          <w:rFonts w:hint="eastAsia" w:ascii="Times New Roman"/>
          <w:szCs w:val="21"/>
        </w:rPr>
        <w:t xml:space="preserve"> </w:t>
      </w:r>
      <w:r>
        <w:rPr>
          <w:rFonts w:ascii="Times New Roman"/>
          <w:szCs w:val="21"/>
        </w:rPr>
        <w:t>紫外分光光度法</w:t>
      </w:r>
    </w:p>
    <w:p>
      <w:pPr>
        <w:pStyle w:val="28"/>
        <w:rPr>
          <w:rFonts w:ascii="Times New Roman"/>
          <w:szCs w:val="21"/>
        </w:rPr>
      </w:pPr>
      <w:r>
        <w:rPr>
          <w:rFonts w:ascii="Times New Roman"/>
          <w:szCs w:val="21"/>
        </w:rPr>
        <w:t>HJ/T 43  固定污染源排气中氮氧化物的测定</w:t>
      </w:r>
      <w:r>
        <w:rPr>
          <w:rFonts w:hint="eastAsia" w:ascii="Times New Roman"/>
          <w:szCs w:val="21"/>
        </w:rPr>
        <w:t xml:space="preserve"> </w:t>
      </w:r>
      <w:r>
        <w:rPr>
          <w:rFonts w:ascii="Times New Roman"/>
          <w:szCs w:val="21"/>
        </w:rPr>
        <w:t>盐酸萘乙二胺分光光度法</w:t>
      </w:r>
    </w:p>
    <w:p>
      <w:pPr>
        <w:pStyle w:val="28"/>
        <w:rPr>
          <w:rFonts w:ascii="Times New Roman"/>
          <w:szCs w:val="21"/>
        </w:rPr>
      </w:pPr>
      <w:r>
        <w:rPr>
          <w:rFonts w:ascii="Times New Roman"/>
          <w:szCs w:val="21"/>
        </w:rPr>
        <w:t>HJ/T 44  固定污染源排气中一氧化碳的测定</w:t>
      </w:r>
      <w:r>
        <w:rPr>
          <w:rFonts w:hint="eastAsia" w:ascii="Times New Roman"/>
          <w:szCs w:val="21"/>
        </w:rPr>
        <w:t xml:space="preserve"> </w:t>
      </w:r>
      <w:r>
        <w:rPr>
          <w:rFonts w:ascii="Times New Roman"/>
          <w:szCs w:val="21"/>
        </w:rPr>
        <w:t>非色散红外吸收法</w:t>
      </w:r>
    </w:p>
    <w:p>
      <w:pPr>
        <w:pStyle w:val="28"/>
        <w:rPr>
          <w:rFonts w:ascii="Times New Roman"/>
          <w:szCs w:val="21"/>
        </w:rPr>
      </w:pPr>
      <w:r>
        <w:rPr>
          <w:rFonts w:ascii="Times New Roman"/>
          <w:szCs w:val="21"/>
        </w:rPr>
        <w:t xml:space="preserve">HJ/T 45  </w:t>
      </w:r>
      <w:r>
        <w:rPr>
          <w:rFonts w:hint="eastAsia" w:ascii="Times New Roman"/>
          <w:szCs w:val="21"/>
        </w:rPr>
        <w:t>固定污染源排气中沥青烟的测定 重量法</w:t>
      </w:r>
    </w:p>
    <w:p>
      <w:pPr>
        <w:pStyle w:val="28"/>
        <w:rPr>
          <w:rFonts w:ascii="Times New Roman"/>
          <w:szCs w:val="21"/>
        </w:rPr>
      </w:pPr>
      <w:r>
        <w:rPr>
          <w:rFonts w:ascii="Times New Roman"/>
          <w:szCs w:val="21"/>
        </w:rPr>
        <w:t xml:space="preserve">HJ/T 55  </w:t>
      </w:r>
      <w:r>
        <w:rPr>
          <w:rFonts w:hint="eastAsia" w:ascii="Times New Roman"/>
          <w:szCs w:val="21"/>
        </w:rPr>
        <w:t>大气污染物无组织排放监测技术导则</w:t>
      </w:r>
    </w:p>
    <w:p>
      <w:pPr>
        <w:pStyle w:val="28"/>
        <w:rPr>
          <w:rFonts w:ascii="Times New Roman"/>
          <w:szCs w:val="21"/>
        </w:rPr>
      </w:pPr>
      <w:r>
        <w:rPr>
          <w:rFonts w:ascii="Times New Roman"/>
          <w:szCs w:val="21"/>
        </w:rPr>
        <w:t>HJ/T 56  固定污染源排气中二氧化硫的测定</w:t>
      </w:r>
      <w:r>
        <w:rPr>
          <w:rFonts w:hint="eastAsia" w:ascii="Times New Roman"/>
          <w:szCs w:val="21"/>
        </w:rPr>
        <w:t xml:space="preserve"> </w:t>
      </w:r>
      <w:r>
        <w:rPr>
          <w:rFonts w:ascii="Times New Roman"/>
          <w:szCs w:val="21"/>
        </w:rPr>
        <w:t>碘量法</w:t>
      </w:r>
    </w:p>
    <w:p>
      <w:pPr>
        <w:pStyle w:val="28"/>
        <w:rPr>
          <w:rFonts w:ascii="Times New Roman"/>
          <w:szCs w:val="21"/>
        </w:rPr>
      </w:pPr>
      <w:r>
        <w:rPr>
          <w:rFonts w:ascii="Times New Roman"/>
          <w:szCs w:val="21"/>
        </w:rPr>
        <w:t>HJ 57  固定污染源废气</w:t>
      </w:r>
      <w:r>
        <w:rPr>
          <w:rFonts w:hint="eastAsia" w:ascii="Times New Roman"/>
          <w:szCs w:val="21"/>
        </w:rPr>
        <w:t xml:space="preserve"> </w:t>
      </w:r>
      <w:r>
        <w:rPr>
          <w:rFonts w:ascii="Times New Roman"/>
          <w:szCs w:val="21"/>
        </w:rPr>
        <w:t>二氧化硫的测定</w:t>
      </w:r>
      <w:r>
        <w:rPr>
          <w:rFonts w:hint="eastAsia" w:ascii="Times New Roman"/>
          <w:szCs w:val="21"/>
        </w:rPr>
        <w:t xml:space="preserve"> </w:t>
      </w:r>
      <w:r>
        <w:rPr>
          <w:rFonts w:ascii="Times New Roman"/>
          <w:szCs w:val="21"/>
        </w:rPr>
        <w:t>定电位电解法</w:t>
      </w:r>
    </w:p>
    <w:p>
      <w:pPr>
        <w:pStyle w:val="28"/>
        <w:rPr>
          <w:rFonts w:ascii="Times New Roman"/>
          <w:szCs w:val="21"/>
        </w:rPr>
      </w:pPr>
      <w:r>
        <w:rPr>
          <w:rFonts w:ascii="Times New Roman"/>
          <w:szCs w:val="21"/>
        </w:rPr>
        <w:t xml:space="preserve">HJ/T 63.1  大气固定污染源 镍的测定 火焰原子吸收分光光度法 </w:t>
      </w:r>
    </w:p>
    <w:p>
      <w:pPr>
        <w:pStyle w:val="28"/>
        <w:rPr>
          <w:rFonts w:ascii="Times New Roman"/>
          <w:szCs w:val="21"/>
        </w:rPr>
      </w:pPr>
      <w:r>
        <w:rPr>
          <w:rFonts w:ascii="Times New Roman"/>
          <w:szCs w:val="21"/>
        </w:rPr>
        <w:t xml:space="preserve">HJ/T 63.2  大气固定污染源 镍的测定 石墨炉原子吸收分光光度法 </w:t>
      </w:r>
    </w:p>
    <w:p>
      <w:pPr>
        <w:pStyle w:val="28"/>
        <w:rPr>
          <w:rFonts w:ascii="Times New Roman"/>
          <w:szCs w:val="21"/>
        </w:rPr>
      </w:pPr>
      <w:r>
        <w:rPr>
          <w:rFonts w:ascii="Times New Roman"/>
          <w:szCs w:val="21"/>
        </w:rPr>
        <w:t xml:space="preserve">HJ/T 63.3  大气固定污染源 镍的测定 丁二酮肟-正丁醇萃取分光光度法 </w:t>
      </w:r>
    </w:p>
    <w:p>
      <w:pPr>
        <w:pStyle w:val="28"/>
        <w:rPr>
          <w:rFonts w:ascii="Times New Roman"/>
          <w:szCs w:val="21"/>
        </w:rPr>
      </w:pPr>
      <w:r>
        <w:rPr>
          <w:rFonts w:ascii="Times New Roman"/>
          <w:szCs w:val="21"/>
        </w:rPr>
        <w:t xml:space="preserve">HJ/T 64.1  大气固定污染源 镉的测定 火焰原子吸收分光光度法 </w:t>
      </w:r>
    </w:p>
    <w:p>
      <w:pPr>
        <w:pStyle w:val="28"/>
        <w:rPr>
          <w:rFonts w:ascii="Times New Roman"/>
          <w:szCs w:val="21"/>
        </w:rPr>
      </w:pPr>
      <w:r>
        <w:rPr>
          <w:rFonts w:ascii="Times New Roman"/>
          <w:szCs w:val="21"/>
        </w:rPr>
        <w:t xml:space="preserve">HJ/T 64.2  大气固定污染源 镉的测定 石墨炉原子吸收分光光度法 </w:t>
      </w:r>
    </w:p>
    <w:p>
      <w:pPr>
        <w:pStyle w:val="28"/>
        <w:rPr>
          <w:rFonts w:ascii="Times New Roman"/>
          <w:szCs w:val="21"/>
        </w:rPr>
      </w:pPr>
      <w:r>
        <w:rPr>
          <w:rFonts w:ascii="Times New Roman"/>
          <w:szCs w:val="21"/>
        </w:rPr>
        <w:t xml:space="preserve">HJ/T 64.3  大气固定污染源 镉的测定 对-偶氮苯重氮氨基偶氮苯磺酸分光光度法 </w:t>
      </w:r>
    </w:p>
    <w:p>
      <w:pPr>
        <w:pStyle w:val="28"/>
        <w:rPr>
          <w:rFonts w:ascii="Times New Roman"/>
          <w:szCs w:val="21"/>
        </w:rPr>
      </w:pPr>
      <w:r>
        <w:rPr>
          <w:rFonts w:ascii="Times New Roman"/>
          <w:szCs w:val="21"/>
        </w:rPr>
        <w:t xml:space="preserve">HJ/T 65  大气固定污染源 锡的测定 石墨炉原子吸收分光光度法 </w:t>
      </w:r>
    </w:p>
    <w:p>
      <w:pPr>
        <w:pStyle w:val="28"/>
        <w:rPr>
          <w:rFonts w:ascii="Times New Roman"/>
          <w:szCs w:val="21"/>
        </w:rPr>
      </w:pPr>
      <w:r>
        <w:rPr>
          <w:rFonts w:ascii="Times New Roman"/>
          <w:szCs w:val="21"/>
        </w:rPr>
        <w:t>HJ/T 67  大气固定污染源</w:t>
      </w:r>
      <w:r>
        <w:rPr>
          <w:rFonts w:hint="eastAsia" w:ascii="Times New Roman"/>
          <w:szCs w:val="21"/>
        </w:rPr>
        <w:t xml:space="preserve"> </w:t>
      </w:r>
      <w:r>
        <w:rPr>
          <w:rFonts w:ascii="Times New Roman"/>
          <w:szCs w:val="21"/>
        </w:rPr>
        <w:t>氟化物的测定</w:t>
      </w:r>
      <w:r>
        <w:rPr>
          <w:rFonts w:hint="eastAsia" w:ascii="Times New Roman"/>
          <w:szCs w:val="21"/>
        </w:rPr>
        <w:t xml:space="preserve"> </w:t>
      </w:r>
      <w:r>
        <w:rPr>
          <w:rFonts w:ascii="Times New Roman"/>
          <w:szCs w:val="21"/>
        </w:rPr>
        <w:t>离子选择电极法</w:t>
      </w:r>
    </w:p>
    <w:p>
      <w:pPr>
        <w:pStyle w:val="28"/>
        <w:rPr>
          <w:rFonts w:ascii="Times New Roman"/>
          <w:szCs w:val="21"/>
        </w:rPr>
      </w:pPr>
      <w:r>
        <w:rPr>
          <w:rFonts w:ascii="Times New Roman"/>
          <w:szCs w:val="21"/>
        </w:rPr>
        <w:t>HJ/T 68  大气固定污染源 苯胺类的测定 气相色谱法</w:t>
      </w:r>
    </w:p>
    <w:p>
      <w:pPr>
        <w:pStyle w:val="28"/>
        <w:rPr>
          <w:rFonts w:ascii="Times New Roman"/>
          <w:szCs w:val="21"/>
        </w:rPr>
      </w:pPr>
      <w:r>
        <w:rPr>
          <w:rFonts w:ascii="Times New Roman"/>
          <w:szCs w:val="21"/>
        </w:rPr>
        <w:t>HJ 75  固定污染源烟气（SO</w:t>
      </w:r>
      <w:r>
        <w:rPr>
          <w:rFonts w:ascii="Times New Roman"/>
          <w:szCs w:val="21"/>
          <w:vertAlign w:val="subscript"/>
        </w:rPr>
        <w:t>2</w:t>
      </w:r>
      <w:r>
        <w:rPr>
          <w:rFonts w:ascii="Times New Roman"/>
          <w:szCs w:val="21"/>
        </w:rPr>
        <w:t>、NO</w:t>
      </w:r>
      <w:r>
        <w:rPr>
          <w:rFonts w:hint="eastAsia" w:ascii="Times New Roman"/>
          <w:szCs w:val="21"/>
          <w:vertAlign w:val="subscript"/>
        </w:rPr>
        <w:t>x</w:t>
      </w:r>
      <w:r>
        <w:rPr>
          <w:rFonts w:ascii="Times New Roman"/>
          <w:szCs w:val="21"/>
        </w:rPr>
        <w:t>、颗粒物）排放连续监测技术规范</w:t>
      </w:r>
    </w:p>
    <w:p>
      <w:pPr>
        <w:pStyle w:val="28"/>
        <w:rPr>
          <w:rFonts w:ascii="Times New Roman"/>
          <w:szCs w:val="21"/>
        </w:rPr>
      </w:pPr>
      <w:r>
        <w:rPr>
          <w:rFonts w:hint="eastAsia" w:ascii="Times New Roman"/>
          <w:szCs w:val="21"/>
        </w:rPr>
        <w:t>HJ</w:t>
      </w:r>
      <w:r>
        <w:rPr>
          <w:rFonts w:ascii="Times New Roman"/>
          <w:szCs w:val="21"/>
        </w:rPr>
        <w:t xml:space="preserve"> 77.2  </w:t>
      </w:r>
      <w:r>
        <w:rPr>
          <w:rFonts w:hint="eastAsia" w:ascii="Times New Roman"/>
          <w:szCs w:val="21"/>
        </w:rPr>
        <w:t>环境空气和废气 二噁英类的测定 同位素稀释高分辨气相色谱－高分辨质谱法</w:t>
      </w:r>
    </w:p>
    <w:p>
      <w:pPr>
        <w:pStyle w:val="28"/>
        <w:rPr>
          <w:rFonts w:ascii="Times New Roman"/>
          <w:szCs w:val="21"/>
        </w:rPr>
      </w:pPr>
      <w:r>
        <w:rPr>
          <w:rFonts w:ascii="Times New Roman"/>
          <w:szCs w:val="21"/>
        </w:rPr>
        <w:t xml:space="preserve">HJ/T 373  </w:t>
      </w:r>
      <w:r>
        <w:rPr>
          <w:rFonts w:hint="eastAsia" w:ascii="Times New Roman"/>
          <w:szCs w:val="21"/>
        </w:rPr>
        <w:t>固定污染源监测质量保证与质量控制技术规范</w:t>
      </w:r>
    </w:p>
    <w:p>
      <w:pPr>
        <w:pStyle w:val="28"/>
        <w:rPr>
          <w:rFonts w:ascii="Times New Roman"/>
          <w:szCs w:val="21"/>
        </w:rPr>
      </w:pPr>
      <w:r>
        <w:rPr>
          <w:rFonts w:ascii="Times New Roman"/>
          <w:szCs w:val="21"/>
        </w:rPr>
        <w:t xml:space="preserve">HJ/T 397  </w:t>
      </w:r>
      <w:r>
        <w:rPr>
          <w:rFonts w:hint="eastAsia" w:ascii="Times New Roman"/>
          <w:szCs w:val="21"/>
        </w:rPr>
        <w:t>固定源废气监测技术规范</w:t>
      </w:r>
    </w:p>
    <w:p>
      <w:pPr>
        <w:pStyle w:val="28"/>
        <w:rPr>
          <w:rFonts w:ascii="Times New Roman"/>
          <w:szCs w:val="21"/>
        </w:rPr>
      </w:pPr>
      <w:r>
        <w:rPr>
          <w:rFonts w:ascii="Times New Roman"/>
          <w:szCs w:val="21"/>
        </w:rPr>
        <w:t>HJ 479  环境空气</w:t>
      </w:r>
      <w:r>
        <w:rPr>
          <w:rFonts w:hint="eastAsia" w:ascii="Times New Roman"/>
          <w:szCs w:val="21"/>
        </w:rPr>
        <w:t xml:space="preserve"> </w:t>
      </w:r>
      <w:r>
        <w:rPr>
          <w:rFonts w:ascii="Times New Roman"/>
          <w:szCs w:val="21"/>
        </w:rPr>
        <w:t>氮氧化物</w:t>
      </w:r>
      <w:r>
        <w:rPr>
          <w:rFonts w:hint="eastAsia" w:ascii="Times New Roman"/>
          <w:szCs w:val="21"/>
        </w:rPr>
        <w:t>（</w:t>
      </w:r>
      <w:r>
        <w:rPr>
          <w:rFonts w:ascii="Times New Roman"/>
          <w:szCs w:val="21"/>
        </w:rPr>
        <w:t>一氧化氮和二氧化氮</w:t>
      </w:r>
      <w:r>
        <w:rPr>
          <w:rFonts w:hint="eastAsia" w:ascii="Times New Roman"/>
          <w:szCs w:val="21"/>
        </w:rPr>
        <w:t>）</w:t>
      </w:r>
      <w:r>
        <w:rPr>
          <w:rFonts w:ascii="Times New Roman"/>
          <w:szCs w:val="21"/>
        </w:rPr>
        <w:t>的测定</w:t>
      </w:r>
      <w:r>
        <w:rPr>
          <w:rFonts w:hint="eastAsia" w:ascii="Times New Roman"/>
          <w:szCs w:val="21"/>
        </w:rPr>
        <w:t xml:space="preserve"> </w:t>
      </w:r>
      <w:r>
        <w:rPr>
          <w:rFonts w:ascii="Times New Roman"/>
          <w:szCs w:val="21"/>
        </w:rPr>
        <w:t>盐酸萘乙二胺分光光度法</w:t>
      </w:r>
    </w:p>
    <w:p>
      <w:pPr>
        <w:pStyle w:val="28"/>
        <w:rPr>
          <w:rFonts w:ascii="Times New Roman"/>
          <w:szCs w:val="21"/>
        </w:rPr>
      </w:pPr>
      <w:r>
        <w:rPr>
          <w:rFonts w:ascii="Times New Roman"/>
          <w:szCs w:val="21"/>
        </w:rPr>
        <w:t>HJ 482  环境空气</w:t>
      </w:r>
      <w:r>
        <w:rPr>
          <w:rFonts w:hint="eastAsia" w:ascii="Times New Roman"/>
          <w:szCs w:val="21"/>
        </w:rPr>
        <w:t xml:space="preserve"> </w:t>
      </w:r>
      <w:r>
        <w:rPr>
          <w:rFonts w:ascii="Times New Roman"/>
          <w:szCs w:val="21"/>
        </w:rPr>
        <w:t>二氧化硫的测定</w:t>
      </w:r>
      <w:r>
        <w:rPr>
          <w:rFonts w:hint="eastAsia" w:ascii="Times New Roman"/>
          <w:szCs w:val="21"/>
        </w:rPr>
        <w:t xml:space="preserve"> </w:t>
      </w:r>
      <w:r>
        <w:rPr>
          <w:rFonts w:ascii="Times New Roman"/>
          <w:szCs w:val="21"/>
        </w:rPr>
        <w:t>甲醛吸收-副玫瑰苯胺分光光度法</w:t>
      </w:r>
    </w:p>
    <w:p>
      <w:pPr>
        <w:pStyle w:val="28"/>
        <w:rPr>
          <w:rFonts w:ascii="Times New Roman"/>
          <w:szCs w:val="21"/>
        </w:rPr>
      </w:pPr>
      <w:r>
        <w:rPr>
          <w:rFonts w:ascii="Times New Roman"/>
          <w:szCs w:val="21"/>
        </w:rPr>
        <w:t xml:space="preserve">HJ 483  </w:t>
      </w:r>
      <w:r>
        <w:rPr>
          <w:rFonts w:hint="eastAsia" w:ascii="Times New Roman"/>
          <w:szCs w:val="21"/>
        </w:rPr>
        <w:t>环境空气 二氧化硫的测定 四氯汞盐吸收-副玫瑰苯胺分光光度法</w:t>
      </w:r>
    </w:p>
    <w:p>
      <w:pPr>
        <w:pStyle w:val="28"/>
        <w:rPr>
          <w:rFonts w:ascii="Times New Roman"/>
          <w:szCs w:val="21"/>
        </w:rPr>
      </w:pPr>
      <w:r>
        <w:rPr>
          <w:rFonts w:ascii="Times New Roman"/>
          <w:szCs w:val="21"/>
        </w:rPr>
        <w:t xml:space="preserve">HJ 539  环境空气 铅的测定 石墨炉原子吸收分光光度法 </w:t>
      </w:r>
    </w:p>
    <w:p>
      <w:pPr>
        <w:pStyle w:val="28"/>
        <w:rPr>
          <w:rFonts w:ascii="Times New Roman"/>
          <w:szCs w:val="21"/>
        </w:rPr>
      </w:pPr>
      <w:r>
        <w:rPr>
          <w:rFonts w:ascii="Times New Roman"/>
          <w:szCs w:val="21"/>
        </w:rPr>
        <w:t>HJ 540  固定污染源废气</w:t>
      </w:r>
      <w:r>
        <w:rPr>
          <w:rFonts w:hint="eastAsia" w:ascii="Times New Roman"/>
          <w:szCs w:val="21"/>
        </w:rPr>
        <w:t xml:space="preserve"> </w:t>
      </w:r>
      <w:r>
        <w:rPr>
          <w:rFonts w:ascii="Times New Roman"/>
          <w:szCs w:val="21"/>
        </w:rPr>
        <w:t>砷的测定</w:t>
      </w:r>
      <w:r>
        <w:rPr>
          <w:rFonts w:hint="eastAsia" w:ascii="Times New Roman"/>
          <w:szCs w:val="21"/>
        </w:rPr>
        <w:t xml:space="preserve"> </w:t>
      </w:r>
      <w:r>
        <w:rPr>
          <w:rFonts w:ascii="Times New Roman"/>
          <w:szCs w:val="21"/>
        </w:rPr>
        <w:t>二乙基二硫代氨基甲酸银分光光度法</w:t>
      </w:r>
    </w:p>
    <w:p>
      <w:pPr>
        <w:pStyle w:val="28"/>
        <w:rPr>
          <w:rFonts w:ascii="Times New Roman"/>
          <w:szCs w:val="21"/>
        </w:rPr>
      </w:pPr>
      <w:r>
        <w:rPr>
          <w:rFonts w:hint="eastAsia" w:ascii="Times New Roman"/>
          <w:szCs w:val="21"/>
        </w:rPr>
        <w:t>HJ 542</w:t>
      </w:r>
      <w:r>
        <w:rPr>
          <w:rFonts w:ascii="Times New Roman"/>
          <w:szCs w:val="21"/>
        </w:rPr>
        <w:t xml:space="preserve">  </w:t>
      </w:r>
      <w:r>
        <w:rPr>
          <w:rFonts w:hint="eastAsia" w:ascii="Times New Roman"/>
          <w:szCs w:val="21"/>
        </w:rPr>
        <w:t>环境空气 汞的测定 巯基棉富集-冷原子荧光分光光度法</w:t>
      </w:r>
      <w:r>
        <w:rPr>
          <w:rFonts w:hint="eastAsia"/>
          <w:sz w:val="18"/>
          <w:szCs w:val="18"/>
        </w:rPr>
        <w:t>（暂行）</w:t>
      </w:r>
    </w:p>
    <w:p>
      <w:pPr>
        <w:pStyle w:val="28"/>
        <w:rPr>
          <w:rFonts w:ascii="Times New Roman"/>
          <w:szCs w:val="21"/>
        </w:rPr>
      </w:pPr>
      <w:r>
        <w:rPr>
          <w:rFonts w:hint="eastAsia" w:ascii="Times New Roman"/>
          <w:szCs w:val="21"/>
        </w:rPr>
        <w:t>HJ 543</w:t>
      </w:r>
      <w:r>
        <w:rPr>
          <w:rFonts w:ascii="Times New Roman"/>
          <w:szCs w:val="21"/>
        </w:rPr>
        <w:t xml:space="preserve">  </w:t>
      </w:r>
      <w:r>
        <w:rPr>
          <w:rFonts w:hint="eastAsia" w:ascii="Times New Roman"/>
          <w:szCs w:val="21"/>
        </w:rPr>
        <w:t>固定污染源废气 汞的测定 冷原子荧光分光光度法</w:t>
      </w:r>
      <w:r>
        <w:rPr>
          <w:rFonts w:hint="eastAsia"/>
          <w:sz w:val="18"/>
          <w:szCs w:val="18"/>
        </w:rPr>
        <w:t>（暂行）</w:t>
      </w:r>
      <w:r>
        <w:rPr>
          <w:rFonts w:hint="eastAsia" w:ascii="Times New Roman"/>
          <w:szCs w:val="21"/>
        </w:rPr>
        <w:t xml:space="preserve"> </w:t>
      </w:r>
    </w:p>
    <w:p>
      <w:pPr>
        <w:pStyle w:val="28"/>
        <w:rPr>
          <w:rFonts w:ascii="Times New Roman"/>
          <w:szCs w:val="21"/>
        </w:rPr>
      </w:pPr>
      <w:r>
        <w:rPr>
          <w:rFonts w:ascii="Times New Roman"/>
          <w:szCs w:val="21"/>
        </w:rPr>
        <w:t>HJ 544  固定污染源废气</w:t>
      </w:r>
      <w:r>
        <w:rPr>
          <w:rFonts w:hint="eastAsia" w:ascii="Times New Roman"/>
          <w:szCs w:val="21"/>
        </w:rPr>
        <w:t xml:space="preserve"> </w:t>
      </w:r>
      <w:r>
        <w:rPr>
          <w:rFonts w:ascii="Times New Roman"/>
          <w:szCs w:val="21"/>
        </w:rPr>
        <w:t>硫酸雾的测定</w:t>
      </w:r>
      <w:r>
        <w:rPr>
          <w:rFonts w:hint="eastAsia" w:ascii="Times New Roman"/>
          <w:szCs w:val="21"/>
        </w:rPr>
        <w:t xml:space="preserve"> </w:t>
      </w:r>
      <w:r>
        <w:rPr>
          <w:rFonts w:ascii="Times New Roman"/>
          <w:szCs w:val="21"/>
        </w:rPr>
        <w:t>离子色谱法</w:t>
      </w:r>
    </w:p>
    <w:p>
      <w:pPr>
        <w:pStyle w:val="28"/>
        <w:rPr>
          <w:rFonts w:ascii="Times New Roman"/>
          <w:szCs w:val="21"/>
        </w:rPr>
      </w:pPr>
      <w:r>
        <w:rPr>
          <w:rFonts w:ascii="Times New Roman"/>
          <w:szCs w:val="21"/>
        </w:rPr>
        <w:t>HJ 548  固定污染源废气</w:t>
      </w:r>
      <w:r>
        <w:rPr>
          <w:rFonts w:hint="eastAsia" w:ascii="Times New Roman"/>
          <w:szCs w:val="21"/>
        </w:rPr>
        <w:t xml:space="preserve"> </w:t>
      </w:r>
      <w:r>
        <w:rPr>
          <w:rFonts w:ascii="Times New Roman"/>
          <w:szCs w:val="21"/>
        </w:rPr>
        <w:t>氯化氢的测定</w:t>
      </w:r>
      <w:r>
        <w:rPr>
          <w:rFonts w:hint="eastAsia" w:ascii="Times New Roman"/>
          <w:szCs w:val="21"/>
        </w:rPr>
        <w:t xml:space="preserve"> </w:t>
      </w:r>
      <w:r>
        <w:rPr>
          <w:rFonts w:ascii="Times New Roman"/>
          <w:szCs w:val="21"/>
        </w:rPr>
        <w:t>硝酸银容量法</w:t>
      </w:r>
    </w:p>
    <w:p>
      <w:pPr>
        <w:pStyle w:val="28"/>
        <w:rPr>
          <w:rFonts w:ascii="Times New Roman"/>
          <w:szCs w:val="21"/>
        </w:rPr>
      </w:pPr>
      <w:r>
        <w:rPr>
          <w:rFonts w:ascii="Times New Roman"/>
          <w:szCs w:val="21"/>
        </w:rPr>
        <w:t>HJ 549  环境空气和废气</w:t>
      </w:r>
      <w:r>
        <w:rPr>
          <w:rFonts w:hint="eastAsia" w:ascii="Times New Roman"/>
          <w:szCs w:val="21"/>
        </w:rPr>
        <w:t xml:space="preserve"> </w:t>
      </w:r>
      <w:r>
        <w:rPr>
          <w:rFonts w:ascii="Times New Roman"/>
          <w:szCs w:val="21"/>
        </w:rPr>
        <w:t>氯化氢的测定</w:t>
      </w:r>
      <w:r>
        <w:rPr>
          <w:rFonts w:hint="eastAsia" w:ascii="Times New Roman"/>
          <w:szCs w:val="21"/>
        </w:rPr>
        <w:t xml:space="preserve"> </w:t>
      </w:r>
      <w:r>
        <w:rPr>
          <w:rFonts w:ascii="Times New Roman"/>
          <w:szCs w:val="21"/>
        </w:rPr>
        <w:t>离子色谱法</w:t>
      </w:r>
    </w:p>
    <w:p>
      <w:pPr>
        <w:pStyle w:val="28"/>
        <w:rPr>
          <w:rFonts w:ascii="Times New Roman"/>
          <w:szCs w:val="21"/>
        </w:rPr>
      </w:pPr>
      <w:r>
        <w:rPr>
          <w:rFonts w:ascii="Times New Roman"/>
          <w:szCs w:val="21"/>
        </w:rPr>
        <w:t>HJ 583  环境空气</w:t>
      </w:r>
      <w:r>
        <w:rPr>
          <w:rFonts w:hint="eastAsia" w:ascii="Times New Roman"/>
          <w:szCs w:val="21"/>
        </w:rPr>
        <w:t xml:space="preserve"> </w:t>
      </w:r>
      <w:r>
        <w:rPr>
          <w:rFonts w:ascii="Times New Roman"/>
          <w:szCs w:val="21"/>
        </w:rPr>
        <w:t>苯系物的测定</w:t>
      </w:r>
      <w:r>
        <w:rPr>
          <w:rFonts w:hint="eastAsia" w:ascii="Times New Roman"/>
          <w:szCs w:val="21"/>
        </w:rPr>
        <w:t xml:space="preserve"> </w:t>
      </w:r>
      <w:r>
        <w:rPr>
          <w:rFonts w:ascii="Times New Roman"/>
          <w:szCs w:val="21"/>
        </w:rPr>
        <w:t>固体吸附/热脱附-气相色谱法</w:t>
      </w:r>
    </w:p>
    <w:p>
      <w:pPr>
        <w:pStyle w:val="28"/>
        <w:rPr>
          <w:rFonts w:ascii="Times New Roman"/>
          <w:szCs w:val="21"/>
        </w:rPr>
      </w:pPr>
      <w:r>
        <w:rPr>
          <w:rFonts w:ascii="Times New Roman"/>
          <w:szCs w:val="21"/>
        </w:rPr>
        <w:t>HJ 584  环境空气</w:t>
      </w:r>
      <w:r>
        <w:rPr>
          <w:rFonts w:hint="eastAsia" w:ascii="Times New Roman"/>
          <w:szCs w:val="21"/>
        </w:rPr>
        <w:t xml:space="preserve"> </w:t>
      </w:r>
      <w:r>
        <w:rPr>
          <w:rFonts w:ascii="Times New Roman"/>
          <w:szCs w:val="21"/>
        </w:rPr>
        <w:t>苯系物的测定</w:t>
      </w:r>
      <w:r>
        <w:rPr>
          <w:rFonts w:hint="eastAsia" w:ascii="Times New Roman"/>
          <w:szCs w:val="21"/>
        </w:rPr>
        <w:t xml:space="preserve"> </w:t>
      </w:r>
      <w:r>
        <w:rPr>
          <w:rFonts w:ascii="Times New Roman"/>
          <w:szCs w:val="21"/>
        </w:rPr>
        <w:t>活性炭吸附/二硫化碳解吸-气相色谱法</w:t>
      </w:r>
    </w:p>
    <w:p>
      <w:pPr>
        <w:pStyle w:val="28"/>
        <w:rPr>
          <w:rFonts w:ascii="Times New Roman"/>
          <w:szCs w:val="21"/>
        </w:rPr>
      </w:pPr>
      <w:r>
        <w:rPr>
          <w:rFonts w:ascii="Times New Roman"/>
          <w:szCs w:val="21"/>
        </w:rPr>
        <w:t>HJ 604  环境空气</w:t>
      </w:r>
      <w:r>
        <w:rPr>
          <w:rFonts w:hint="eastAsia" w:ascii="Times New Roman"/>
          <w:szCs w:val="21"/>
        </w:rPr>
        <w:t xml:space="preserve"> </w:t>
      </w:r>
      <w:r>
        <w:rPr>
          <w:rFonts w:ascii="Times New Roman"/>
          <w:szCs w:val="21"/>
        </w:rPr>
        <w:t>总烃、甲烷和非甲烷总烃的测定</w:t>
      </w:r>
      <w:r>
        <w:rPr>
          <w:rFonts w:hint="eastAsia" w:ascii="Times New Roman"/>
          <w:szCs w:val="21"/>
        </w:rPr>
        <w:t xml:space="preserve"> </w:t>
      </w:r>
      <w:r>
        <w:rPr>
          <w:rFonts w:ascii="Times New Roman"/>
          <w:szCs w:val="21"/>
        </w:rPr>
        <w:t>直接进样-气相色谱法</w:t>
      </w:r>
    </w:p>
    <w:p>
      <w:pPr>
        <w:pStyle w:val="28"/>
        <w:rPr>
          <w:rFonts w:ascii="Times New Roman"/>
          <w:szCs w:val="21"/>
        </w:rPr>
      </w:pPr>
      <w:r>
        <w:rPr>
          <w:rFonts w:ascii="Times New Roman"/>
          <w:szCs w:val="21"/>
        </w:rPr>
        <w:t>HJ 629  固定污染源废气</w:t>
      </w:r>
      <w:r>
        <w:rPr>
          <w:rFonts w:hint="eastAsia" w:ascii="Times New Roman"/>
          <w:szCs w:val="21"/>
        </w:rPr>
        <w:t xml:space="preserve"> </w:t>
      </w:r>
      <w:r>
        <w:rPr>
          <w:rFonts w:ascii="Times New Roman"/>
          <w:szCs w:val="21"/>
        </w:rPr>
        <w:t>二氧化硫的测定</w:t>
      </w:r>
      <w:r>
        <w:rPr>
          <w:rFonts w:hint="eastAsia" w:ascii="Times New Roman"/>
          <w:szCs w:val="21"/>
        </w:rPr>
        <w:t xml:space="preserve"> </w:t>
      </w:r>
      <w:r>
        <w:rPr>
          <w:rFonts w:ascii="Times New Roman"/>
          <w:szCs w:val="21"/>
        </w:rPr>
        <w:t>非分散红外吸收法</w:t>
      </w:r>
    </w:p>
    <w:p>
      <w:pPr>
        <w:pStyle w:val="28"/>
        <w:rPr>
          <w:rFonts w:ascii="Times New Roman"/>
          <w:szCs w:val="21"/>
        </w:rPr>
      </w:pPr>
      <w:r>
        <w:rPr>
          <w:rFonts w:ascii="Times New Roman"/>
          <w:szCs w:val="21"/>
        </w:rPr>
        <w:t>HJ 638  环境空气 酚类化合物的测定 高效液相色谱法</w:t>
      </w:r>
    </w:p>
    <w:p>
      <w:pPr>
        <w:pStyle w:val="28"/>
        <w:rPr>
          <w:rFonts w:ascii="Times New Roman"/>
          <w:szCs w:val="21"/>
        </w:rPr>
      </w:pPr>
      <w:r>
        <w:rPr>
          <w:rFonts w:ascii="Times New Roman"/>
          <w:szCs w:val="21"/>
        </w:rPr>
        <w:t>HJ 644  环境空气</w:t>
      </w:r>
      <w:r>
        <w:rPr>
          <w:rFonts w:hint="eastAsia" w:ascii="Times New Roman"/>
          <w:szCs w:val="21"/>
        </w:rPr>
        <w:t xml:space="preserve"> </w:t>
      </w:r>
      <w:r>
        <w:rPr>
          <w:rFonts w:ascii="Times New Roman"/>
          <w:szCs w:val="21"/>
        </w:rPr>
        <w:t>挥发性有机物的测定</w:t>
      </w:r>
      <w:r>
        <w:rPr>
          <w:rFonts w:hint="eastAsia" w:ascii="Times New Roman"/>
          <w:szCs w:val="21"/>
        </w:rPr>
        <w:t xml:space="preserve"> </w:t>
      </w:r>
      <w:r>
        <w:rPr>
          <w:rFonts w:ascii="Times New Roman"/>
          <w:szCs w:val="21"/>
        </w:rPr>
        <w:t>吸附管采样-热脱附/气相色谱-质谱法</w:t>
      </w:r>
    </w:p>
    <w:p>
      <w:pPr>
        <w:pStyle w:val="28"/>
        <w:rPr>
          <w:rFonts w:ascii="Times New Roman"/>
          <w:szCs w:val="21"/>
        </w:rPr>
      </w:pPr>
      <w:r>
        <w:rPr>
          <w:rFonts w:hint="eastAsia" w:ascii="Times New Roman"/>
          <w:szCs w:val="21"/>
        </w:rPr>
        <w:t>HJ 645</w:t>
      </w:r>
      <w:r>
        <w:rPr>
          <w:rFonts w:ascii="Times New Roman"/>
          <w:szCs w:val="21"/>
        </w:rPr>
        <w:t xml:space="preserve">  </w:t>
      </w:r>
      <w:r>
        <w:rPr>
          <w:rFonts w:hint="eastAsia" w:ascii="Times New Roman"/>
          <w:szCs w:val="21"/>
        </w:rPr>
        <w:t>环境空气 挥发性卤代烃的测定 活性炭吸附-二硫化碳解吸/气相色谱法</w:t>
      </w:r>
    </w:p>
    <w:p>
      <w:pPr>
        <w:pStyle w:val="28"/>
        <w:rPr>
          <w:rFonts w:ascii="Times New Roman"/>
          <w:szCs w:val="21"/>
        </w:rPr>
      </w:pPr>
      <w:r>
        <w:rPr>
          <w:rFonts w:ascii="Times New Roman"/>
          <w:szCs w:val="21"/>
        </w:rPr>
        <w:t>HJ 646  环境空气和废气</w:t>
      </w:r>
      <w:r>
        <w:rPr>
          <w:rFonts w:hint="eastAsia" w:ascii="Times New Roman"/>
          <w:szCs w:val="21"/>
        </w:rPr>
        <w:t xml:space="preserve"> </w:t>
      </w:r>
      <w:r>
        <w:rPr>
          <w:rFonts w:ascii="Times New Roman"/>
          <w:szCs w:val="21"/>
        </w:rPr>
        <w:t>气相和颗粒物中多环芳烃的测定</w:t>
      </w:r>
      <w:r>
        <w:rPr>
          <w:rFonts w:hint="eastAsia" w:ascii="Times New Roman"/>
          <w:szCs w:val="21"/>
        </w:rPr>
        <w:t xml:space="preserve"> </w:t>
      </w:r>
      <w:r>
        <w:rPr>
          <w:rFonts w:ascii="Times New Roman"/>
          <w:szCs w:val="21"/>
        </w:rPr>
        <w:t>气相色谱-质谱法</w:t>
      </w:r>
    </w:p>
    <w:p>
      <w:pPr>
        <w:pStyle w:val="28"/>
        <w:rPr>
          <w:rFonts w:ascii="Times New Roman"/>
          <w:szCs w:val="21"/>
        </w:rPr>
      </w:pPr>
      <w:r>
        <w:rPr>
          <w:rFonts w:ascii="Times New Roman"/>
          <w:szCs w:val="21"/>
        </w:rPr>
        <w:t>HJ 647  环境空气和废气</w:t>
      </w:r>
      <w:r>
        <w:rPr>
          <w:rFonts w:hint="eastAsia" w:ascii="Times New Roman"/>
          <w:szCs w:val="21"/>
        </w:rPr>
        <w:t xml:space="preserve"> </w:t>
      </w:r>
      <w:r>
        <w:rPr>
          <w:rFonts w:ascii="Times New Roman"/>
          <w:szCs w:val="21"/>
        </w:rPr>
        <w:t>气相和颗粒物中多环芳烃的测定</w:t>
      </w:r>
      <w:r>
        <w:rPr>
          <w:rFonts w:hint="eastAsia" w:ascii="Times New Roman"/>
          <w:szCs w:val="21"/>
        </w:rPr>
        <w:t xml:space="preserve"> </w:t>
      </w:r>
      <w:r>
        <w:rPr>
          <w:rFonts w:ascii="Times New Roman"/>
          <w:szCs w:val="21"/>
        </w:rPr>
        <w:t>高效液相色谱法</w:t>
      </w:r>
    </w:p>
    <w:p>
      <w:pPr>
        <w:pStyle w:val="28"/>
        <w:rPr>
          <w:rFonts w:ascii="Times New Roman"/>
          <w:szCs w:val="21"/>
        </w:rPr>
      </w:pPr>
      <w:r>
        <w:rPr>
          <w:rFonts w:ascii="Times New Roman"/>
          <w:szCs w:val="21"/>
        </w:rPr>
        <w:t xml:space="preserve">HJ 657  空气和废气 颗粒物中铅等金属元素的测定 电感耦合等离子体质谱法 </w:t>
      </w:r>
    </w:p>
    <w:p>
      <w:pPr>
        <w:pStyle w:val="28"/>
        <w:rPr>
          <w:rFonts w:ascii="Times New Roman"/>
          <w:szCs w:val="21"/>
        </w:rPr>
      </w:pPr>
      <w:r>
        <w:rPr>
          <w:rFonts w:ascii="Times New Roman"/>
          <w:szCs w:val="21"/>
        </w:rPr>
        <w:t>HJ 675  固定污染源排气</w:t>
      </w:r>
      <w:r>
        <w:rPr>
          <w:rFonts w:hint="eastAsia" w:ascii="Times New Roman"/>
          <w:szCs w:val="21"/>
        </w:rPr>
        <w:t xml:space="preserve"> </w:t>
      </w:r>
      <w:r>
        <w:rPr>
          <w:rFonts w:ascii="Times New Roman"/>
          <w:szCs w:val="21"/>
        </w:rPr>
        <w:t>氮氧化物的测定</w:t>
      </w:r>
      <w:r>
        <w:rPr>
          <w:rFonts w:hint="eastAsia" w:ascii="Times New Roman"/>
          <w:szCs w:val="21"/>
        </w:rPr>
        <w:t xml:space="preserve"> </w:t>
      </w:r>
      <w:r>
        <w:rPr>
          <w:rFonts w:ascii="Times New Roman"/>
          <w:szCs w:val="21"/>
        </w:rPr>
        <w:t>酸碱滴定法</w:t>
      </w:r>
    </w:p>
    <w:p>
      <w:pPr>
        <w:pStyle w:val="28"/>
        <w:rPr>
          <w:rFonts w:ascii="Times New Roman"/>
          <w:szCs w:val="21"/>
        </w:rPr>
      </w:pPr>
      <w:r>
        <w:rPr>
          <w:rFonts w:ascii="Times New Roman"/>
          <w:szCs w:val="21"/>
        </w:rPr>
        <w:t>HJ 683  空气</w:t>
      </w:r>
      <w:r>
        <w:rPr>
          <w:rFonts w:hint="eastAsia" w:ascii="Times New Roman"/>
          <w:szCs w:val="21"/>
        </w:rPr>
        <w:t xml:space="preserve"> </w:t>
      </w:r>
      <w:r>
        <w:rPr>
          <w:rFonts w:ascii="Times New Roman"/>
          <w:szCs w:val="21"/>
        </w:rPr>
        <w:t>醛、酮类化合物的测定</w:t>
      </w:r>
      <w:r>
        <w:rPr>
          <w:rFonts w:hint="eastAsia" w:ascii="Times New Roman"/>
          <w:szCs w:val="21"/>
        </w:rPr>
        <w:t xml:space="preserve"> </w:t>
      </w:r>
      <w:r>
        <w:rPr>
          <w:rFonts w:ascii="Times New Roman"/>
          <w:szCs w:val="21"/>
        </w:rPr>
        <w:t>高效液相色谱法</w:t>
      </w:r>
    </w:p>
    <w:p>
      <w:pPr>
        <w:pStyle w:val="28"/>
        <w:rPr>
          <w:rFonts w:ascii="Times New Roman"/>
          <w:szCs w:val="21"/>
        </w:rPr>
      </w:pPr>
      <w:r>
        <w:rPr>
          <w:rFonts w:ascii="Times New Roman"/>
          <w:szCs w:val="21"/>
        </w:rPr>
        <w:t>HJ 684  固定污染源废气 铍的测定 石墨炉原子吸收分光光度法</w:t>
      </w:r>
    </w:p>
    <w:p>
      <w:pPr>
        <w:pStyle w:val="28"/>
        <w:rPr>
          <w:rFonts w:ascii="Times New Roman"/>
          <w:szCs w:val="21"/>
        </w:rPr>
      </w:pPr>
      <w:r>
        <w:rPr>
          <w:rFonts w:ascii="Times New Roman"/>
          <w:szCs w:val="21"/>
        </w:rPr>
        <w:t>HJ 685  固定污染废气 铅的测定 火焰原子吸收分光光度法</w:t>
      </w:r>
    </w:p>
    <w:p>
      <w:pPr>
        <w:pStyle w:val="28"/>
        <w:rPr>
          <w:rFonts w:ascii="Times New Roman"/>
          <w:szCs w:val="21"/>
        </w:rPr>
      </w:pPr>
      <w:r>
        <w:rPr>
          <w:rFonts w:ascii="Times New Roman"/>
          <w:szCs w:val="21"/>
        </w:rPr>
        <w:t>HJ 692  固定污染源废气</w:t>
      </w:r>
      <w:r>
        <w:rPr>
          <w:rFonts w:hint="eastAsia" w:ascii="Times New Roman"/>
          <w:szCs w:val="21"/>
        </w:rPr>
        <w:t xml:space="preserve"> </w:t>
      </w:r>
      <w:r>
        <w:rPr>
          <w:rFonts w:ascii="Times New Roman"/>
          <w:szCs w:val="21"/>
        </w:rPr>
        <w:t>氮氧化物的测定</w:t>
      </w:r>
      <w:r>
        <w:rPr>
          <w:rFonts w:hint="eastAsia" w:ascii="Times New Roman"/>
          <w:szCs w:val="21"/>
        </w:rPr>
        <w:t xml:space="preserve"> </w:t>
      </w:r>
      <w:r>
        <w:rPr>
          <w:rFonts w:ascii="Times New Roman"/>
          <w:szCs w:val="21"/>
        </w:rPr>
        <w:t>非分散红外吸收法</w:t>
      </w:r>
    </w:p>
    <w:p>
      <w:pPr>
        <w:pStyle w:val="28"/>
        <w:rPr>
          <w:rFonts w:ascii="Times New Roman"/>
          <w:szCs w:val="21"/>
        </w:rPr>
      </w:pPr>
      <w:r>
        <w:rPr>
          <w:rFonts w:ascii="Times New Roman"/>
          <w:szCs w:val="21"/>
        </w:rPr>
        <w:t>HJ 693  固定污染源废气</w:t>
      </w:r>
      <w:r>
        <w:rPr>
          <w:rFonts w:hint="eastAsia" w:ascii="Times New Roman"/>
          <w:szCs w:val="21"/>
        </w:rPr>
        <w:t xml:space="preserve"> </w:t>
      </w:r>
      <w:r>
        <w:rPr>
          <w:rFonts w:ascii="Times New Roman"/>
          <w:szCs w:val="21"/>
        </w:rPr>
        <w:t>氮氧化物的测定</w:t>
      </w:r>
      <w:r>
        <w:rPr>
          <w:rFonts w:hint="eastAsia" w:ascii="Times New Roman"/>
          <w:szCs w:val="21"/>
        </w:rPr>
        <w:t xml:space="preserve"> </w:t>
      </w:r>
      <w:r>
        <w:rPr>
          <w:rFonts w:ascii="Times New Roman"/>
          <w:szCs w:val="21"/>
        </w:rPr>
        <w:t>定电位电解法</w:t>
      </w:r>
    </w:p>
    <w:p>
      <w:pPr>
        <w:pStyle w:val="28"/>
        <w:rPr>
          <w:rFonts w:ascii="Times New Roman"/>
          <w:szCs w:val="21"/>
        </w:rPr>
      </w:pPr>
      <w:r>
        <w:rPr>
          <w:rFonts w:ascii="Times New Roman"/>
          <w:szCs w:val="21"/>
        </w:rPr>
        <w:t xml:space="preserve">HJ 732  </w:t>
      </w:r>
      <w:r>
        <w:rPr>
          <w:rFonts w:hint="eastAsia" w:ascii="Times New Roman"/>
          <w:szCs w:val="21"/>
        </w:rPr>
        <w:t>固定污染源废气挥发性有机物的采样</w:t>
      </w:r>
      <w:r>
        <w:rPr>
          <w:rFonts w:ascii="Times New Roman"/>
          <w:szCs w:val="21"/>
        </w:rPr>
        <w:t xml:space="preserve"> </w:t>
      </w:r>
      <w:r>
        <w:rPr>
          <w:rFonts w:hint="eastAsia" w:ascii="Times New Roman"/>
          <w:szCs w:val="21"/>
        </w:rPr>
        <w:t>气袋法</w:t>
      </w:r>
    </w:p>
    <w:p>
      <w:pPr>
        <w:pStyle w:val="28"/>
        <w:rPr>
          <w:rFonts w:ascii="Times New Roman"/>
          <w:szCs w:val="21"/>
        </w:rPr>
      </w:pPr>
      <w:r>
        <w:rPr>
          <w:rFonts w:ascii="Times New Roman"/>
          <w:szCs w:val="21"/>
        </w:rPr>
        <w:t>HJ 734  固定污染源废气</w:t>
      </w:r>
      <w:r>
        <w:rPr>
          <w:rFonts w:hint="eastAsia" w:ascii="Times New Roman"/>
          <w:szCs w:val="21"/>
        </w:rPr>
        <w:t xml:space="preserve"> </w:t>
      </w:r>
      <w:r>
        <w:rPr>
          <w:rFonts w:ascii="Times New Roman"/>
          <w:szCs w:val="21"/>
        </w:rPr>
        <w:t>挥发性有机物的测定</w:t>
      </w:r>
      <w:r>
        <w:rPr>
          <w:rFonts w:hint="eastAsia" w:ascii="Times New Roman"/>
          <w:szCs w:val="21"/>
        </w:rPr>
        <w:t xml:space="preserve"> </w:t>
      </w:r>
      <w:r>
        <w:rPr>
          <w:rFonts w:ascii="Times New Roman"/>
          <w:szCs w:val="21"/>
        </w:rPr>
        <w:t>固相吸附-热脱附/气相色谱-质谱法</w:t>
      </w:r>
    </w:p>
    <w:p>
      <w:pPr>
        <w:pStyle w:val="28"/>
        <w:rPr>
          <w:rFonts w:ascii="Times New Roman"/>
          <w:szCs w:val="21"/>
        </w:rPr>
      </w:pPr>
      <w:r>
        <w:rPr>
          <w:rFonts w:ascii="Times New Roman"/>
          <w:szCs w:val="21"/>
        </w:rPr>
        <w:t xml:space="preserve">HJ 738  环境空气 硝基苯类化合物的测定 气相色谱法 </w:t>
      </w:r>
    </w:p>
    <w:p>
      <w:pPr>
        <w:pStyle w:val="28"/>
        <w:rPr>
          <w:rFonts w:ascii="Times New Roman"/>
          <w:szCs w:val="21"/>
        </w:rPr>
      </w:pPr>
      <w:r>
        <w:rPr>
          <w:rFonts w:ascii="Times New Roman"/>
          <w:szCs w:val="21"/>
        </w:rPr>
        <w:t>HJ 739  环境空气 硝基苯类化合物的测定 气相色谱-质谱法</w:t>
      </w:r>
    </w:p>
    <w:p>
      <w:pPr>
        <w:pStyle w:val="28"/>
        <w:rPr>
          <w:rFonts w:ascii="Times New Roman"/>
          <w:szCs w:val="21"/>
        </w:rPr>
      </w:pPr>
      <w:r>
        <w:rPr>
          <w:rFonts w:ascii="Times New Roman"/>
          <w:szCs w:val="21"/>
        </w:rPr>
        <w:t>HJ 759  环境空气</w:t>
      </w:r>
      <w:r>
        <w:rPr>
          <w:rFonts w:hint="eastAsia" w:ascii="Times New Roman"/>
          <w:szCs w:val="21"/>
        </w:rPr>
        <w:t xml:space="preserve"> </w:t>
      </w:r>
      <w:r>
        <w:rPr>
          <w:rFonts w:ascii="Times New Roman"/>
          <w:szCs w:val="21"/>
        </w:rPr>
        <w:t>挥发性有机物的测定</w:t>
      </w:r>
      <w:r>
        <w:rPr>
          <w:rFonts w:hint="eastAsia" w:ascii="Times New Roman"/>
          <w:szCs w:val="21"/>
        </w:rPr>
        <w:t xml:space="preserve"> </w:t>
      </w:r>
      <w:r>
        <w:rPr>
          <w:rFonts w:ascii="Times New Roman"/>
          <w:szCs w:val="21"/>
        </w:rPr>
        <w:t>罐采样/气相色谱-质谱法</w:t>
      </w:r>
    </w:p>
    <w:p>
      <w:pPr>
        <w:pStyle w:val="28"/>
        <w:rPr>
          <w:rFonts w:ascii="Times New Roman"/>
          <w:szCs w:val="21"/>
        </w:rPr>
      </w:pPr>
      <w:r>
        <w:rPr>
          <w:rFonts w:ascii="Times New Roman"/>
          <w:szCs w:val="21"/>
        </w:rPr>
        <w:t>HJ 777  空气和废气 颗粒物中金属元素的测定 电感耦合等离子体发射光谱法</w:t>
      </w:r>
    </w:p>
    <w:p>
      <w:pPr>
        <w:pStyle w:val="28"/>
        <w:rPr>
          <w:rFonts w:ascii="Times New Roman"/>
          <w:szCs w:val="21"/>
        </w:rPr>
      </w:pPr>
      <w:r>
        <w:rPr>
          <w:rFonts w:ascii="Times New Roman"/>
          <w:szCs w:val="21"/>
        </w:rPr>
        <w:t xml:space="preserve">HJ 819  </w:t>
      </w:r>
      <w:r>
        <w:rPr>
          <w:rFonts w:hint="eastAsia" w:ascii="Times New Roman"/>
          <w:szCs w:val="21"/>
        </w:rPr>
        <w:t>排污单位自行监测技术指南</w:t>
      </w:r>
      <w:r>
        <w:rPr>
          <w:rFonts w:ascii="Times New Roman"/>
          <w:szCs w:val="21"/>
        </w:rPr>
        <w:t xml:space="preserve"> </w:t>
      </w:r>
      <w:r>
        <w:rPr>
          <w:rFonts w:hint="eastAsia" w:ascii="Times New Roman"/>
          <w:szCs w:val="21"/>
        </w:rPr>
        <w:t>总则</w:t>
      </w:r>
    </w:p>
    <w:p>
      <w:pPr>
        <w:pStyle w:val="28"/>
        <w:rPr>
          <w:rFonts w:ascii="Times New Roman"/>
          <w:szCs w:val="21"/>
        </w:rPr>
      </w:pPr>
      <w:r>
        <w:rPr>
          <w:rFonts w:ascii="Times New Roman"/>
          <w:szCs w:val="21"/>
        </w:rPr>
        <w:t>HJ 836  固定污染源废气</w:t>
      </w:r>
      <w:r>
        <w:rPr>
          <w:rFonts w:hint="eastAsia" w:ascii="Times New Roman"/>
          <w:szCs w:val="21"/>
        </w:rPr>
        <w:t xml:space="preserve"> </w:t>
      </w:r>
      <w:r>
        <w:rPr>
          <w:rFonts w:ascii="Times New Roman"/>
          <w:szCs w:val="21"/>
        </w:rPr>
        <w:t>低浓度颗粒物的测定 重量法</w:t>
      </w:r>
    </w:p>
    <w:p>
      <w:pPr>
        <w:pStyle w:val="28"/>
        <w:rPr>
          <w:rFonts w:ascii="Times New Roman"/>
          <w:szCs w:val="21"/>
        </w:rPr>
      </w:pPr>
      <w:r>
        <w:rPr>
          <w:rFonts w:ascii="Times New Roman"/>
          <w:szCs w:val="21"/>
        </w:rPr>
        <w:t>HJ 955  环境空气</w:t>
      </w:r>
      <w:r>
        <w:rPr>
          <w:rFonts w:hint="eastAsia" w:ascii="Times New Roman"/>
          <w:szCs w:val="21"/>
        </w:rPr>
        <w:t xml:space="preserve"> </w:t>
      </w:r>
      <w:r>
        <w:rPr>
          <w:rFonts w:ascii="Times New Roman"/>
          <w:szCs w:val="21"/>
        </w:rPr>
        <w:t>氟化物的测定</w:t>
      </w:r>
      <w:r>
        <w:rPr>
          <w:rFonts w:hint="eastAsia" w:ascii="Times New Roman"/>
          <w:szCs w:val="21"/>
        </w:rPr>
        <w:t xml:space="preserve"> </w:t>
      </w:r>
      <w:r>
        <w:rPr>
          <w:rFonts w:ascii="Times New Roman"/>
          <w:szCs w:val="21"/>
        </w:rPr>
        <w:t>滤膜采样/氟离子选择电极法</w:t>
      </w:r>
    </w:p>
    <w:p>
      <w:pPr>
        <w:pStyle w:val="28"/>
        <w:rPr>
          <w:rFonts w:ascii="Times New Roman"/>
          <w:szCs w:val="21"/>
        </w:rPr>
      </w:pPr>
      <w:r>
        <w:rPr>
          <w:rFonts w:ascii="Times New Roman"/>
          <w:szCs w:val="21"/>
        </w:rPr>
        <w:t>HJ 956  环境空气</w:t>
      </w:r>
      <w:r>
        <w:rPr>
          <w:rFonts w:hint="eastAsia" w:ascii="Times New Roman"/>
          <w:szCs w:val="21"/>
        </w:rPr>
        <w:t xml:space="preserve"> </w:t>
      </w:r>
      <w:r>
        <w:rPr>
          <w:rFonts w:ascii="Times New Roman"/>
          <w:szCs w:val="21"/>
        </w:rPr>
        <w:t>苯并[a]芘的测定</w:t>
      </w:r>
      <w:r>
        <w:rPr>
          <w:rFonts w:hint="eastAsia" w:ascii="Times New Roman"/>
          <w:szCs w:val="21"/>
        </w:rPr>
        <w:t xml:space="preserve"> </w:t>
      </w:r>
      <w:r>
        <w:rPr>
          <w:rFonts w:ascii="Times New Roman"/>
          <w:szCs w:val="21"/>
        </w:rPr>
        <w:t>高效液相色谱法</w:t>
      </w:r>
    </w:p>
    <w:p>
      <w:pPr>
        <w:pStyle w:val="28"/>
        <w:rPr>
          <w:rFonts w:ascii="Times New Roman"/>
          <w:szCs w:val="21"/>
        </w:rPr>
      </w:pPr>
      <w:r>
        <w:rPr>
          <w:rFonts w:ascii="Times New Roman"/>
          <w:szCs w:val="21"/>
        </w:rPr>
        <w:t xml:space="preserve">HJ 965  </w:t>
      </w:r>
      <w:r>
        <w:rPr>
          <w:rFonts w:hint="eastAsia" w:ascii="Times New Roman"/>
          <w:szCs w:val="21"/>
        </w:rPr>
        <w:t>环境空气 一氧化碳的自动测定 非分散红外法</w:t>
      </w:r>
    </w:p>
    <w:p>
      <w:pPr>
        <w:pStyle w:val="28"/>
        <w:rPr>
          <w:rFonts w:ascii="Times New Roman"/>
          <w:szCs w:val="21"/>
        </w:rPr>
      </w:pPr>
      <w:r>
        <w:rPr>
          <w:rFonts w:ascii="Times New Roman"/>
          <w:szCs w:val="21"/>
        </w:rPr>
        <w:t>HJ 973  固定污染源废气</w:t>
      </w:r>
      <w:r>
        <w:rPr>
          <w:rFonts w:hint="eastAsia" w:ascii="Times New Roman"/>
          <w:szCs w:val="21"/>
        </w:rPr>
        <w:t xml:space="preserve"> </w:t>
      </w:r>
      <w:r>
        <w:rPr>
          <w:rFonts w:ascii="Times New Roman"/>
          <w:szCs w:val="21"/>
        </w:rPr>
        <w:t>一氧化碳的测定</w:t>
      </w:r>
      <w:r>
        <w:rPr>
          <w:rFonts w:hint="eastAsia" w:ascii="Times New Roman"/>
          <w:szCs w:val="21"/>
        </w:rPr>
        <w:t xml:space="preserve"> </w:t>
      </w:r>
      <w:r>
        <w:rPr>
          <w:rFonts w:ascii="Times New Roman"/>
          <w:szCs w:val="21"/>
        </w:rPr>
        <w:t>定电位电解法</w:t>
      </w:r>
    </w:p>
    <w:p>
      <w:pPr>
        <w:pStyle w:val="28"/>
        <w:rPr>
          <w:rFonts w:ascii="Times New Roman"/>
          <w:szCs w:val="21"/>
        </w:rPr>
      </w:pPr>
      <w:r>
        <w:rPr>
          <w:rFonts w:ascii="Times New Roman"/>
          <w:szCs w:val="21"/>
        </w:rPr>
        <w:t>HJ 1006  固定污染源废气</w:t>
      </w:r>
      <w:r>
        <w:rPr>
          <w:rFonts w:hint="eastAsia" w:ascii="Times New Roman"/>
          <w:szCs w:val="21"/>
        </w:rPr>
        <w:t xml:space="preserve"> </w:t>
      </w:r>
      <w:r>
        <w:rPr>
          <w:rFonts w:ascii="Times New Roman"/>
          <w:szCs w:val="21"/>
        </w:rPr>
        <w:t>挥发性卤代烃的测定</w:t>
      </w:r>
      <w:r>
        <w:rPr>
          <w:rFonts w:hint="eastAsia" w:ascii="Times New Roman"/>
          <w:szCs w:val="21"/>
        </w:rPr>
        <w:t xml:space="preserve"> </w:t>
      </w:r>
      <w:r>
        <w:rPr>
          <w:rFonts w:ascii="Times New Roman"/>
          <w:szCs w:val="21"/>
        </w:rPr>
        <w:t>气袋采样-气相色谱法</w:t>
      </w:r>
    </w:p>
    <w:p>
      <w:pPr>
        <w:pStyle w:val="28"/>
        <w:rPr>
          <w:rFonts w:ascii="Times New Roman"/>
          <w:szCs w:val="21"/>
        </w:rPr>
      </w:pPr>
      <w:r>
        <w:rPr>
          <w:rFonts w:ascii="Times New Roman"/>
          <w:szCs w:val="21"/>
        </w:rPr>
        <w:t>HJ 1043  环境空气</w:t>
      </w:r>
      <w:r>
        <w:rPr>
          <w:rFonts w:hint="eastAsia" w:ascii="Times New Roman"/>
          <w:szCs w:val="21"/>
        </w:rPr>
        <w:t xml:space="preserve"> </w:t>
      </w:r>
      <w:r>
        <w:rPr>
          <w:rFonts w:ascii="Times New Roman"/>
          <w:szCs w:val="21"/>
        </w:rPr>
        <w:t>氮氧化物的自动测定</w:t>
      </w:r>
      <w:r>
        <w:rPr>
          <w:rFonts w:hint="eastAsia" w:ascii="Times New Roman"/>
          <w:szCs w:val="21"/>
        </w:rPr>
        <w:t xml:space="preserve"> </w:t>
      </w:r>
      <w:r>
        <w:rPr>
          <w:rFonts w:ascii="Times New Roman"/>
          <w:szCs w:val="21"/>
        </w:rPr>
        <w:t>化学发光法</w:t>
      </w:r>
    </w:p>
    <w:p>
      <w:pPr>
        <w:pStyle w:val="28"/>
        <w:rPr>
          <w:rFonts w:ascii="Times New Roman"/>
          <w:szCs w:val="21"/>
        </w:rPr>
      </w:pPr>
      <w:r>
        <w:rPr>
          <w:rFonts w:ascii="Times New Roman"/>
          <w:szCs w:val="21"/>
        </w:rPr>
        <w:t>HJ 1044  环境空气</w:t>
      </w:r>
      <w:r>
        <w:rPr>
          <w:rFonts w:hint="eastAsia" w:ascii="Times New Roman"/>
          <w:szCs w:val="21"/>
        </w:rPr>
        <w:t xml:space="preserve"> </w:t>
      </w:r>
      <w:r>
        <w:rPr>
          <w:rFonts w:ascii="Times New Roman"/>
          <w:szCs w:val="21"/>
        </w:rPr>
        <w:t>二氧化硫的自动测定</w:t>
      </w:r>
      <w:r>
        <w:rPr>
          <w:rFonts w:hint="eastAsia" w:ascii="Times New Roman"/>
          <w:szCs w:val="21"/>
        </w:rPr>
        <w:t xml:space="preserve"> </w:t>
      </w:r>
      <w:r>
        <w:rPr>
          <w:rFonts w:ascii="Times New Roman"/>
          <w:szCs w:val="21"/>
        </w:rPr>
        <w:t>紫外荧光法</w:t>
      </w:r>
    </w:p>
    <w:p>
      <w:pPr>
        <w:pStyle w:val="28"/>
        <w:rPr>
          <w:rFonts w:ascii="Times New Roman"/>
          <w:szCs w:val="21"/>
        </w:rPr>
      </w:pPr>
      <w:r>
        <w:rPr>
          <w:rFonts w:ascii="Times New Roman"/>
          <w:szCs w:val="21"/>
        </w:rPr>
        <w:t>HJ 1079  固定污染源废气</w:t>
      </w:r>
      <w:r>
        <w:rPr>
          <w:rFonts w:hint="eastAsia" w:ascii="Times New Roman"/>
          <w:szCs w:val="21"/>
        </w:rPr>
        <w:t xml:space="preserve"> </w:t>
      </w:r>
      <w:r>
        <w:rPr>
          <w:rFonts w:ascii="Times New Roman"/>
          <w:szCs w:val="21"/>
        </w:rPr>
        <w:t>氯苯类化合物的测定</w:t>
      </w:r>
      <w:r>
        <w:rPr>
          <w:rFonts w:hint="eastAsia" w:ascii="Times New Roman"/>
          <w:szCs w:val="21"/>
        </w:rPr>
        <w:t xml:space="preserve"> </w:t>
      </w:r>
      <w:r>
        <w:rPr>
          <w:rFonts w:ascii="Times New Roman"/>
          <w:szCs w:val="21"/>
        </w:rPr>
        <w:t>气相色谱法</w:t>
      </w:r>
    </w:p>
    <w:p>
      <w:pPr>
        <w:pStyle w:val="28"/>
        <w:rPr>
          <w:rFonts w:ascii="Times New Roman"/>
          <w:szCs w:val="21"/>
        </w:rPr>
      </w:pPr>
      <w:r>
        <w:rPr>
          <w:rFonts w:ascii="Times New Roman"/>
          <w:szCs w:val="21"/>
        </w:rPr>
        <w:t>HJ 1131  固定污染源废气</w:t>
      </w:r>
      <w:r>
        <w:rPr>
          <w:rFonts w:hint="eastAsia" w:ascii="Times New Roman"/>
          <w:szCs w:val="21"/>
        </w:rPr>
        <w:t xml:space="preserve"> </w:t>
      </w:r>
      <w:r>
        <w:rPr>
          <w:rFonts w:ascii="Times New Roman"/>
          <w:szCs w:val="21"/>
        </w:rPr>
        <w:t>二氧化硫的测定</w:t>
      </w:r>
      <w:r>
        <w:rPr>
          <w:rFonts w:hint="eastAsia" w:ascii="Times New Roman"/>
          <w:szCs w:val="21"/>
        </w:rPr>
        <w:t xml:space="preserve"> </w:t>
      </w:r>
      <w:r>
        <w:rPr>
          <w:rFonts w:ascii="Times New Roman"/>
          <w:szCs w:val="21"/>
        </w:rPr>
        <w:t>便携式紫外吸收法</w:t>
      </w:r>
    </w:p>
    <w:p>
      <w:pPr>
        <w:pStyle w:val="28"/>
        <w:rPr>
          <w:rFonts w:ascii="Times New Roman"/>
          <w:szCs w:val="21"/>
        </w:rPr>
      </w:pPr>
      <w:r>
        <w:rPr>
          <w:rFonts w:ascii="Times New Roman"/>
          <w:szCs w:val="21"/>
        </w:rPr>
        <w:t>HJ 1132  固定污染源废气</w:t>
      </w:r>
      <w:r>
        <w:rPr>
          <w:rFonts w:hint="eastAsia" w:ascii="Times New Roman"/>
          <w:szCs w:val="21"/>
        </w:rPr>
        <w:t xml:space="preserve"> </w:t>
      </w:r>
      <w:r>
        <w:rPr>
          <w:rFonts w:ascii="Times New Roman"/>
          <w:szCs w:val="21"/>
        </w:rPr>
        <w:t>氮氧化物的测定</w:t>
      </w:r>
      <w:r>
        <w:rPr>
          <w:rFonts w:hint="eastAsia" w:ascii="Times New Roman"/>
          <w:szCs w:val="21"/>
        </w:rPr>
        <w:t xml:space="preserve"> </w:t>
      </w:r>
      <w:r>
        <w:rPr>
          <w:rFonts w:ascii="Times New Roman"/>
          <w:szCs w:val="21"/>
        </w:rPr>
        <w:t>便携式紫外吸收法</w:t>
      </w:r>
    </w:p>
    <w:p>
      <w:pPr>
        <w:pStyle w:val="28"/>
        <w:rPr>
          <w:rFonts w:ascii="Times New Roman"/>
          <w:szCs w:val="21"/>
        </w:rPr>
      </w:pPr>
      <w:r>
        <w:rPr>
          <w:rFonts w:ascii="Times New Roman"/>
          <w:szCs w:val="21"/>
        </w:rPr>
        <w:t>HJ 1133  环境空气和废气</w:t>
      </w:r>
      <w:r>
        <w:rPr>
          <w:rFonts w:hint="eastAsia" w:ascii="Times New Roman"/>
          <w:szCs w:val="21"/>
        </w:rPr>
        <w:t xml:space="preserve"> </w:t>
      </w:r>
      <w:r>
        <w:rPr>
          <w:rFonts w:ascii="Times New Roman"/>
          <w:szCs w:val="21"/>
        </w:rPr>
        <w:t>颗粒物中砷、硒、铋、锑的测定 原子荧光法</w:t>
      </w:r>
    </w:p>
    <w:p>
      <w:pPr>
        <w:pStyle w:val="28"/>
        <w:rPr>
          <w:rFonts w:ascii="Times New Roman"/>
          <w:szCs w:val="21"/>
        </w:rPr>
      </w:pPr>
      <w:r>
        <w:rPr>
          <w:rFonts w:hint="eastAsia" w:ascii="Times New Roman"/>
          <w:szCs w:val="21"/>
        </w:rPr>
        <w:t>HJ</w:t>
      </w:r>
      <w:r>
        <w:rPr>
          <w:rFonts w:ascii="Times New Roman"/>
          <w:szCs w:val="21"/>
        </w:rPr>
        <w:t xml:space="preserve"> 1153  </w:t>
      </w:r>
      <w:r>
        <w:rPr>
          <w:rFonts w:hint="eastAsia" w:ascii="Times New Roman"/>
          <w:szCs w:val="21"/>
        </w:rPr>
        <w:t>固定污染源废气 醛、酮类化合物的测定 溶液吸收-高效液相色谱法</w:t>
      </w:r>
    </w:p>
    <w:p>
      <w:pPr>
        <w:pStyle w:val="28"/>
        <w:rPr>
          <w:rFonts w:ascii="Times New Roman"/>
          <w:szCs w:val="21"/>
        </w:rPr>
      </w:pPr>
      <w:r>
        <w:rPr>
          <w:rFonts w:hint="eastAsia" w:ascii="Times New Roman"/>
          <w:szCs w:val="21"/>
        </w:rPr>
        <w:t>HJ</w:t>
      </w:r>
      <w:r>
        <w:rPr>
          <w:rFonts w:ascii="Times New Roman"/>
          <w:szCs w:val="21"/>
        </w:rPr>
        <w:t xml:space="preserve"> 1154  </w:t>
      </w:r>
      <w:r>
        <w:rPr>
          <w:rFonts w:hint="eastAsia" w:ascii="Times New Roman"/>
          <w:szCs w:val="21"/>
        </w:rPr>
        <w:t>环境空气 醛、酮类化合物的测定 溶液吸收-高效液相色谱法</w:t>
      </w:r>
    </w:p>
    <w:p>
      <w:pPr>
        <w:pStyle w:val="2"/>
        <w:spacing w:before="312" w:after="312"/>
      </w:pPr>
      <w:bookmarkStart w:id="30" w:name="_Toc29810619"/>
      <w:bookmarkStart w:id="31" w:name="_Toc58415729"/>
      <w:bookmarkStart w:id="32" w:name="_Toc57791979"/>
      <w:r>
        <w:rPr>
          <w:rFonts w:hint="eastAsia" w:hAnsi="黑体"/>
        </w:rPr>
        <w:t>3</w:t>
      </w:r>
      <w:r>
        <w:rPr>
          <w:rFonts w:hAnsi="黑体"/>
        </w:rPr>
        <w:t xml:space="preserve">  </w:t>
      </w:r>
      <w:r>
        <w:rPr>
          <w:rFonts w:hint="eastAsia"/>
        </w:rPr>
        <w:t>术语和定义</w:t>
      </w:r>
      <w:bookmarkEnd w:id="30"/>
      <w:bookmarkEnd w:id="31"/>
      <w:bookmarkEnd w:id="32"/>
    </w:p>
    <w:p>
      <w:pPr>
        <w:widowControl/>
        <w:spacing w:line="276" w:lineRule="auto"/>
        <w:ind w:firstLine="420" w:firstLineChars="200"/>
        <w:rPr>
          <w:kern w:val="0"/>
          <w:szCs w:val="21"/>
        </w:rPr>
      </w:pPr>
      <w:r>
        <w:rPr>
          <w:kern w:val="0"/>
          <w:szCs w:val="21"/>
        </w:rPr>
        <w:t>下列术语和定义适用于</w:t>
      </w:r>
      <w:r>
        <w:rPr>
          <w:rFonts w:hint="eastAsia"/>
          <w:kern w:val="0"/>
          <w:szCs w:val="21"/>
        </w:rPr>
        <w:t>本文件</w:t>
      </w:r>
      <w:r>
        <w:rPr>
          <w:kern w:val="0"/>
          <w:szCs w:val="21"/>
        </w:rPr>
        <w:t>。</w:t>
      </w:r>
    </w:p>
    <w:p>
      <w:pPr>
        <w:pStyle w:val="50"/>
        <w:kinsoku/>
        <w:overflowPunct/>
        <w:outlineLvl w:val="9"/>
        <w:rPr>
          <w:rFonts w:cs="Times New Roman"/>
        </w:rPr>
      </w:pPr>
      <w:bookmarkStart w:id="33" w:name="_Toc29810620"/>
      <w:bookmarkEnd w:id="33"/>
      <w:r>
        <w:rPr>
          <w:rFonts w:cs="Times New Roman"/>
        </w:rPr>
        <w:t>3.1</w:t>
      </w:r>
    </w:p>
    <w:p>
      <w:pPr>
        <w:autoSpaceDE w:val="0"/>
        <w:autoSpaceDN w:val="0"/>
        <w:adjustRightInd w:val="0"/>
        <w:spacing w:before="156" w:beforeLines="50" w:after="156" w:afterLines="50"/>
        <w:ind w:firstLine="420" w:firstLineChars="200"/>
        <w:jc w:val="left"/>
        <w:rPr>
          <w:rFonts w:eastAsia="黑体"/>
          <w:bCs/>
          <w:kern w:val="0"/>
        </w:rPr>
      </w:pPr>
      <w:r>
        <w:rPr>
          <w:rFonts w:hint="eastAsia" w:ascii="黑体" w:hAnsi="黑体" w:eastAsia="黑体"/>
          <w:szCs w:val="21"/>
        </w:rPr>
        <w:t>标准状态</w:t>
      </w:r>
      <w:r>
        <w:rPr>
          <w:rFonts w:ascii="黑体" w:hAnsi="黑体" w:eastAsia="黑体"/>
          <w:szCs w:val="21"/>
        </w:rPr>
        <w:t xml:space="preserve"> </w:t>
      </w:r>
      <w:r>
        <w:rPr>
          <w:rFonts w:hint="eastAsia"/>
          <w:szCs w:val="21"/>
        </w:rPr>
        <w:t xml:space="preserve"> standard condition</w:t>
      </w:r>
    </w:p>
    <w:p>
      <w:pPr>
        <w:pStyle w:val="50"/>
        <w:kinsoku/>
        <w:overflowPunct/>
        <w:ind w:firstLine="420" w:firstLineChars="200"/>
        <w:jc w:val="both"/>
        <w:outlineLvl w:val="9"/>
        <w:rPr>
          <w:rFonts w:ascii="宋体" w:eastAsia="宋体" w:cs="宋体"/>
          <w:color w:val="000000"/>
        </w:rPr>
      </w:pPr>
      <w:r>
        <w:rPr>
          <w:rFonts w:hint="eastAsia" w:ascii="宋体" w:eastAsia="宋体" w:cs="宋体"/>
          <w:color w:val="000000"/>
        </w:rPr>
        <w:t>温度为</w:t>
      </w:r>
      <w:r>
        <w:rPr>
          <w:rFonts w:ascii="Times New Roman" w:eastAsia="宋体" w:cs="Times New Roman"/>
          <w:color w:val="000000"/>
        </w:rPr>
        <w:t>273.15K</w:t>
      </w:r>
      <w:r>
        <w:rPr>
          <w:rFonts w:hint="eastAsia" w:ascii="宋体" w:eastAsia="宋体" w:cs="宋体"/>
          <w:color w:val="000000"/>
        </w:rPr>
        <w:t>，压力为</w:t>
      </w:r>
      <w:r>
        <w:rPr>
          <w:rFonts w:ascii="Times New Roman" w:eastAsia="宋体" w:cs="Times New Roman"/>
          <w:color w:val="000000"/>
        </w:rPr>
        <w:t>101.325 kPa</w:t>
      </w:r>
      <w:r>
        <w:rPr>
          <w:rFonts w:hint="eastAsia" w:ascii="宋体" w:eastAsia="宋体" w:cs="宋体"/>
          <w:color w:val="000000"/>
        </w:rPr>
        <w:t>时的状态。本文件规定的各项标准值，均以标准状态下的干气体为基准。</w:t>
      </w:r>
    </w:p>
    <w:p>
      <w:pPr>
        <w:pStyle w:val="50"/>
        <w:kinsoku/>
        <w:overflowPunct/>
        <w:outlineLvl w:val="9"/>
        <w:rPr>
          <w:rFonts w:cs="Times New Roman"/>
        </w:rPr>
      </w:pPr>
      <w:r>
        <w:rPr>
          <w:rFonts w:cs="Times New Roman"/>
        </w:rPr>
        <w:t>3.2</w:t>
      </w:r>
    </w:p>
    <w:p>
      <w:pPr>
        <w:autoSpaceDE w:val="0"/>
        <w:autoSpaceDN w:val="0"/>
        <w:adjustRightInd w:val="0"/>
        <w:spacing w:before="156" w:beforeLines="50" w:after="156" w:afterLines="50"/>
        <w:ind w:firstLine="420" w:firstLineChars="200"/>
        <w:jc w:val="left"/>
        <w:rPr>
          <w:rFonts w:eastAsia="黑体"/>
          <w:bCs/>
          <w:kern w:val="0"/>
        </w:rPr>
      </w:pPr>
      <w:r>
        <w:rPr>
          <w:rFonts w:hint="eastAsia" w:eastAsia="黑体"/>
          <w:bCs/>
          <w:kern w:val="0"/>
          <w:szCs w:val="21"/>
        </w:rPr>
        <w:t>最高允许排放浓度</w:t>
      </w:r>
      <w:r>
        <w:rPr>
          <w:szCs w:val="21"/>
        </w:rPr>
        <w:t xml:space="preserve">  </w:t>
      </w:r>
      <w:r>
        <w:rPr>
          <w:rFonts w:eastAsia="黑体"/>
          <w:bCs/>
          <w:kern w:val="0"/>
        </w:rPr>
        <w:t xml:space="preserve">maximum </w:t>
      </w:r>
      <w:r>
        <w:rPr>
          <w:rFonts w:hint="eastAsia" w:eastAsia="黑体"/>
          <w:bCs/>
          <w:kern w:val="0"/>
        </w:rPr>
        <w:t>allowable</w:t>
      </w:r>
      <w:r>
        <w:rPr>
          <w:rFonts w:eastAsia="黑体"/>
          <w:bCs/>
          <w:kern w:val="0"/>
        </w:rPr>
        <w:t xml:space="preserve"> emission concentration</w:t>
      </w:r>
    </w:p>
    <w:p>
      <w:pPr>
        <w:autoSpaceDE w:val="0"/>
        <w:autoSpaceDN w:val="0"/>
        <w:adjustRightInd w:val="0"/>
        <w:spacing w:line="360" w:lineRule="auto"/>
        <w:ind w:firstLine="420" w:firstLineChars="200"/>
        <w:jc w:val="left"/>
        <w:rPr>
          <w:szCs w:val="21"/>
        </w:rPr>
      </w:pPr>
      <w:r>
        <w:rPr>
          <w:rFonts w:hint="eastAsia"/>
          <w:szCs w:val="21"/>
        </w:rPr>
        <w:t>排气筒中大气污染物任何</w:t>
      </w:r>
      <w:r>
        <w:rPr>
          <w:szCs w:val="21"/>
        </w:rPr>
        <w:t xml:space="preserve">1 h </w:t>
      </w:r>
      <w:r>
        <w:rPr>
          <w:rFonts w:hint="eastAsia"/>
          <w:szCs w:val="21"/>
        </w:rPr>
        <w:t>浓度平均值不得超过的限值。</w:t>
      </w:r>
    </w:p>
    <w:p>
      <w:pPr>
        <w:pStyle w:val="50"/>
        <w:kinsoku/>
        <w:overflowPunct/>
        <w:outlineLvl w:val="9"/>
        <w:rPr>
          <w:rFonts w:cs="Times New Roman"/>
        </w:rPr>
      </w:pPr>
      <w:r>
        <w:rPr>
          <w:rFonts w:cs="Times New Roman"/>
        </w:rPr>
        <w:t>3.3</w:t>
      </w:r>
    </w:p>
    <w:p>
      <w:pPr>
        <w:autoSpaceDE w:val="0"/>
        <w:autoSpaceDN w:val="0"/>
        <w:adjustRightInd w:val="0"/>
        <w:spacing w:before="156" w:beforeLines="50" w:after="156" w:afterLines="50"/>
        <w:ind w:firstLine="420" w:firstLineChars="200"/>
        <w:jc w:val="left"/>
        <w:rPr>
          <w:rFonts w:eastAsia="黑体"/>
          <w:bCs/>
          <w:kern w:val="0"/>
        </w:rPr>
      </w:pPr>
      <w:r>
        <w:rPr>
          <w:rFonts w:hint="eastAsia" w:eastAsia="黑体"/>
          <w:bCs/>
          <w:kern w:val="0"/>
          <w:szCs w:val="21"/>
        </w:rPr>
        <w:t>最高允许排放速率</w:t>
      </w:r>
      <w:r>
        <w:rPr>
          <w:szCs w:val="21"/>
        </w:rPr>
        <w:t xml:space="preserve">  </w:t>
      </w:r>
      <w:r>
        <w:rPr>
          <w:rFonts w:eastAsia="黑体"/>
          <w:bCs/>
          <w:kern w:val="0"/>
        </w:rPr>
        <w:t xml:space="preserve">maximum </w:t>
      </w:r>
      <w:r>
        <w:rPr>
          <w:rFonts w:hint="eastAsia" w:eastAsia="黑体"/>
          <w:bCs/>
          <w:kern w:val="0"/>
        </w:rPr>
        <w:t>allowable</w:t>
      </w:r>
      <w:r>
        <w:rPr>
          <w:rFonts w:eastAsia="黑体"/>
          <w:bCs/>
          <w:kern w:val="0"/>
        </w:rPr>
        <w:t xml:space="preserve"> emission rate   </w:t>
      </w:r>
    </w:p>
    <w:p>
      <w:pPr>
        <w:pStyle w:val="28"/>
      </w:pPr>
      <w:r>
        <w:rPr>
          <w:rFonts w:hint="eastAsia"/>
        </w:rPr>
        <w:t>排气筒中大气污染物任何</w:t>
      </w:r>
      <w:r>
        <w:rPr>
          <w:rFonts w:hint="eastAsia" w:ascii="Times New Roman"/>
        </w:rPr>
        <w:t>1</w:t>
      </w:r>
      <w:r>
        <w:rPr>
          <w:rFonts w:ascii="Times New Roman"/>
        </w:rPr>
        <w:t xml:space="preserve"> h </w:t>
      </w:r>
      <w:r>
        <w:rPr>
          <w:rFonts w:hint="eastAsia"/>
        </w:rPr>
        <w:t>所排放的污染物的质量不得超过</w:t>
      </w:r>
      <w:r>
        <w:rPr>
          <w:rFonts w:ascii="Times New Roman"/>
        </w:rPr>
        <w:t>的限值</w:t>
      </w:r>
      <w:r>
        <w:rPr>
          <w:rFonts w:hint="eastAsia"/>
        </w:rPr>
        <w:t>。</w:t>
      </w:r>
    </w:p>
    <w:p>
      <w:pPr>
        <w:pStyle w:val="50"/>
        <w:kinsoku/>
        <w:overflowPunct/>
        <w:outlineLvl w:val="9"/>
        <w:rPr>
          <w:rFonts w:cs="Times New Roman"/>
        </w:rPr>
      </w:pPr>
      <w:r>
        <w:rPr>
          <w:rFonts w:hint="eastAsia" w:cs="Times New Roman"/>
        </w:rPr>
        <w:t>3.</w:t>
      </w:r>
      <w:r>
        <w:rPr>
          <w:rFonts w:cs="Times New Roman"/>
        </w:rPr>
        <w:t>4</w:t>
      </w:r>
    </w:p>
    <w:p>
      <w:pPr>
        <w:widowControl/>
        <w:spacing w:before="156" w:beforeLines="50" w:after="156" w:afterLines="50"/>
        <w:ind w:firstLine="420" w:firstLineChars="200"/>
        <w:rPr>
          <w:rFonts w:eastAsia="黑体"/>
          <w:bCs/>
          <w:kern w:val="0"/>
        </w:rPr>
      </w:pPr>
      <w:r>
        <w:rPr>
          <w:rFonts w:hint="eastAsia" w:eastAsia="黑体"/>
          <w:bCs/>
          <w:kern w:val="0"/>
          <w:szCs w:val="21"/>
        </w:rPr>
        <w:t>新建污染源</w:t>
      </w:r>
      <w:r>
        <w:rPr>
          <w:rFonts w:eastAsia="黑体"/>
          <w:bCs/>
          <w:kern w:val="0"/>
          <w:szCs w:val="21"/>
        </w:rPr>
        <w:t xml:space="preserve">  </w:t>
      </w:r>
      <w:r>
        <w:rPr>
          <w:rFonts w:eastAsia="黑体"/>
          <w:bCs/>
          <w:kern w:val="0"/>
        </w:rPr>
        <w:t>new pollution source</w:t>
      </w:r>
    </w:p>
    <w:p>
      <w:pPr>
        <w:widowControl/>
        <w:ind w:firstLine="420" w:firstLineChars="200"/>
        <w:rPr>
          <w:kern w:val="0"/>
          <w:szCs w:val="21"/>
        </w:rPr>
      </w:pPr>
      <w:r>
        <w:rPr>
          <w:rFonts w:hint="eastAsia"/>
          <w:kern w:val="0"/>
          <w:szCs w:val="21"/>
        </w:rPr>
        <w:t>本文件实施之日起环境影响评价文件通过审批的新建、改建和扩建的污染源。</w:t>
      </w:r>
      <w:r>
        <w:rPr>
          <w:kern w:val="0"/>
          <w:szCs w:val="21"/>
        </w:rPr>
        <w:t xml:space="preserve"> </w:t>
      </w:r>
    </w:p>
    <w:p>
      <w:pPr>
        <w:pStyle w:val="50"/>
        <w:kinsoku/>
        <w:overflowPunct/>
        <w:outlineLvl w:val="9"/>
        <w:rPr>
          <w:rFonts w:cs="Times New Roman"/>
        </w:rPr>
      </w:pPr>
      <w:r>
        <w:rPr>
          <w:rFonts w:hint="eastAsia" w:cs="Times New Roman"/>
        </w:rPr>
        <w:t>3.</w:t>
      </w:r>
      <w:r>
        <w:rPr>
          <w:rFonts w:cs="Times New Roman"/>
        </w:rPr>
        <w:t>5</w:t>
      </w:r>
    </w:p>
    <w:p>
      <w:pPr>
        <w:widowControl/>
        <w:spacing w:before="156" w:beforeLines="50" w:after="156" w:afterLines="50"/>
        <w:ind w:firstLine="420" w:firstLineChars="200"/>
        <w:rPr>
          <w:rFonts w:eastAsia="黑体"/>
          <w:bCs/>
          <w:kern w:val="0"/>
        </w:rPr>
      </w:pPr>
      <w:r>
        <w:rPr>
          <w:rFonts w:hint="eastAsia" w:eastAsia="黑体"/>
          <w:bCs/>
          <w:kern w:val="0"/>
          <w:szCs w:val="21"/>
        </w:rPr>
        <w:t>现有污染源</w:t>
      </w:r>
      <w:r>
        <w:rPr>
          <w:rFonts w:eastAsia="黑体"/>
          <w:bCs/>
          <w:kern w:val="0"/>
          <w:szCs w:val="21"/>
        </w:rPr>
        <w:t xml:space="preserve">  </w:t>
      </w:r>
      <w:r>
        <w:rPr>
          <w:rFonts w:eastAsia="黑体"/>
          <w:bCs/>
          <w:kern w:val="0"/>
        </w:rPr>
        <w:t>existing pollution source</w:t>
      </w:r>
    </w:p>
    <w:p>
      <w:pPr>
        <w:pStyle w:val="28"/>
      </w:pPr>
      <w:r>
        <w:rPr>
          <w:rFonts w:hint="eastAsia"/>
          <w:szCs w:val="21"/>
        </w:rPr>
        <w:t>本文件实施之日前已建成投产或环境影响评价文件已通过审批的污染源。</w:t>
      </w:r>
    </w:p>
    <w:p>
      <w:pPr>
        <w:pStyle w:val="50"/>
        <w:kinsoku/>
        <w:overflowPunct/>
        <w:outlineLvl w:val="9"/>
      </w:pPr>
      <w:r>
        <w:rPr>
          <w:rFonts w:hint="eastAsia" w:cs="Times New Roman"/>
        </w:rPr>
        <w:t>3</w:t>
      </w:r>
      <w:r>
        <w:rPr>
          <w:rFonts w:cs="Times New Roman"/>
        </w:rPr>
        <w:t>.6</w:t>
      </w:r>
    </w:p>
    <w:p>
      <w:pPr>
        <w:autoSpaceDE w:val="0"/>
        <w:autoSpaceDN w:val="0"/>
        <w:adjustRightInd w:val="0"/>
        <w:spacing w:before="156" w:beforeLines="50" w:after="156" w:afterLines="50"/>
        <w:ind w:firstLine="420" w:firstLineChars="200"/>
        <w:jc w:val="left"/>
        <w:rPr>
          <w:rFonts w:eastAsia="黑体"/>
          <w:bCs/>
          <w:kern w:val="0"/>
        </w:rPr>
      </w:pPr>
      <w:r>
        <w:rPr>
          <w:rFonts w:hint="eastAsia" w:eastAsia="黑体"/>
          <w:bCs/>
          <w:kern w:val="0"/>
          <w:szCs w:val="21"/>
        </w:rPr>
        <w:t>排气筒高度</w:t>
      </w:r>
      <w:r>
        <w:rPr>
          <w:rFonts w:ascii="黑体" w:eastAsia="黑体" w:cs="黑体"/>
          <w:color w:val="000000"/>
          <w:kern w:val="0"/>
          <w:szCs w:val="21"/>
        </w:rPr>
        <w:t xml:space="preserve">  </w:t>
      </w:r>
      <w:r>
        <w:rPr>
          <w:rFonts w:eastAsia="黑体"/>
          <w:bCs/>
          <w:kern w:val="0"/>
        </w:rPr>
        <w:t xml:space="preserve">stack height </w:t>
      </w:r>
    </w:p>
    <w:p>
      <w:pPr>
        <w:autoSpaceDE w:val="0"/>
        <w:autoSpaceDN w:val="0"/>
        <w:adjustRightInd w:val="0"/>
        <w:ind w:firstLine="420" w:firstLineChars="200"/>
      </w:pPr>
      <w:r>
        <w:rPr>
          <w:rFonts w:hint="eastAsia" w:ascii="宋体" w:cs="宋体"/>
          <w:color w:val="000000"/>
          <w:kern w:val="0"/>
          <w:szCs w:val="21"/>
        </w:rPr>
        <w:t>自排气筒（或其主体建筑构造）所在的地平面至排气筒出口计的高度。</w:t>
      </w:r>
    </w:p>
    <w:p>
      <w:pPr>
        <w:pStyle w:val="50"/>
        <w:kinsoku/>
        <w:overflowPunct/>
        <w:outlineLvl w:val="9"/>
        <w:rPr>
          <w:rFonts w:cs="Times New Roman"/>
        </w:rPr>
      </w:pPr>
      <w:r>
        <w:rPr>
          <w:rFonts w:hint="eastAsia" w:cs="Times New Roman"/>
        </w:rPr>
        <w:t>3.</w:t>
      </w:r>
      <w:r>
        <w:rPr>
          <w:rFonts w:cs="Times New Roman"/>
        </w:rPr>
        <w:t>7</w:t>
      </w:r>
    </w:p>
    <w:p>
      <w:pPr>
        <w:widowControl/>
        <w:spacing w:before="156" w:beforeLines="50" w:after="156" w:afterLines="50"/>
        <w:ind w:firstLine="420" w:firstLineChars="200"/>
        <w:rPr>
          <w:rFonts w:eastAsia="黑体"/>
          <w:bCs/>
          <w:kern w:val="0"/>
        </w:rPr>
      </w:pPr>
      <w:r>
        <w:rPr>
          <w:rFonts w:eastAsia="黑体"/>
          <w:bCs/>
          <w:kern w:val="0"/>
          <w:szCs w:val="21"/>
        </w:rPr>
        <w:t>挥发性有机物</w:t>
      </w:r>
      <w:r>
        <w:rPr>
          <w:rFonts w:hint="eastAsia" w:eastAsia="黑体"/>
          <w:bCs/>
          <w:kern w:val="0"/>
          <w:szCs w:val="21"/>
        </w:rPr>
        <w:t xml:space="preserve"> </w:t>
      </w:r>
      <w:r>
        <w:rPr>
          <w:rFonts w:eastAsia="黑体"/>
          <w:bCs/>
          <w:kern w:val="0"/>
          <w:szCs w:val="21"/>
        </w:rPr>
        <w:t xml:space="preserve"> </w:t>
      </w:r>
      <w:r>
        <w:rPr>
          <w:rFonts w:eastAsia="黑体"/>
          <w:bCs/>
          <w:kern w:val="0"/>
        </w:rPr>
        <w:t>volatile organic compounds</w:t>
      </w:r>
    </w:p>
    <w:p>
      <w:pPr>
        <w:pStyle w:val="145"/>
        <w:ind w:firstLine="420" w:firstLineChars="200"/>
        <w:jc w:val="both"/>
        <w:rPr>
          <w:szCs w:val="21"/>
        </w:rPr>
      </w:pPr>
      <w:r>
        <w:rPr>
          <w:rFonts w:hint="eastAsia" w:ascii="Times New Roman" w:hAnsi="Times New Roman" w:cs="Arial"/>
          <w:color w:val="333333"/>
          <w:kern w:val="2"/>
          <w:sz w:val="21"/>
          <w:szCs w:val="21"/>
          <w:shd w:val="clear" w:color="auto" w:fill="FFFFFF"/>
        </w:rPr>
        <w:t>参与大气光化学反应的有机化合物，或者</w:t>
      </w:r>
      <w:r>
        <w:rPr>
          <w:rFonts w:ascii="Times New Roman" w:hAnsi="Times New Roman" w:cs="Arial"/>
          <w:color w:val="333333"/>
          <w:kern w:val="2"/>
          <w:sz w:val="21"/>
          <w:szCs w:val="21"/>
          <w:shd w:val="clear" w:color="auto" w:fill="FFFFFF"/>
        </w:rPr>
        <w:t>根据</w:t>
      </w:r>
      <w:r>
        <w:rPr>
          <w:rFonts w:hint="eastAsia" w:ascii="Times New Roman" w:hAnsi="Times New Roman" w:cs="Arial"/>
          <w:color w:val="333333"/>
          <w:kern w:val="2"/>
          <w:sz w:val="21"/>
          <w:szCs w:val="21"/>
          <w:shd w:val="clear" w:color="auto" w:fill="FFFFFF"/>
        </w:rPr>
        <w:t>有关</w:t>
      </w:r>
      <w:r>
        <w:rPr>
          <w:rFonts w:ascii="Times New Roman" w:hAnsi="Times New Roman" w:cs="Arial"/>
          <w:color w:val="333333"/>
          <w:kern w:val="2"/>
          <w:sz w:val="21"/>
          <w:szCs w:val="21"/>
          <w:shd w:val="clear" w:color="auto" w:fill="FFFFFF"/>
        </w:rPr>
        <w:t>规定</w:t>
      </w:r>
      <w:r>
        <w:rPr>
          <w:rFonts w:hint="eastAsia" w:ascii="Times New Roman" w:hAnsi="Times New Roman" w:cs="Arial"/>
          <w:color w:val="333333"/>
          <w:kern w:val="2"/>
          <w:sz w:val="21"/>
          <w:szCs w:val="21"/>
          <w:shd w:val="clear" w:color="auto" w:fill="FFFFFF"/>
        </w:rPr>
        <w:t>确定的有机化合物，简称VOCs。在表征VOCs总体排放情况时，本文件采用非甲烷总烃（以NMHC表示）作为污染物控制项目。</w:t>
      </w:r>
    </w:p>
    <w:p>
      <w:pPr>
        <w:pStyle w:val="50"/>
        <w:kinsoku/>
        <w:overflowPunct/>
        <w:outlineLvl w:val="9"/>
        <w:rPr>
          <w:rFonts w:cs="Times New Roman"/>
        </w:rPr>
      </w:pPr>
      <w:r>
        <w:rPr>
          <w:rFonts w:hint="eastAsia" w:cs="Times New Roman"/>
        </w:rPr>
        <w:t>3</w:t>
      </w:r>
      <w:r>
        <w:rPr>
          <w:rFonts w:cs="Times New Roman"/>
        </w:rPr>
        <w:t>.8</w:t>
      </w:r>
    </w:p>
    <w:p>
      <w:pPr>
        <w:widowControl/>
        <w:spacing w:before="156" w:beforeLines="50" w:after="156" w:afterLines="50"/>
        <w:ind w:firstLine="420" w:firstLineChars="200"/>
        <w:rPr>
          <w:rFonts w:eastAsia="黑体"/>
          <w:bCs/>
          <w:kern w:val="0"/>
        </w:rPr>
      </w:pPr>
      <w:r>
        <w:rPr>
          <w:rFonts w:hint="eastAsia" w:eastAsia="黑体"/>
          <w:bCs/>
          <w:kern w:val="0"/>
          <w:szCs w:val="21"/>
        </w:rPr>
        <w:t>无组织排放</w:t>
      </w:r>
      <w:r>
        <w:rPr>
          <w:rFonts w:eastAsia="黑体"/>
          <w:bCs/>
          <w:kern w:val="0"/>
          <w:szCs w:val="21"/>
        </w:rPr>
        <w:t xml:space="preserve">  </w:t>
      </w:r>
      <w:r>
        <w:rPr>
          <w:rFonts w:eastAsia="黑体"/>
          <w:bCs/>
          <w:kern w:val="0"/>
        </w:rPr>
        <w:t>fugitive emission</w:t>
      </w:r>
    </w:p>
    <w:p>
      <w:pPr>
        <w:ind w:firstLine="420" w:firstLineChars="200"/>
        <w:rPr>
          <w:kern w:val="0"/>
          <w:szCs w:val="21"/>
        </w:rPr>
      </w:pPr>
      <w:r>
        <w:rPr>
          <w:rFonts w:hint="eastAsia"/>
          <w:szCs w:val="21"/>
        </w:rPr>
        <w:t>大气污染物不经过排气筒的无规则排放</w:t>
      </w:r>
      <w:r>
        <w:rPr>
          <w:rFonts w:hint="eastAsia"/>
          <w:kern w:val="0"/>
          <w:szCs w:val="21"/>
        </w:rPr>
        <w:t>，包括开放式作业场所逸散、以及通过缝隙、通风口、敞开门窗和类似开口（孔）的排放等。</w:t>
      </w:r>
    </w:p>
    <w:p>
      <w:pPr>
        <w:ind w:firstLine="420" w:firstLineChars="200"/>
        <w:rPr>
          <w:rFonts w:cs="Arial"/>
          <w:color w:val="333333"/>
          <w:szCs w:val="21"/>
          <w:shd w:val="clear" w:color="auto" w:fill="FFFFFF"/>
        </w:rPr>
      </w:pPr>
      <w:r>
        <w:rPr>
          <w:kern w:val="0"/>
          <w:szCs w:val="21"/>
        </w:rPr>
        <w:t>[</w:t>
      </w:r>
      <w:r>
        <w:rPr>
          <w:rFonts w:hint="eastAsia"/>
          <w:kern w:val="0"/>
          <w:szCs w:val="21"/>
        </w:rPr>
        <w:t>来源：</w:t>
      </w:r>
      <w:r>
        <w:rPr>
          <w:kern w:val="0"/>
          <w:szCs w:val="21"/>
        </w:rPr>
        <w:t>GB 37822-2019</w:t>
      </w:r>
      <w:r>
        <w:rPr>
          <w:rFonts w:hint="eastAsia"/>
          <w:kern w:val="0"/>
          <w:szCs w:val="21"/>
        </w:rPr>
        <w:t>，</w:t>
      </w:r>
      <w:r>
        <w:rPr>
          <w:kern w:val="0"/>
          <w:szCs w:val="21"/>
        </w:rPr>
        <w:t>3.4]</w:t>
      </w:r>
    </w:p>
    <w:p>
      <w:pPr>
        <w:pStyle w:val="50"/>
        <w:kinsoku/>
        <w:overflowPunct/>
        <w:outlineLvl w:val="9"/>
        <w:rPr>
          <w:rFonts w:cs="Times New Roman"/>
        </w:rPr>
      </w:pPr>
      <w:bookmarkStart w:id="34" w:name="_Toc29810622"/>
      <w:bookmarkEnd w:id="34"/>
      <w:bookmarkStart w:id="35" w:name="_Toc29810628"/>
      <w:r>
        <w:rPr>
          <w:rFonts w:hint="eastAsia" w:cs="Times New Roman"/>
        </w:rPr>
        <w:t>3.</w:t>
      </w:r>
      <w:r>
        <w:rPr>
          <w:rFonts w:cs="Times New Roman"/>
        </w:rPr>
        <w:t>9</w:t>
      </w:r>
    </w:p>
    <w:p>
      <w:pPr>
        <w:widowControl/>
        <w:spacing w:before="156" w:beforeLines="50" w:after="156" w:afterLines="50"/>
        <w:ind w:firstLine="420" w:firstLineChars="200"/>
        <w:rPr>
          <w:kern w:val="0"/>
          <w:szCs w:val="21"/>
        </w:rPr>
      </w:pPr>
      <w:r>
        <w:rPr>
          <w:rFonts w:hint="eastAsia"/>
          <w:kern w:val="0"/>
          <w:szCs w:val="21"/>
        </w:rPr>
        <w:t>VOCs</w:t>
      </w:r>
      <w:r>
        <w:rPr>
          <w:rFonts w:hint="eastAsia" w:ascii="黑体" w:hAnsi="黑体" w:eastAsia="黑体"/>
          <w:kern w:val="0"/>
          <w:szCs w:val="21"/>
        </w:rPr>
        <w:t>物料</w:t>
      </w:r>
      <w:r>
        <w:rPr>
          <w:kern w:val="0"/>
          <w:szCs w:val="21"/>
        </w:rPr>
        <w:t xml:space="preserve">  </w:t>
      </w:r>
      <w:r>
        <w:rPr>
          <w:rFonts w:hint="eastAsia" w:eastAsia="黑体"/>
          <w:bCs/>
          <w:kern w:val="0"/>
        </w:rPr>
        <w:t>VOCs-containing</w:t>
      </w:r>
      <w:r>
        <w:rPr>
          <w:rFonts w:eastAsia="黑体"/>
          <w:bCs/>
          <w:kern w:val="0"/>
        </w:rPr>
        <w:t xml:space="preserve"> </w:t>
      </w:r>
      <w:r>
        <w:rPr>
          <w:rFonts w:hint="eastAsia" w:eastAsia="黑体"/>
          <w:bCs/>
          <w:kern w:val="0"/>
        </w:rPr>
        <w:t>materials</w:t>
      </w:r>
    </w:p>
    <w:p>
      <w:pPr>
        <w:widowControl/>
        <w:ind w:firstLine="420" w:firstLineChars="200"/>
        <w:rPr>
          <w:kern w:val="0"/>
          <w:szCs w:val="21"/>
        </w:rPr>
      </w:pPr>
      <w:r>
        <w:rPr>
          <w:rFonts w:hint="eastAsia"/>
          <w:kern w:val="0"/>
          <w:szCs w:val="21"/>
        </w:rPr>
        <w:t>VOCs质量占比大于等于1</w:t>
      </w:r>
      <w:r>
        <w:rPr>
          <w:kern w:val="0"/>
          <w:szCs w:val="21"/>
        </w:rPr>
        <w:t>0</w:t>
      </w:r>
      <w:r>
        <w:rPr>
          <w:rFonts w:hint="eastAsia"/>
          <w:kern w:val="0"/>
          <w:szCs w:val="21"/>
        </w:rPr>
        <w:t>%的物料，以及有机聚合物材料。</w:t>
      </w:r>
    </w:p>
    <w:p>
      <w:pPr>
        <w:ind w:firstLine="420" w:firstLineChars="200"/>
        <w:rPr>
          <w:kern w:val="0"/>
          <w:szCs w:val="21"/>
        </w:rPr>
      </w:pPr>
      <w:r>
        <w:rPr>
          <w:kern w:val="0"/>
          <w:szCs w:val="21"/>
        </w:rPr>
        <w:t>[</w:t>
      </w:r>
      <w:r>
        <w:rPr>
          <w:rFonts w:hint="eastAsia"/>
          <w:kern w:val="0"/>
          <w:szCs w:val="21"/>
        </w:rPr>
        <w:t>来源：</w:t>
      </w:r>
      <w:r>
        <w:rPr>
          <w:kern w:val="0"/>
          <w:szCs w:val="21"/>
        </w:rPr>
        <w:t>GB 37822-2019</w:t>
      </w:r>
      <w:r>
        <w:rPr>
          <w:rFonts w:hint="eastAsia"/>
          <w:kern w:val="0"/>
          <w:szCs w:val="21"/>
        </w:rPr>
        <w:t>，</w:t>
      </w:r>
      <w:r>
        <w:rPr>
          <w:kern w:val="0"/>
          <w:szCs w:val="21"/>
        </w:rPr>
        <w:t>3.7]</w:t>
      </w:r>
    </w:p>
    <w:p>
      <w:pPr>
        <w:pStyle w:val="50"/>
        <w:kinsoku/>
        <w:overflowPunct/>
        <w:outlineLvl w:val="9"/>
        <w:rPr>
          <w:rFonts w:cs="Times New Roman"/>
        </w:rPr>
      </w:pPr>
      <w:r>
        <w:rPr>
          <w:rFonts w:hint="eastAsia" w:cs="Times New Roman"/>
        </w:rPr>
        <w:t>3.</w:t>
      </w:r>
      <w:r>
        <w:rPr>
          <w:rFonts w:cs="Times New Roman"/>
        </w:rPr>
        <w:t>10</w:t>
      </w:r>
    </w:p>
    <w:p>
      <w:pPr>
        <w:widowControl/>
        <w:spacing w:before="156" w:beforeLines="50" w:after="156" w:afterLines="50"/>
        <w:ind w:firstLine="420" w:firstLineChars="200"/>
        <w:rPr>
          <w:rFonts w:eastAsia="黑体"/>
          <w:bCs/>
          <w:kern w:val="0"/>
        </w:rPr>
      </w:pPr>
      <w:r>
        <w:rPr>
          <w:rFonts w:hint="eastAsia" w:ascii="黑体" w:hAnsi="黑体" w:eastAsia="黑体"/>
          <w:kern w:val="0"/>
          <w:szCs w:val="21"/>
        </w:rPr>
        <w:t>密闭</w:t>
      </w:r>
      <w:r>
        <w:rPr>
          <w:kern w:val="0"/>
          <w:szCs w:val="21"/>
        </w:rPr>
        <w:t xml:space="preserve">  </w:t>
      </w:r>
      <w:r>
        <w:rPr>
          <w:rFonts w:hint="eastAsia" w:eastAsia="黑体"/>
          <w:bCs/>
          <w:kern w:val="0"/>
        </w:rPr>
        <w:t>closed</w:t>
      </w:r>
      <w:r>
        <w:rPr>
          <w:rFonts w:eastAsia="黑体"/>
          <w:bCs/>
          <w:kern w:val="0"/>
        </w:rPr>
        <w:t>/</w:t>
      </w:r>
      <w:r>
        <w:rPr>
          <w:rFonts w:hint="eastAsia" w:eastAsia="黑体"/>
          <w:bCs/>
          <w:kern w:val="0"/>
        </w:rPr>
        <w:t>close</w:t>
      </w:r>
    </w:p>
    <w:p>
      <w:pPr>
        <w:ind w:firstLine="420" w:firstLineChars="200"/>
        <w:rPr>
          <w:kern w:val="0"/>
          <w:szCs w:val="21"/>
        </w:rPr>
      </w:pPr>
      <w:r>
        <w:rPr>
          <w:rFonts w:hint="eastAsia"/>
          <w:kern w:val="0"/>
          <w:szCs w:val="21"/>
        </w:rPr>
        <w:t>污染物质不与环境空气接触，或通过密封材料、密闭设备与环境空气隔离的状态或作业方式。</w:t>
      </w:r>
    </w:p>
    <w:p>
      <w:pPr>
        <w:ind w:firstLine="420" w:firstLineChars="200"/>
        <w:rPr>
          <w:szCs w:val="21"/>
        </w:rPr>
      </w:pPr>
      <w:r>
        <w:rPr>
          <w:kern w:val="0"/>
          <w:szCs w:val="21"/>
        </w:rPr>
        <w:t>[</w:t>
      </w:r>
      <w:r>
        <w:rPr>
          <w:rFonts w:hint="eastAsia"/>
          <w:kern w:val="0"/>
          <w:szCs w:val="21"/>
        </w:rPr>
        <w:t>来源：</w:t>
      </w:r>
      <w:r>
        <w:rPr>
          <w:kern w:val="0"/>
          <w:szCs w:val="21"/>
        </w:rPr>
        <w:t>GB 37822-2019</w:t>
      </w:r>
      <w:r>
        <w:rPr>
          <w:rFonts w:hint="eastAsia"/>
          <w:kern w:val="0"/>
          <w:szCs w:val="21"/>
        </w:rPr>
        <w:t>，</w:t>
      </w:r>
      <w:r>
        <w:rPr>
          <w:kern w:val="0"/>
          <w:szCs w:val="21"/>
        </w:rPr>
        <w:t>3.5]</w:t>
      </w:r>
      <w:bookmarkEnd w:id="35"/>
    </w:p>
    <w:p>
      <w:pPr>
        <w:pStyle w:val="50"/>
        <w:kinsoku/>
        <w:overflowPunct/>
        <w:outlineLvl w:val="9"/>
        <w:rPr>
          <w:rFonts w:cs="Times New Roman"/>
        </w:rPr>
      </w:pPr>
      <w:r>
        <w:rPr>
          <w:rFonts w:hint="eastAsia" w:cs="Times New Roman"/>
        </w:rPr>
        <w:t>3.</w:t>
      </w:r>
      <w:r>
        <w:rPr>
          <w:rFonts w:cs="Times New Roman"/>
        </w:rPr>
        <w:t>11</w:t>
      </w:r>
    </w:p>
    <w:p>
      <w:pPr>
        <w:autoSpaceDE w:val="0"/>
        <w:autoSpaceDN w:val="0"/>
        <w:adjustRightInd w:val="0"/>
        <w:spacing w:before="156" w:beforeLines="50" w:after="156" w:afterLines="50"/>
        <w:ind w:firstLine="420" w:firstLineChars="200"/>
        <w:jc w:val="left"/>
        <w:rPr>
          <w:rFonts w:eastAsia="黑体"/>
          <w:bCs/>
          <w:kern w:val="0"/>
        </w:rPr>
      </w:pPr>
      <w:r>
        <w:rPr>
          <w:rFonts w:hint="eastAsia" w:eastAsia="黑体"/>
          <w:bCs/>
          <w:kern w:val="0"/>
          <w:szCs w:val="21"/>
        </w:rPr>
        <w:t>单位边界</w:t>
      </w:r>
      <w:r>
        <w:rPr>
          <w:szCs w:val="21"/>
        </w:rPr>
        <w:t xml:space="preserve">  </w:t>
      </w:r>
      <w:r>
        <w:rPr>
          <w:rFonts w:hint="eastAsia" w:eastAsia="黑体"/>
          <w:bCs/>
          <w:kern w:val="0"/>
        </w:rPr>
        <w:t>unit</w:t>
      </w:r>
      <w:r>
        <w:rPr>
          <w:rFonts w:eastAsia="黑体"/>
          <w:bCs/>
          <w:kern w:val="0"/>
        </w:rPr>
        <w:t xml:space="preserve"> boundary</w:t>
      </w:r>
    </w:p>
    <w:p>
      <w:pPr>
        <w:autoSpaceDE w:val="0"/>
        <w:autoSpaceDN w:val="0"/>
        <w:adjustRightInd w:val="0"/>
        <w:ind w:firstLine="420" w:firstLineChars="200"/>
        <w:rPr>
          <w:szCs w:val="21"/>
        </w:rPr>
      </w:pPr>
      <w:r>
        <w:rPr>
          <w:rFonts w:hint="eastAsia"/>
          <w:szCs w:val="21"/>
        </w:rPr>
        <w:t>单位的法定边界。若难以确定法定边界，则指单位的实际占地边界。</w:t>
      </w:r>
    </w:p>
    <w:p>
      <w:pPr>
        <w:autoSpaceDE w:val="0"/>
        <w:autoSpaceDN w:val="0"/>
        <w:adjustRightInd w:val="0"/>
        <w:spacing w:before="156" w:beforeLines="50" w:after="156" w:afterLines="50"/>
        <w:jc w:val="left"/>
        <w:rPr>
          <w:rFonts w:ascii="黑体" w:eastAsia="黑体"/>
          <w:kern w:val="0"/>
          <w:szCs w:val="21"/>
        </w:rPr>
      </w:pPr>
      <w:r>
        <w:rPr>
          <w:rFonts w:ascii="黑体" w:eastAsia="黑体"/>
          <w:kern w:val="0"/>
          <w:szCs w:val="21"/>
        </w:rPr>
        <w:t>3.12</w:t>
      </w:r>
    </w:p>
    <w:p>
      <w:pPr>
        <w:autoSpaceDE w:val="0"/>
        <w:autoSpaceDN w:val="0"/>
        <w:adjustRightInd w:val="0"/>
        <w:spacing w:before="156" w:beforeLines="50" w:after="156" w:afterLines="50"/>
        <w:ind w:firstLine="420" w:firstLineChars="200"/>
        <w:jc w:val="left"/>
        <w:rPr>
          <w:szCs w:val="21"/>
        </w:rPr>
      </w:pPr>
      <w:r>
        <w:rPr>
          <w:rFonts w:hint="eastAsia" w:eastAsia="黑体"/>
          <w:bCs/>
          <w:kern w:val="0"/>
          <w:szCs w:val="21"/>
        </w:rPr>
        <w:t>固定式内燃机</w:t>
      </w:r>
      <w:r>
        <w:rPr>
          <w:rFonts w:eastAsia="黑体"/>
          <w:bCs/>
          <w:kern w:val="0"/>
          <w:szCs w:val="21"/>
        </w:rPr>
        <w:t xml:space="preserve">  stationary internal combustion engines</w:t>
      </w:r>
    </w:p>
    <w:p>
      <w:pPr>
        <w:pStyle w:val="50"/>
        <w:kinsoku/>
        <w:overflowPunct/>
        <w:spacing w:before="0" w:beforeLines="0" w:after="0" w:afterLines="0"/>
        <w:ind w:firstLine="420" w:firstLineChars="200"/>
        <w:jc w:val="both"/>
        <w:outlineLvl w:val="9"/>
        <w:rPr>
          <w:rFonts w:ascii="宋体" w:eastAsia="宋体" w:cs="宋体"/>
          <w:color w:val="000000"/>
        </w:rPr>
      </w:pPr>
      <w:r>
        <w:rPr>
          <w:rFonts w:hint="eastAsia" w:ascii="宋体" w:eastAsia="宋体" w:cs="宋体"/>
          <w:color w:val="000000"/>
        </w:rPr>
        <w:t>用于冷热电三联供、热电联产等分布式能源供应系统中的一种往复式运动机械，将燃料与空气注入一个或多个气缸燃烧做功，推动活塞连杆和曲轴，驱动发电机发电。</w:t>
      </w:r>
    </w:p>
    <w:p>
      <w:pPr>
        <w:autoSpaceDE w:val="0"/>
        <w:autoSpaceDN w:val="0"/>
        <w:adjustRightInd w:val="0"/>
        <w:spacing w:before="156" w:beforeLines="50" w:after="156" w:afterLines="50"/>
        <w:jc w:val="left"/>
        <w:rPr>
          <w:rFonts w:ascii="黑体" w:hAnsi="黑体" w:eastAsia="黑体"/>
          <w:kern w:val="0"/>
          <w:szCs w:val="21"/>
        </w:rPr>
      </w:pPr>
      <w:r>
        <w:rPr>
          <w:rFonts w:ascii="黑体" w:hAnsi="黑体" w:eastAsia="黑体"/>
          <w:kern w:val="0"/>
          <w:szCs w:val="21"/>
        </w:rPr>
        <w:t>3.13</w:t>
      </w:r>
    </w:p>
    <w:p>
      <w:pPr>
        <w:autoSpaceDE w:val="0"/>
        <w:autoSpaceDN w:val="0"/>
        <w:adjustRightInd w:val="0"/>
        <w:spacing w:before="156" w:beforeLines="50" w:after="156" w:afterLines="50"/>
        <w:ind w:firstLine="420" w:firstLineChars="200"/>
        <w:jc w:val="left"/>
        <w:rPr>
          <w:rFonts w:eastAsia="黑体"/>
          <w:kern w:val="0"/>
        </w:rPr>
      </w:pPr>
      <w:r>
        <w:rPr>
          <w:rFonts w:hint="eastAsia" w:eastAsia="黑体"/>
          <w:kern w:val="0"/>
          <w:szCs w:val="21"/>
        </w:rPr>
        <w:t>船舶制造业</w:t>
      </w:r>
      <w:r>
        <w:rPr>
          <w:rFonts w:eastAsia="黑体"/>
          <w:bCs/>
          <w:kern w:val="0"/>
        </w:rPr>
        <w:t xml:space="preserve">  ship manufacturing industry</w:t>
      </w:r>
    </w:p>
    <w:p>
      <w:pPr>
        <w:autoSpaceDE w:val="0"/>
        <w:autoSpaceDN w:val="0"/>
        <w:adjustRightInd w:val="0"/>
        <w:ind w:firstLine="420" w:firstLineChars="200"/>
        <w:jc w:val="left"/>
        <w:rPr>
          <w:rFonts w:ascii="宋体" w:cs="宋体"/>
          <w:color w:val="000000"/>
          <w:kern w:val="0"/>
          <w:szCs w:val="21"/>
        </w:rPr>
      </w:pPr>
      <w:r>
        <w:t>GB/T 4754-2017</w:t>
      </w:r>
      <w:r>
        <w:rPr>
          <w:rFonts w:hint="eastAsia"/>
        </w:rPr>
        <w:t>中规定的船舶及相关装置制造（</w:t>
      </w:r>
      <w:r>
        <w:t>C373</w:t>
      </w:r>
      <w:r>
        <w:rPr>
          <w:rFonts w:hint="eastAsia"/>
        </w:rPr>
        <w:t>）</w:t>
      </w:r>
      <w:r>
        <w:rPr>
          <w:rFonts w:hint="eastAsia" w:ascii="宋体" w:cs="宋体"/>
          <w:color w:val="000000"/>
          <w:kern w:val="0"/>
          <w:szCs w:val="21"/>
        </w:rPr>
        <w:t>。</w:t>
      </w:r>
    </w:p>
    <w:p>
      <w:pPr>
        <w:pStyle w:val="2"/>
        <w:spacing w:before="312" w:after="312"/>
      </w:pPr>
      <w:bookmarkStart w:id="36" w:name="_Toc29810629"/>
      <w:bookmarkStart w:id="37" w:name="_Toc57791980"/>
      <w:bookmarkStart w:id="38" w:name="_Toc58415730"/>
      <w:r>
        <w:rPr>
          <w:rFonts w:hint="eastAsia" w:hAnsi="黑体"/>
          <w:bCs/>
        </w:rPr>
        <w:t>4</w:t>
      </w:r>
      <w:r>
        <w:rPr>
          <w:rFonts w:hAnsi="黑体"/>
          <w:bCs/>
        </w:rPr>
        <w:t xml:space="preserve">  </w:t>
      </w:r>
      <w:r>
        <w:t>污染物排放</w:t>
      </w:r>
      <w:r>
        <w:rPr>
          <w:rFonts w:hint="eastAsia"/>
        </w:rPr>
        <w:t>控制</w:t>
      </w:r>
      <w:r>
        <w:t>要求</w:t>
      </w:r>
      <w:bookmarkEnd w:id="36"/>
      <w:bookmarkEnd w:id="37"/>
      <w:bookmarkEnd w:id="38"/>
    </w:p>
    <w:p>
      <w:pPr>
        <w:pStyle w:val="50"/>
        <w:rPr>
          <w:rFonts w:ascii="Times New Roman"/>
        </w:rPr>
      </w:pPr>
      <w:bookmarkStart w:id="39" w:name="_Toc29810630"/>
      <w:r>
        <w:rPr>
          <w:rFonts w:hint="eastAsia" w:hAnsi="黑体"/>
        </w:rPr>
        <w:t>4</w:t>
      </w:r>
      <w:r>
        <w:rPr>
          <w:rFonts w:hAnsi="黑体"/>
        </w:rPr>
        <w:t>.</w:t>
      </w:r>
      <w:bookmarkEnd w:id="39"/>
      <w:r>
        <w:rPr>
          <w:rFonts w:hAnsi="黑体"/>
        </w:rPr>
        <w:t xml:space="preserve">1 </w:t>
      </w:r>
      <w:r>
        <w:rPr>
          <w:rFonts w:hint="eastAsia" w:ascii="Times New Roman"/>
        </w:rPr>
        <w:t>有组织排放控制要求</w:t>
      </w:r>
    </w:p>
    <w:p>
      <w:pPr>
        <w:pStyle w:val="134"/>
        <w:numPr>
          <w:ilvl w:val="0"/>
          <w:numId w:val="0"/>
        </w:numPr>
        <w:overflowPunct w:val="0"/>
        <w:jc w:val="both"/>
        <w:rPr>
          <w:rFonts w:ascii="Times New Roman" w:eastAsia="宋体"/>
          <w:strike/>
          <w:szCs w:val="24"/>
        </w:rPr>
      </w:pPr>
      <w:r>
        <w:rPr>
          <w:rFonts w:hint="eastAsia" w:hAnsi="黑体"/>
        </w:rPr>
        <w:t>4</w:t>
      </w:r>
      <w:r>
        <w:rPr>
          <w:rFonts w:hAnsi="黑体"/>
        </w:rPr>
        <w:t>.1</w:t>
      </w:r>
      <w:r>
        <w:rPr>
          <w:rFonts w:hint="eastAsia" w:hAnsi="黑体"/>
        </w:rPr>
        <w:t>.</w:t>
      </w:r>
      <w:r>
        <w:rPr>
          <w:rFonts w:hAnsi="黑体"/>
        </w:rPr>
        <w:t xml:space="preserve">1 </w:t>
      </w:r>
      <w:r>
        <w:rPr>
          <w:rFonts w:hint="eastAsia" w:ascii="Times New Roman" w:eastAsia="宋体"/>
          <w:szCs w:val="24"/>
        </w:rPr>
        <w:t>新建污染源自本文件实施之日起执行表</w:t>
      </w:r>
      <w:r>
        <w:rPr>
          <w:rFonts w:ascii="Times New Roman" w:eastAsia="宋体"/>
          <w:szCs w:val="24"/>
        </w:rPr>
        <w:t>1</w:t>
      </w:r>
      <w:r>
        <w:rPr>
          <w:rFonts w:hint="eastAsia" w:ascii="Times New Roman" w:eastAsia="宋体"/>
          <w:szCs w:val="24"/>
        </w:rPr>
        <w:t>的规定。现有污染源自2</w:t>
      </w:r>
      <w:r>
        <w:rPr>
          <w:rFonts w:ascii="Times New Roman" w:eastAsia="宋体"/>
          <w:szCs w:val="24"/>
        </w:rPr>
        <w:t>022</w:t>
      </w:r>
      <w:r>
        <w:rPr>
          <w:rFonts w:hint="eastAsia" w:ascii="Times New Roman" w:eastAsia="宋体"/>
          <w:szCs w:val="24"/>
        </w:rPr>
        <w:t>年7月1日起执行表</w:t>
      </w:r>
      <w:r>
        <w:rPr>
          <w:rFonts w:ascii="Times New Roman" w:eastAsia="宋体"/>
          <w:szCs w:val="24"/>
        </w:rPr>
        <w:t>1</w:t>
      </w:r>
      <w:r>
        <w:rPr>
          <w:rFonts w:hint="eastAsia" w:ascii="Times New Roman" w:eastAsia="宋体"/>
          <w:szCs w:val="24"/>
        </w:rPr>
        <w:t>的规定。</w:t>
      </w:r>
    </w:p>
    <w:p>
      <w:pPr>
        <w:pStyle w:val="134"/>
        <w:numPr>
          <w:ilvl w:val="0"/>
          <w:numId w:val="0"/>
        </w:numPr>
        <w:rPr>
          <w:rFonts w:ascii="Times New Roman"/>
        </w:rPr>
      </w:pPr>
      <w:r>
        <w:rPr>
          <w:rFonts w:hint="eastAsia" w:ascii="Times New Roman"/>
        </w:rPr>
        <w:t>表1</w:t>
      </w:r>
      <w:r>
        <w:rPr>
          <w:rFonts w:ascii="Times New Roman"/>
        </w:rPr>
        <w:t xml:space="preserve">  </w:t>
      </w:r>
      <w:r>
        <w:rPr>
          <w:rFonts w:hint="eastAsia" w:ascii="Times New Roman"/>
        </w:rPr>
        <w:t>大气污染物有组织排放限值</w:t>
      </w:r>
    </w:p>
    <w:tbl>
      <w:tblPr>
        <w:tblStyle w:val="3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1309"/>
        <w:gridCol w:w="1810"/>
        <w:gridCol w:w="2197"/>
        <w:gridCol w:w="2055"/>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pStyle w:val="28"/>
              <w:snapToGrid w:val="0"/>
              <w:ind w:firstLine="0" w:firstLineChars="0"/>
              <w:jc w:val="center"/>
              <w:rPr>
                <w:rFonts w:ascii="Times New Roman"/>
                <w:sz w:val="18"/>
                <w:szCs w:val="18"/>
              </w:rPr>
            </w:pPr>
            <w:r>
              <w:rPr>
                <w:rFonts w:ascii="Times New Roman"/>
                <w:sz w:val="18"/>
                <w:szCs w:val="18"/>
              </w:rPr>
              <w:t>序号</w:t>
            </w:r>
          </w:p>
        </w:tc>
        <w:tc>
          <w:tcPr>
            <w:tcW w:w="3119" w:type="dxa"/>
            <w:gridSpan w:val="2"/>
            <w:vAlign w:val="center"/>
          </w:tcPr>
          <w:p>
            <w:pPr>
              <w:pStyle w:val="28"/>
              <w:snapToGrid w:val="0"/>
              <w:ind w:firstLine="0" w:firstLineChars="0"/>
              <w:jc w:val="center"/>
              <w:rPr>
                <w:rFonts w:ascii="Times New Roman"/>
                <w:sz w:val="18"/>
                <w:szCs w:val="18"/>
              </w:rPr>
            </w:pPr>
            <w:r>
              <w:rPr>
                <w:rFonts w:ascii="Times New Roman"/>
                <w:sz w:val="18"/>
                <w:szCs w:val="18"/>
              </w:rPr>
              <w:t>污染物</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8"/>
              </w:rPr>
              <w:t>最高允许排放浓度</w:t>
            </w:r>
          </w:p>
          <w:p>
            <w:pPr>
              <w:pStyle w:val="28"/>
              <w:snapToGrid w:val="0"/>
              <w:ind w:firstLine="0" w:firstLineChars="0"/>
              <w:jc w:val="center"/>
              <w:rPr>
                <w:rFonts w:ascii="Times New Roman"/>
                <w:sz w:val="18"/>
                <w:szCs w:val="18"/>
              </w:rPr>
            </w:pPr>
            <w:r>
              <w:rPr>
                <w:rFonts w:ascii="Times New Roman"/>
                <w:sz w:val="18"/>
                <w:szCs w:val="18"/>
              </w:rPr>
              <w:t>mg/m</w:t>
            </w:r>
            <w:r>
              <w:rPr>
                <w:rFonts w:ascii="Times New Roman"/>
                <w:sz w:val="18"/>
                <w:szCs w:val="18"/>
                <w:vertAlign w:val="superscript"/>
              </w:rPr>
              <w:t>3</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8"/>
              </w:rPr>
              <w:t>最高允许排放速率</w:t>
            </w:r>
          </w:p>
          <w:p>
            <w:pPr>
              <w:pStyle w:val="28"/>
              <w:snapToGrid w:val="0"/>
              <w:ind w:firstLine="0" w:firstLineChars="0"/>
              <w:jc w:val="center"/>
              <w:rPr>
                <w:rFonts w:ascii="Times New Roman"/>
                <w:sz w:val="18"/>
                <w:szCs w:val="18"/>
              </w:rPr>
            </w:pPr>
            <w:r>
              <w:rPr>
                <w:rFonts w:ascii="Times New Roman"/>
                <w:sz w:val="18"/>
                <w:szCs w:val="18"/>
              </w:rPr>
              <w:t>kg/h</w:t>
            </w:r>
          </w:p>
        </w:tc>
        <w:tc>
          <w:tcPr>
            <w:tcW w:w="1274" w:type="dxa"/>
            <w:vAlign w:val="center"/>
          </w:tcPr>
          <w:p>
            <w:pPr>
              <w:pStyle w:val="28"/>
              <w:snapToGrid w:val="0"/>
              <w:ind w:firstLine="0" w:firstLineChars="0"/>
              <w:jc w:val="center"/>
              <w:rPr>
                <w:rFonts w:ascii="Times New Roman"/>
                <w:sz w:val="18"/>
                <w:szCs w:val="18"/>
              </w:rPr>
            </w:pPr>
            <w:r>
              <w:rPr>
                <w:rFonts w:ascii="Times New Roman"/>
                <w:sz w:val="18"/>
                <w:szCs w:val="18"/>
              </w:rPr>
              <w:t>监控位置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restart"/>
            <w:vAlign w:val="center"/>
          </w:tcPr>
          <w:p>
            <w:pPr>
              <w:pStyle w:val="28"/>
              <w:snapToGrid w:val="0"/>
              <w:ind w:firstLine="0" w:firstLineChars="0"/>
              <w:jc w:val="center"/>
              <w:rPr>
                <w:rFonts w:ascii="Times New Roman"/>
                <w:sz w:val="18"/>
                <w:szCs w:val="18"/>
              </w:rPr>
            </w:pPr>
            <w:r>
              <w:rPr>
                <w:rFonts w:ascii="Times New Roman"/>
                <w:sz w:val="18"/>
                <w:szCs w:val="18"/>
              </w:rPr>
              <w:t>1</w:t>
            </w:r>
          </w:p>
        </w:tc>
        <w:tc>
          <w:tcPr>
            <w:tcW w:w="1309" w:type="dxa"/>
            <w:vMerge w:val="restart"/>
            <w:vAlign w:val="center"/>
          </w:tcPr>
          <w:p>
            <w:pPr>
              <w:pStyle w:val="28"/>
              <w:snapToGrid w:val="0"/>
              <w:ind w:firstLine="0" w:firstLineChars="0"/>
              <w:jc w:val="center"/>
              <w:rPr>
                <w:rFonts w:ascii="Times New Roman"/>
                <w:sz w:val="18"/>
                <w:szCs w:val="18"/>
              </w:rPr>
            </w:pPr>
            <w:r>
              <w:rPr>
                <w:rFonts w:ascii="Times New Roman"/>
                <w:sz w:val="18"/>
                <w:szCs w:val="18"/>
              </w:rPr>
              <w:t>颗粒物</w:t>
            </w:r>
          </w:p>
        </w:tc>
        <w:tc>
          <w:tcPr>
            <w:tcW w:w="1810" w:type="dxa"/>
            <w:vAlign w:val="center"/>
          </w:tcPr>
          <w:p>
            <w:pPr>
              <w:pStyle w:val="28"/>
              <w:snapToGrid w:val="0"/>
              <w:ind w:firstLine="0" w:firstLineChars="0"/>
              <w:jc w:val="center"/>
              <w:rPr>
                <w:rFonts w:ascii="Times New Roman"/>
                <w:sz w:val="18"/>
                <w:szCs w:val="18"/>
              </w:rPr>
            </w:pPr>
            <w:r>
              <w:rPr>
                <w:rFonts w:ascii="Times New Roman"/>
                <w:sz w:val="18"/>
                <w:szCs w:val="18"/>
              </w:rPr>
              <w:t>石棉纤维及粉尘</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8"/>
              </w:rPr>
              <w:t>1.0或者1根纤维/cm</w:t>
            </w:r>
            <w:r>
              <w:rPr>
                <w:rFonts w:ascii="Times New Roman"/>
                <w:sz w:val="18"/>
                <w:szCs w:val="18"/>
                <w:vertAlign w:val="superscript"/>
              </w:rPr>
              <w:t>3</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8"/>
              </w:rPr>
              <w:t>0.36</w:t>
            </w:r>
          </w:p>
        </w:tc>
        <w:tc>
          <w:tcPr>
            <w:tcW w:w="1274" w:type="dxa"/>
            <w:vMerge w:val="restart"/>
            <w:vAlign w:val="center"/>
          </w:tcPr>
          <w:p>
            <w:pPr>
              <w:pStyle w:val="28"/>
              <w:snapToGrid w:val="0"/>
              <w:ind w:firstLine="0" w:firstLineChars="0"/>
              <w:jc w:val="center"/>
              <w:rPr>
                <w:rFonts w:ascii="Times New Roman"/>
                <w:sz w:val="18"/>
                <w:szCs w:val="18"/>
              </w:rPr>
            </w:pPr>
            <w:r>
              <w:rPr>
                <w:rFonts w:ascii="Times New Roman"/>
                <w:sz w:val="18"/>
                <w:szCs w:val="18"/>
              </w:rPr>
              <w:t>车间排气筒出口或生产设施排气筒出口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8"/>
              </w:rPr>
            </w:pPr>
            <w:r>
              <w:rPr>
                <w:rFonts w:hint="eastAsia" w:ascii="Times New Roman"/>
                <w:sz w:val="18"/>
                <w:szCs w:val="18"/>
              </w:rPr>
              <w:t>碳黑</w:t>
            </w:r>
            <w:r>
              <w:rPr>
                <w:rFonts w:ascii="Times New Roman"/>
                <w:sz w:val="18"/>
                <w:szCs w:val="18"/>
              </w:rPr>
              <w:t>尘、染料尘</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8"/>
              </w:rPr>
              <w:t>15</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8"/>
              </w:rPr>
              <w:t>0.51</w:t>
            </w:r>
          </w:p>
        </w:tc>
        <w:tc>
          <w:tcPr>
            <w:tcW w:w="1274" w:type="dxa"/>
            <w:vMerge w:val="continue"/>
            <w:vAlign w:val="center"/>
          </w:tcPr>
          <w:p>
            <w:pPr>
              <w:pStyle w:val="28"/>
              <w:snapToGrid w:val="0"/>
              <w:ind w:firstLine="36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8"/>
              </w:rPr>
            </w:pPr>
            <w:r>
              <w:rPr>
                <w:rFonts w:ascii="Times New Roman"/>
                <w:sz w:val="18"/>
                <w:szCs w:val="18"/>
              </w:rPr>
              <w:t>沥青烟</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8"/>
              </w:rPr>
              <w:t>20</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8"/>
              </w:rPr>
              <w:t>0.11</w:t>
            </w:r>
          </w:p>
        </w:tc>
        <w:tc>
          <w:tcPr>
            <w:tcW w:w="1274" w:type="dxa"/>
            <w:vMerge w:val="continue"/>
            <w:vAlign w:val="center"/>
          </w:tcPr>
          <w:p>
            <w:pPr>
              <w:pStyle w:val="28"/>
              <w:snapToGrid w:val="0"/>
              <w:ind w:firstLine="36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8"/>
              </w:rPr>
            </w:pPr>
            <w:r>
              <w:rPr>
                <w:rFonts w:ascii="Times New Roman"/>
                <w:sz w:val="18"/>
                <w:szCs w:val="18"/>
              </w:rPr>
              <w:t>其他</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8"/>
              </w:rPr>
              <w:t>20</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8"/>
              </w:rPr>
              <w:t>1</w:t>
            </w:r>
          </w:p>
        </w:tc>
        <w:tc>
          <w:tcPr>
            <w:tcW w:w="1274" w:type="dxa"/>
            <w:vMerge w:val="continue"/>
            <w:vAlign w:val="center"/>
          </w:tcPr>
          <w:p>
            <w:pPr>
              <w:pStyle w:val="28"/>
              <w:snapToGrid w:val="0"/>
              <w:ind w:firstLine="36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704" w:type="dxa"/>
            <w:vMerge w:val="restart"/>
            <w:vAlign w:val="center"/>
          </w:tcPr>
          <w:p>
            <w:pPr>
              <w:pStyle w:val="28"/>
              <w:snapToGrid w:val="0"/>
              <w:ind w:firstLine="0" w:firstLineChars="0"/>
              <w:jc w:val="center"/>
              <w:rPr>
                <w:rFonts w:ascii="Times New Roman"/>
                <w:sz w:val="18"/>
                <w:szCs w:val="18"/>
              </w:rPr>
            </w:pPr>
            <w:r>
              <w:rPr>
                <w:rFonts w:ascii="Times New Roman"/>
                <w:sz w:val="18"/>
                <w:szCs w:val="18"/>
              </w:rPr>
              <w:t>2</w:t>
            </w:r>
          </w:p>
        </w:tc>
        <w:tc>
          <w:tcPr>
            <w:tcW w:w="1309" w:type="dxa"/>
            <w:vMerge w:val="restart"/>
            <w:vAlign w:val="center"/>
          </w:tcPr>
          <w:p>
            <w:pPr>
              <w:pStyle w:val="28"/>
              <w:snapToGrid w:val="0"/>
              <w:ind w:firstLine="0" w:firstLineChars="0"/>
              <w:jc w:val="center"/>
              <w:rPr>
                <w:rFonts w:ascii="Times New Roman"/>
                <w:sz w:val="18"/>
                <w:szCs w:val="18"/>
              </w:rPr>
            </w:pPr>
            <w:r>
              <w:rPr>
                <w:rFonts w:ascii="Times New Roman"/>
                <w:sz w:val="18"/>
                <w:szCs w:val="18"/>
              </w:rPr>
              <w:t>二氧化硫</w:t>
            </w:r>
          </w:p>
        </w:tc>
        <w:tc>
          <w:tcPr>
            <w:tcW w:w="1810" w:type="dxa"/>
            <w:vAlign w:val="center"/>
          </w:tcPr>
          <w:p>
            <w:pPr>
              <w:pStyle w:val="28"/>
              <w:snapToGrid w:val="0"/>
              <w:ind w:firstLine="0" w:firstLineChars="0"/>
              <w:jc w:val="center"/>
              <w:rPr>
                <w:rFonts w:ascii="Times New Roman"/>
                <w:sz w:val="18"/>
                <w:szCs w:val="18"/>
              </w:rPr>
            </w:pPr>
            <w:r>
              <w:rPr>
                <w:rFonts w:ascii="Times New Roman"/>
                <w:sz w:val="18"/>
                <w:szCs w:val="18"/>
              </w:rPr>
              <w:t>燃烧（焚烧、氧化）装置、固定式内燃机、发动机制造测试工艺</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8"/>
              </w:rPr>
              <w:t>200</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8"/>
              </w:rPr>
              <w:t>/</w:t>
            </w:r>
          </w:p>
        </w:tc>
        <w:tc>
          <w:tcPr>
            <w:tcW w:w="1274" w:type="dxa"/>
            <w:vMerge w:val="continue"/>
            <w:vAlign w:val="center"/>
          </w:tcPr>
          <w:p>
            <w:pPr>
              <w:pStyle w:val="28"/>
              <w:snapToGrid w:val="0"/>
              <w:ind w:firstLine="36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8"/>
              </w:rPr>
            </w:pPr>
            <w:r>
              <w:rPr>
                <w:rFonts w:ascii="Times New Roman"/>
                <w:sz w:val="18"/>
                <w:szCs w:val="18"/>
              </w:rPr>
              <w:t>其他</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8"/>
              </w:rPr>
              <w:t>200</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8"/>
              </w:rPr>
              <w:t>1.4</w:t>
            </w:r>
          </w:p>
        </w:tc>
        <w:tc>
          <w:tcPr>
            <w:tcW w:w="1274" w:type="dxa"/>
            <w:vMerge w:val="continue"/>
            <w:vAlign w:val="center"/>
          </w:tcPr>
          <w:p>
            <w:pPr>
              <w:pStyle w:val="28"/>
              <w:snapToGrid w:val="0"/>
              <w:ind w:firstLine="36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4" w:type="dxa"/>
            <w:vMerge w:val="restart"/>
            <w:vAlign w:val="center"/>
          </w:tcPr>
          <w:p>
            <w:pPr>
              <w:pStyle w:val="28"/>
              <w:snapToGrid w:val="0"/>
              <w:ind w:firstLine="0" w:firstLineChars="0"/>
              <w:jc w:val="center"/>
              <w:rPr>
                <w:rFonts w:ascii="Times New Roman"/>
                <w:sz w:val="18"/>
                <w:szCs w:val="18"/>
              </w:rPr>
            </w:pPr>
            <w:r>
              <w:rPr>
                <w:rFonts w:ascii="Times New Roman"/>
                <w:sz w:val="18"/>
                <w:szCs w:val="18"/>
              </w:rPr>
              <w:t>3</w:t>
            </w:r>
          </w:p>
        </w:tc>
        <w:tc>
          <w:tcPr>
            <w:tcW w:w="1309" w:type="dxa"/>
            <w:vMerge w:val="restart"/>
            <w:vAlign w:val="center"/>
          </w:tcPr>
          <w:p>
            <w:pPr>
              <w:pStyle w:val="28"/>
              <w:snapToGrid w:val="0"/>
              <w:ind w:firstLine="0" w:firstLineChars="0"/>
              <w:jc w:val="center"/>
              <w:rPr>
                <w:rFonts w:ascii="Times New Roman"/>
                <w:sz w:val="18"/>
                <w:szCs w:val="18"/>
              </w:rPr>
            </w:pPr>
            <w:r>
              <w:rPr>
                <w:rFonts w:hint="eastAsia" w:ascii="Times New Roman"/>
                <w:sz w:val="18"/>
                <w:szCs w:val="18"/>
              </w:rPr>
              <w:t>氮氧化物</w:t>
            </w:r>
          </w:p>
          <w:p>
            <w:pPr>
              <w:pStyle w:val="28"/>
              <w:snapToGrid w:val="0"/>
              <w:ind w:firstLine="0" w:firstLineChars="0"/>
              <w:jc w:val="center"/>
              <w:rPr>
                <w:rFonts w:ascii="Times New Roman"/>
                <w:sz w:val="18"/>
                <w:szCs w:val="18"/>
              </w:rPr>
            </w:pPr>
            <w:r>
              <w:rPr>
                <w:rFonts w:ascii="Times New Roman"/>
                <w:sz w:val="18"/>
                <w:szCs w:val="16"/>
              </w:rPr>
              <w:t>（以NO</w:t>
            </w:r>
            <w:r>
              <w:rPr>
                <w:rFonts w:ascii="Times New Roman"/>
                <w:sz w:val="18"/>
                <w:szCs w:val="16"/>
                <w:vertAlign w:val="subscript"/>
              </w:rPr>
              <w:t>2</w:t>
            </w:r>
            <w:r>
              <w:rPr>
                <w:rFonts w:ascii="Times New Roman"/>
                <w:sz w:val="18"/>
                <w:szCs w:val="16"/>
              </w:rPr>
              <w:t>计）</w:t>
            </w:r>
          </w:p>
        </w:tc>
        <w:tc>
          <w:tcPr>
            <w:tcW w:w="1810" w:type="dxa"/>
            <w:vAlign w:val="center"/>
          </w:tcPr>
          <w:p>
            <w:pPr>
              <w:pStyle w:val="28"/>
              <w:snapToGrid w:val="0"/>
              <w:ind w:firstLine="0" w:firstLineChars="0"/>
              <w:jc w:val="center"/>
              <w:rPr>
                <w:rFonts w:ascii="Times New Roman"/>
                <w:sz w:val="18"/>
                <w:szCs w:val="18"/>
              </w:rPr>
            </w:pPr>
            <w:r>
              <w:rPr>
                <w:rFonts w:ascii="Times New Roman"/>
                <w:sz w:val="18"/>
                <w:szCs w:val="16"/>
              </w:rPr>
              <w:t>炸药、火工及焰火产品制造</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6"/>
              </w:rPr>
              <w:t>300</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6"/>
              </w:rPr>
              <w:t>0.77</w:t>
            </w:r>
          </w:p>
        </w:tc>
        <w:tc>
          <w:tcPr>
            <w:tcW w:w="1274"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8"/>
              </w:rPr>
            </w:pPr>
            <w:r>
              <w:rPr>
                <w:rFonts w:ascii="Times New Roman"/>
                <w:sz w:val="18"/>
                <w:szCs w:val="16"/>
              </w:rPr>
              <w:t>燃烧（焚烧、氧化）装置、固定式内燃机、发动机制造测试工艺</w:t>
            </w:r>
          </w:p>
        </w:tc>
        <w:tc>
          <w:tcPr>
            <w:tcW w:w="2197" w:type="dxa"/>
            <w:vAlign w:val="center"/>
          </w:tcPr>
          <w:p>
            <w:pPr>
              <w:pStyle w:val="28"/>
              <w:snapToGrid w:val="0"/>
              <w:ind w:firstLine="0" w:firstLineChars="0"/>
              <w:jc w:val="center"/>
              <w:rPr>
                <w:rFonts w:ascii="Times New Roman"/>
                <w:sz w:val="18"/>
                <w:szCs w:val="18"/>
              </w:rPr>
            </w:pPr>
            <w:r>
              <w:rPr>
                <w:rFonts w:ascii="Times New Roman"/>
                <w:sz w:val="18"/>
                <w:szCs w:val="16"/>
              </w:rPr>
              <w:t>200</w:t>
            </w:r>
          </w:p>
        </w:tc>
        <w:tc>
          <w:tcPr>
            <w:tcW w:w="2055" w:type="dxa"/>
            <w:vAlign w:val="center"/>
          </w:tcPr>
          <w:p>
            <w:pPr>
              <w:pStyle w:val="28"/>
              <w:snapToGrid w:val="0"/>
              <w:ind w:firstLine="0" w:firstLineChars="0"/>
              <w:jc w:val="center"/>
              <w:rPr>
                <w:rFonts w:ascii="Times New Roman"/>
                <w:sz w:val="18"/>
                <w:szCs w:val="18"/>
              </w:rPr>
            </w:pPr>
            <w:r>
              <w:rPr>
                <w:rFonts w:ascii="Times New Roman"/>
                <w:sz w:val="18"/>
                <w:szCs w:val="16"/>
              </w:rPr>
              <w:t>/</w:t>
            </w:r>
          </w:p>
        </w:tc>
        <w:tc>
          <w:tcPr>
            <w:tcW w:w="1274"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6"/>
              </w:rPr>
            </w:pPr>
            <w:r>
              <w:rPr>
                <w:rFonts w:ascii="Times New Roman"/>
                <w:sz w:val="18"/>
                <w:szCs w:val="16"/>
              </w:rPr>
              <w:t>其他</w:t>
            </w:r>
          </w:p>
        </w:tc>
        <w:tc>
          <w:tcPr>
            <w:tcW w:w="2197" w:type="dxa"/>
            <w:vAlign w:val="center"/>
          </w:tcPr>
          <w:p>
            <w:pPr>
              <w:pStyle w:val="28"/>
              <w:snapToGrid w:val="0"/>
              <w:ind w:firstLine="0" w:firstLineChars="0"/>
              <w:jc w:val="center"/>
              <w:rPr>
                <w:rFonts w:ascii="Times New Roman"/>
                <w:sz w:val="18"/>
                <w:szCs w:val="16"/>
              </w:rPr>
            </w:pPr>
            <w:r>
              <w:rPr>
                <w:rFonts w:ascii="Times New Roman"/>
                <w:sz w:val="18"/>
                <w:szCs w:val="16"/>
              </w:rPr>
              <w:t>100</w:t>
            </w:r>
          </w:p>
        </w:tc>
        <w:tc>
          <w:tcPr>
            <w:tcW w:w="2055" w:type="dxa"/>
            <w:vAlign w:val="center"/>
          </w:tcPr>
          <w:p>
            <w:pPr>
              <w:pStyle w:val="28"/>
              <w:snapToGrid w:val="0"/>
              <w:ind w:firstLine="0" w:firstLineChars="0"/>
              <w:jc w:val="center"/>
              <w:rPr>
                <w:rFonts w:ascii="Times New Roman"/>
                <w:sz w:val="18"/>
                <w:szCs w:val="16"/>
              </w:rPr>
            </w:pPr>
            <w:r>
              <w:rPr>
                <w:rFonts w:ascii="Times New Roman"/>
                <w:sz w:val="18"/>
                <w:szCs w:val="16"/>
              </w:rPr>
              <w:t>0.47</w:t>
            </w:r>
          </w:p>
        </w:tc>
        <w:tc>
          <w:tcPr>
            <w:tcW w:w="1274"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4"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4</w:t>
            </w:r>
          </w:p>
        </w:tc>
        <w:tc>
          <w:tcPr>
            <w:tcW w:w="1309"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NMHC</w:t>
            </w:r>
            <w:r>
              <w:rPr>
                <w:rFonts w:ascii="Times New Roman"/>
                <w:sz w:val="18"/>
                <w:szCs w:val="16"/>
                <w:vertAlign w:val="superscript"/>
              </w:rPr>
              <w:t>a</w:t>
            </w:r>
          </w:p>
        </w:tc>
        <w:tc>
          <w:tcPr>
            <w:tcW w:w="1810" w:type="dxa"/>
            <w:vAlign w:val="center"/>
          </w:tcPr>
          <w:p>
            <w:pPr>
              <w:pStyle w:val="28"/>
              <w:snapToGrid w:val="0"/>
              <w:ind w:firstLine="0" w:firstLineChars="0"/>
              <w:jc w:val="center"/>
              <w:rPr>
                <w:rFonts w:ascii="Times New Roman"/>
                <w:sz w:val="18"/>
                <w:szCs w:val="16"/>
              </w:rPr>
            </w:pPr>
            <w:r>
              <w:rPr>
                <w:rFonts w:ascii="Times New Roman"/>
                <w:sz w:val="18"/>
                <w:szCs w:val="16"/>
              </w:rPr>
              <w:t>船舶制造室内涂装工艺</w:t>
            </w:r>
          </w:p>
        </w:tc>
        <w:tc>
          <w:tcPr>
            <w:tcW w:w="2197" w:type="dxa"/>
            <w:vAlign w:val="center"/>
          </w:tcPr>
          <w:p>
            <w:pPr>
              <w:pStyle w:val="28"/>
              <w:snapToGrid w:val="0"/>
              <w:ind w:firstLine="0" w:firstLineChars="0"/>
              <w:jc w:val="center"/>
              <w:rPr>
                <w:rFonts w:ascii="Times New Roman"/>
                <w:sz w:val="18"/>
                <w:szCs w:val="16"/>
                <w:highlight w:val="yellow"/>
              </w:rPr>
            </w:pPr>
            <w:r>
              <w:rPr>
                <w:rFonts w:ascii="Times New Roman"/>
                <w:sz w:val="18"/>
                <w:szCs w:val="16"/>
              </w:rPr>
              <w:t>70</w:t>
            </w:r>
          </w:p>
        </w:tc>
        <w:tc>
          <w:tcPr>
            <w:tcW w:w="2055" w:type="dxa"/>
            <w:vAlign w:val="center"/>
          </w:tcPr>
          <w:p>
            <w:pPr>
              <w:pStyle w:val="28"/>
              <w:snapToGrid w:val="0"/>
              <w:ind w:firstLine="0" w:firstLineChars="0"/>
              <w:jc w:val="center"/>
              <w:rPr>
                <w:rFonts w:ascii="Times New Roman"/>
                <w:sz w:val="18"/>
                <w:szCs w:val="16"/>
              </w:rPr>
            </w:pPr>
            <w:r>
              <w:rPr>
                <w:rFonts w:ascii="Times New Roman"/>
                <w:sz w:val="18"/>
                <w:szCs w:val="16"/>
              </w:rPr>
              <w:t>7</w:t>
            </w:r>
          </w:p>
        </w:tc>
        <w:tc>
          <w:tcPr>
            <w:tcW w:w="1274"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6"/>
              </w:rPr>
            </w:pPr>
            <w:r>
              <w:rPr>
                <w:rFonts w:ascii="Times New Roman"/>
                <w:sz w:val="18"/>
                <w:szCs w:val="16"/>
              </w:rPr>
              <w:t>其他</w:t>
            </w:r>
          </w:p>
        </w:tc>
        <w:tc>
          <w:tcPr>
            <w:tcW w:w="2197" w:type="dxa"/>
            <w:vAlign w:val="center"/>
          </w:tcPr>
          <w:p>
            <w:pPr>
              <w:pStyle w:val="28"/>
              <w:snapToGrid w:val="0"/>
              <w:ind w:firstLine="0" w:firstLineChars="0"/>
              <w:jc w:val="center"/>
              <w:rPr>
                <w:rFonts w:ascii="Times New Roman"/>
                <w:sz w:val="18"/>
                <w:szCs w:val="16"/>
                <w:highlight w:val="yellow"/>
              </w:rPr>
            </w:pPr>
            <w:r>
              <w:rPr>
                <w:rFonts w:ascii="Times New Roman"/>
                <w:sz w:val="18"/>
                <w:szCs w:val="16"/>
              </w:rPr>
              <w:t>60</w:t>
            </w:r>
          </w:p>
        </w:tc>
        <w:tc>
          <w:tcPr>
            <w:tcW w:w="2055" w:type="dxa"/>
            <w:vAlign w:val="center"/>
          </w:tcPr>
          <w:p>
            <w:pPr>
              <w:pStyle w:val="28"/>
              <w:snapToGrid w:val="0"/>
              <w:ind w:firstLine="0" w:firstLineChars="0"/>
              <w:jc w:val="center"/>
              <w:rPr>
                <w:rFonts w:ascii="Times New Roman"/>
                <w:sz w:val="18"/>
                <w:szCs w:val="16"/>
              </w:rPr>
            </w:pPr>
            <w:r>
              <w:rPr>
                <w:rFonts w:ascii="Times New Roman"/>
                <w:sz w:val="18"/>
                <w:szCs w:val="16"/>
              </w:rPr>
              <w:t>3</w:t>
            </w:r>
          </w:p>
        </w:tc>
        <w:tc>
          <w:tcPr>
            <w:tcW w:w="1274"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5</w:t>
            </w:r>
          </w:p>
        </w:tc>
        <w:tc>
          <w:tcPr>
            <w:tcW w:w="1309"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苯</w:t>
            </w:r>
          </w:p>
        </w:tc>
        <w:tc>
          <w:tcPr>
            <w:tcW w:w="1810" w:type="dxa"/>
            <w:vAlign w:val="center"/>
          </w:tcPr>
          <w:p>
            <w:pPr>
              <w:pStyle w:val="28"/>
              <w:snapToGrid w:val="0"/>
              <w:ind w:firstLine="0" w:firstLineChars="0"/>
              <w:jc w:val="center"/>
              <w:rPr>
                <w:rFonts w:ascii="Times New Roman"/>
                <w:sz w:val="18"/>
                <w:szCs w:val="16"/>
              </w:rPr>
            </w:pPr>
            <w:r>
              <w:rPr>
                <w:rFonts w:ascii="Times New Roman"/>
                <w:sz w:val="18"/>
                <w:szCs w:val="16"/>
              </w:rPr>
              <w:t>船舶制造预处理</w:t>
            </w:r>
            <w:r>
              <w:rPr>
                <w:rFonts w:hint="eastAsia" w:ascii="Times New Roman"/>
                <w:sz w:val="18"/>
                <w:szCs w:val="16"/>
              </w:rPr>
              <w:t>及</w:t>
            </w:r>
            <w:r>
              <w:rPr>
                <w:rFonts w:ascii="Times New Roman"/>
                <w:sz w:val="18"/>
                <w:szCs w:val="16"/>
              </w:rPr>
              <w:t>室内涂装工艺</w:t>
            </w:r>
          </w:p>
        </w:tc>
        <w:tc>
          <w:tcPr>
            <w:tcW w:w="2197" w:type="dxa"/>
            <w:vAlign w:val="center"/>
          </w:tcPr>
          <w:p>
            <w:pPr>
              <w:pStyle w:val="28"/>
              <w:snapToGrid w:val="0"/>
              <w:ind w:firstLine="0" w:firstLineChars="0"/>
              <w:jc w:val="center"/>
              <w:rPr>
                <w:rFonts w:ascii="Times New Roman"/>
                <w:sz w:val="18"/>
                <w:szCs w:val="16"/>
              </w:rPr>
            </w:pPr>
            <w:r>
              <w:rPr>
                <w:rFonts w:ascii="Times New Roman"/>
                <w:sz w:val="18"/>
                <w:szCs w:val="16"/>
              </w:rPr>
              <w:t>1</w:t>
            </w:r>
          </w:p>
        </w:tc>
        <w:tc>
          <w:tcPr>
            <w:tcW w:w="2055" w:type="dxa"/>
            <w:vAlign w:val="center"/>
          </w:tcPr>
          <w:p>
            <w:pPr>
              <w:pStyle w:val="28"/>
              <w:snapToGrid w:val="0"/>
              <w:ind w:firstLine="0" w:firstLineChars="0"/>
              <w:jc w:val="center"/>
              <w:rPr>
                <w:rFonts w:ascii="Times New Roman"/>
                <w:sz w:val="18"/>
                <w:szCs w:val="16"/>
              </w:rPr>
            </w:pPr>
            <w:r>
              <w:rPr>
                <w:rFonts w:ascii="Times New Roman"/>
                <w:sz w:val="18"/>
                <w:szCs w:val="16"/>
              </w:rPr>
              <w:t>0.3</w:t>
            </w:r>
          </w:p>
        </w:tc>
        <w:tc>
          <w:tcPr>
            <w:tcW w:w="1274"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pStyle w:val="28"/>
              <w:snapToGrid w:val="0"/>
              <w:ind w:firstLine="0" w:firstLineChars="0"/>
              <w:jc w:val="center"/>
              <w:rPr>
                <w:rFonts w:ascii="Times New Roman"/>
                <w:sz w:val="18"/>
                <w:szCs w:val="18"/>
              </w:rPr>
            </w:pPr>
          </w:p>
        </w:tc>
        <w:tc>
          <w:tcPr>
            <w:tcW w:w="1309" w:type="dxa"/>
            <w:vMerge w:val="continue"/>
            <w:vAlign w:val="center"/>
          </w:tcPr>
          <w:p>
            <w:pPr>
              <w:pStyle w:val="28"/>
              <w:snapToGrid w:val="0"/>
              <w:ind w:firstLine="0" w:firstLineChars="0"/>
              <w:jc w:val="center"/>
              <w:rPr>
                <w:rFonts w:ascii="Times New Roman"/>
                <w:sz w:val="18"/>
                <w:szCs w:val="18"/>
              </w:rPr>
            </w:pPr>
          </w:p>
        </w:tc>
        <w:tc>
          <w:tcPr>
            <w:tcW w:w="1810" w:type="dxa"/>
            <w:vAlign w:val="center"/>
          </w:tcPr>
          <w:p>
            <w:pPr>
              <w:pStyle w:val="28"/>
              <w:snapToGrid w:val="0"/>
              <w:ind w:firstLine="0" w:firstLineChars="0"/>
              <w:jc w:val="center"/>
              <w:rPr>
                <w:rFonts w:ascii="Times New Roman"/>
                <w:sz w:val="18"/>
                <w:szCs w:val="16"/>
              </w:rPr>
            </w:pPr>
            <w:r>
              <w:rPr>
                <w:rFonts w:ascii="Times New Roman"/>
                <w:sz w:val="18"/>
                <w:szCs w:val="16"/>
              </w:rPr>
              <w:t>其他</w:t>
            </w:r>
          </w:p>
        </w:tc>
        <w:tc>
          <w:tcPr>
            <w:tcW w:w="2197" w:type="dxa"/>
            <w:vAlign w:val="center"/>
          </w:tcPr>
          <w:p>
            <w:pPr>
              <w:pStyle w:val="28"/>
              <w:snapToGrid w:val="0"/>
              <w:ind w:firstLine="0" w:firstLineChars="0"/>
              <w:jc w:val="center"/>
              <w:rPr>
                <w:rFonts w:ascii="Times New Roman"/>
                <w:sz w:val="18"/>
                <w:szCs w:val="16"/>
              </w:rPr>
            </w:pPr>
            <w:r>
              <w:rPr>
                <w:rFonts w:ascii="Times New Roman"/>
                <w:sz w:val="18"/>
                <w:szCs w:val="16"/>
              </w:rPr>
              <w:t>1</w:t>
            </w:r>
          </w:p>
        </w:tc>
        <w:tc>
          <w:tcPr>
            <w:tcW w:w="2055" w:type="dxa"/>
            <w:vAlign w:val="center"/>
          </w:tcPr>
          <w:p>
            <w:pPr>
              <w:pStyle w:val="28"/>
              <w:snapToGrid w:val="0"/>
              <w:ind w:firstLine="0" w:firstLineChars="0"/>
              <w:jc w:val="center"/>
              <w:rPr>
                <w:rFonts w:ascii="Times New Roman"/>
                <w:sz w:val="18"/>
                <w:szCs w:val="16"/>
              </w:rPr>
            </w:pPr>
            <w:r>
              <w:rPr>
                <w:rFonts w:ascii="Times New Roman"/>
                <w:sz w:val="18"/>
                <w:szCs w:val="16"/>
              </w:rPr>
              <w:t>0.1</w:t>
            </w:r>
          </w:p>
        </w:tc>
        <w:tc>
          <w:tcPr>
            <w:tcW w:w="1274" w:type="dxa"/>
            <w:vMerge w:val="continue"/>
            <w:vAlign w:val="center"/>
          </w:tcPr>
          <w:p>
            <w:pPr>
              <w:pStyle w:val="28"/>
              <w:snapToGrid w:val="0"/>
              <w:ind w:firstLine="0" w:firstLineChars="0"/>
              <w:jc w:val="center"/>
              <w:rPr>
                <w:rFonts w:ascii="Times New Roman"/>
                <w:sz w:val="18"/>
                <w:szCs w:val="18"/>
              </w:rPr>
            </w:pPr>
          </w:p>
        </w:tc>
      </w:tr>
    </w:tbl>
    <w:p>
      <w:pPr>
        <w:pStyle w:val="134"/>
        <w:numPr>
          <w:ilvl w:val="0"/>
          <w:numId w:val="0"/>
        </w:numPr>
      </w:pPr>
      <w:r>
        <w:rPr>
          <w:rFonts w:hint="eastAsia" w:ascii="Times New Roman"/>
        </w:rPr>
        <w:t>表1</w:t>
      </w:r>
      <w:r>
        <w:rPr>
          <w:rFonts w:ascii="Times New Roman"/>
        </w:rPr>
        <w:t xml:space="preserve">  </w:t>
      </w:r>
      <w:r>
        <w:rPr>
          <w:rFonts w:hint="eastAsia" w:ascii="Times New Roman"/>
        </w:rPr>
        <w:t>大气污染物有组织排放限值（续）</w:t>
      </w:r>
    </w:p>
    <w:tbl>
      <w:tblPr>
        <w:tblStyle w:val="3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6"/>
        <w:gridCol w:w="1301"/>
        <w:gridCol w:w="1799"/>
        <w:gridCol w:w="2184"/>
        <w:gridCol w:w="2043"/>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8"/>
              </w:rPr>
              <w:t>序号</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污染物</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最高允许排放浓度</w:t>
            </w:r>
          </w:p>
          <w:p>
            <w:pPr>
              <w:pStyle w:val="28"/>
              <w:snapToGrid w:val="0"/>
              <w:ind w:firstLine="0" w:firstLineChars="0"/>
              <w:jc w:val="center"/>
              <w:rPr>
                <w:rFonts w:ascii="Times New Roman"/>
                <w:sz w:val="18"/>
                <w:szCs w:val="16"/>
              </w:rPr>
            </w:pPr>
            <w:r>
              <w:rPr>
                <w:rFonts w:ascii="Times New Roman"/>
                <w:sz w:val="18"/>
                <w:szCs w:val="18"/>
              </w:rPr>
              <w:t>mg/m</w:t>
            </w:r>
            <w:r>
              <w:rPr>
                <w:rFonts w:ascii="Times New Roman"/>
                <w:sz w:val="18"/>
                <w:szCs w:val="18"/>
                <w:vertAlign w:val="superscript"/>
              </w:rPr>
              <w:t>3</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最高允许排放速率</w:t>
            </w:r>
          </w:p>
          <w:p>
            <w:pPr>
              <w:pStyle w:val="28"/>
              <w:snapToGrid w:val="0"/>
              <w:ind w:firstLine="0" w:firstLineChars="0"/>
              <w:jc w:val="center"/>
              <w:rPr>
                <w:rFonts w:ascii="Times New Roman"/>
                <w:sz w:val="18"/>
                <w:szCs w:val="16"/>
              </w:rPr>
            </w:pPr>
            <w:r>
              <w:rPr>
                <w:rFonts w:ascii="Times New Roman"/>
                <w:sz w:val="18"/>
                <w:szCs w:val="18"/>
              </w:rPr>
              <w:t>kg/h</w:t>
            </w:r>
          </w:p>
        </w:tc>
        <w:tc>
          <w:tcPr>
            <w:tcW w:w="1266" w:type="dxa"/>
            <w:vAlign w:val="center"/>
          </w:tcPr>
          <w:p>
            <w:pPr>
              <w:pStyle w:val="28"/>
              <w:snapToGrid w:val="0"/>
              <w:ind w:firstLine="0" w:firstLineChars="0"/>
              <w:jc w:val="center"/>
              <w:rPr>
                <w:rFonts w:ascii="Times New Roman"/>
                <w:sz w:val="18"/>
                <w:szCs w:val="18"/>
              </w:rPr>
            </w:pPr>
            <w:r>
              <w:rPr>
                <w:rFonts w:ascii="Times New Roman"/>
                <w:sz w:val="18"/>
                <w:szCs w:val="18"/>
              </w:rPr>
              <w:t>监控位置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56"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6</w:t>
            </w:r>
          </w:p>
        </w:tc>
        <w:tc>
          <w:tcPr>
            <w:tcW w:w="1301"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甲苯</w:t>
            </w:r>
          </w:p>
        </w:tc>
        <w:tc>
          <w:tcPr>
            <w:tcW w:w="1799" w:type="dxa"/>
            <w:vAlign w:val="center"/>
          </w:tcPr>
          <w:p>
            <w:pPr>
              <w:pStyle w:val="28"/>
              <w:snapToGrid w:val="0"/>
              <w:ind w:firstLine="0" w:firstLineChars="0"/>
              <w:jc w:val="center"/>
              <w:rPr>
                <w:rFonts w:ascii="Times New Roman"/>
                <w:sz w:val="18"/>
                <w:szCs w:val="18"/>
              </w:rPr>
            </w:pPr>
            <w:r>
              <w:rPr>
                <w:rFonts w:ascii="Times New Roman"/>
                <w:sz w:val="18"/>
                <w:szCs w:val="16"/>
              </w:rPr>
              <w:t>船舶制造预处理</w:t>
            </w:r>
            <w:r>
              <w:rPr>
                <w:rFonts w:hint="eastAsia" w:ascii="Times New Roman"/>
                <w:sz w:val="18"/>
                <w:szCs w:val="16"/>
              </w:rPr>
              <w:t>及</w:t>
            </w:r>
            <w:r>
              <w:rPr>
                <w:rFonts w:ascii="Times New Roman"/>
                <w:sz w:val="18"/>
                <w:szCs w:val="16"/>
              </w:rPr>
              <w:t>室内涂装工艺</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3</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0.6</w:t>
            </w:r>
          </w:p>
        </w:tc>
        <w:tc>
          <w:tcPr>
            <w:tcW w:w="1266" w:type="dxa"/>
            <w:vMerge w:val="restart"/>
            <w:vAlign w:val="center"/>
          </w:tcPr>
          <w:p>
            <w:pPr>
              <w:pStyle w:val="28"/>
              <w:snapToGrid w:val="0"/>
              <w:ind w:firstLine="0" w:firstLineChars="0"/>
              <w:jc w:val="center"/>
              <w:rPr>
                <w:rFonts w:ascii="Times New Roman"/>
                <w:sz w:val="18"/>
                <w:szCs w:val="18"/>
              </w:rPr>
            </w:pPr>
            <w:r>
              <w:rPr>
                <w:rFonts w:hint="eastAsia" w:ascii="Times New Roman"/>
                <w:sz w:val="18"/>
                <w:szCs w:val="18"/>
              </w:rPr>
              <w:t>车间排气筒出口或生产设施排气筒出口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Merge w:val="continue"/>
            <w:vAlign w:val="center"/>
          </w:tcPr>
          <w:p>
            <w:pPr>
              <w:pStyle w:val="28"/>
              <w:snapToGrid w:val="0"/>
              <w:ind w:firstLine="0" w:firstLineChars="0"/>
              <w:jc w:val="center"/>
              <w:rPr>
                <w:rFonts w:ascii="Times New Roman"/>
                <w:sz w:val="18"/>
                <w:szCs w:val="18"/>
              </w:rPr>
            </w:pPr>
          </w:p>
        </w:tc>
        <w:tc>
          <w:tcPr>
            <w:tcW w:w="1301" w:type="dxa"/>
            <w:vMerge w:val="continue"/>
            <w:vAlign w:val="center"/>
          </w:tcPr>
          <w:p>
            <w:pPr>
              <w:pStyle w:val="28"/>
              <w:snapToGrid w:val="0"/>
              <w:ind w:firstLine="0" w:firstLineChars="0"/>
              <w:jc w:val="center"/>
              <w:rPr>
                <w:rFonts w:ascii="Times New Roman"/>
                <w:sz w:val="18"/>
                <w:szCs w:val="18"/>
              </w:rPr>
            </w:pPr>
          </w:p>
        </w:tc>
        <w:tc>
          <w:tcPr>
            <w:tcW w:w="1799" w:type="dxa"/>
            <w:vAlign w:val="center"/>
          </w:tcPr>
          <w:p>
            <w:pPr>
              <w:pStyle w:val="28"/>
              <w:snapToGrid w:val="0"/>
              <w:ind w:firstLine="0" w:firstLineChars="0"/>
              <w:jc w:val="center"/>
              <w:rPr>
                <w:rFonts w:ascii="Times New Roman"/>
                <w:sz w:val="18"/>
                <w:szCs w:val="18"/>
              </w:rPr>
            </w:pPr>
            <w:r>
              <w:rPr>
                <w:rFonts w:ascii="Times New Roman"/>
                <w:sz w:val="18"/>
                <w:szCs w:val="16"/>
              </w:rPr>
              <w:t>其他</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10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0.2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56"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7</w:t>
            </w:r>
          </w:p>
        </w:tc>
        <w:tc>
          <w:tcPr>
            <w:tcW w:w="1301"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二甲苯</w:t>
            </w:r>
          </w:p>
        </w:tc>
        <w:tc>
          <w:tcPr>
            <w:tcW w:w="1799" w:type="dxa"/>
            <w:vAlign w:val="center"/>
          </w:tcPr>
          <w:p>
            <w:pPr>
              <w:pStyle w:val="28"/>
              <w:snapToGrid w:val="0"/>
              <w:ind w:firstLine="0" w:firstLineChars="0"/>
              <w:jc w:val="center"/>
              <w:rPr>
                <w:rFonts w:ascii="Times New Roman"/>
                <w:sz w:val="18"/>
                <w:szCs w:val="18"/>
              </w:rPr>
            </w:pPr>
            <w:r>
              <w:rPr>
                <w:rFonts w:ascii="Times New Roman"/>
                <w:sz w:val="18"/>
                <w:szCs w:val="16"/>
              </w:rPr>
              <w:t>船舶制造预处理</w:t>
            </w:r>
            <w:r>
              <w:rPr>
                <w:rFonts w:hint="eastAsia" w:ascii="Times New Roman"/>
                <w:sz w:val="18"/>
                <w:szCs w:val="16"/>
              </w:rPr>
              <w:t>及</w:t>
            </w:r>
            <w:r>
              <w:rPr>
                <w:rFonts w:ascii="Times New Roman"/>
                <w:sz w:val="18"/>
                <w:szCs w:val="16"/>
              </w:rPr>
              <w:t>室内涂装工艺</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25</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2.5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Merge w:val="continue"/>
            <w:vAlign w:val="center"/>
          </w:tcPr>
          <w:p>
            <w:pPr>
              <w:pStyle w:val="28"/>
              <w:snapToGrid w:val="0"/>
              <w:ind w:firstLine="0" w:firstLineChars="0"/>
              <w:jc w:val="center"/>
              <w:rPr>
                <w:rFonts w:ascii="Times New Roman"/>
                <w:sz w:val="18"/>
                <w:szCs w:val="18"/>
              </w:rPr>
            </w:pPr>
          </w:p>
        </w:tc>
        <w:tc>
          <w:tcPr>
            <w:tcW w:w="1301" w:type="dxa"/>
            <w:vMerge w:val="continue"/>
            <w:vAlign w:val="center"/>
          </w:tcPr>
          <w:p>
            <w:pPr>
              <w:pStyle w:val="28"/>
              <w:snapToGrid w:val="0"/>
              <w:ind w:firstLine="0" w:firstLineChars="0"/>
              <w:jc w:val="center"/>
              <w:rPr>
                <w:rFonts w:ascii="Times New Roman"/>
                <w:sz w:val="18"/>
                <w:szCs w:val="18"/>
              </w:rPr>
            </w:pPr>
          </w:p>
        </w:tc>
        <w:tc>
          <w:tcPr>
            <w:tcW w:w="1799" w:type="dxa"/>
            <w:vAlign w:val="center"/>
          </w:tcPr>
          <w:p>
            <w:pPr>
              <w:pStyle w:val="28"/>
              <w:snapToGrid w:val="0"/>
              <w:ind w:firstLine="0" w:firstLineChars="0"/>
              <w:jc w:val="center"/>
              <w:rPr>
                <w:rFonts w:ascii="Times New Roman"/>
                <w:sz w:val="18"/>
                <w:szCs w:val="18"/>
              </w:rPr>
            </w:pPr>
            <w:r>
              <w:rPr>
                <w:rFonts w:ascii="Times New Roman"/>
                <w:sz w:val="18"/>
                <w:szCs w:val="16"/>
              </w:rPr>
              <w:t>其他</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10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0.72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56"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8</w:t>
            </w:r>
          </w:p>
        </w:tc>
        <w:tc>
          <w:tcPr>
            <w:tcW w:w="1301" w:type="dxa"/>
            <w:vMerge w:val="restart"/>
            <w:vAlign w:val="center"/>
          </w:tcPr>
          <w:p>
            <w:pPr>
              <w:pStyle w:val="28"/>
              <w:snapToGrid w:val="0"/>
              <w:ind w:firstLine="0" w:firstLineChars="0"/>
              <w:jc w:val="center"/>
              <w:rPr>
                <w:rFonts w:ascii="Times New Roman"/>
                <w:sz w:val="18"/>
                <w:szCs w:val="18"/>
              </w:rPr>
            </w:pPr>
            <w:r>
              <w:rPr>
                <w:rFonts w:ascii="Times New Roman"/>
                <w:sz w:val="18"/>
                <w:szCs w:val="16"/>
              </w:rPr>
              <w:t>苯系物</w:t>
            </w:r>
          </w:p>
        </w:tc>
        <w:tc>
          <w:tcPr>
            <w:tcW w:w="1799" w:type="dxa"/>
            <w:vAlign w:val="center"/>
          </w:tcPr>
          <w:p>
            <w:pPr>
              <w:pStyle w:val="28"/>
              <w:snapToGrid w:val="0"/>
              <w:ind w:firstLine="0" w:firstLineChars="0"/>
              <w:jc w:val="center"/>
              <w:rPr>
                <w:rFonts w:ascii="Times New Roman"/>
                <w:sz w:val="18"/>
                <w:szCs w:val="18"/>
              </w:rPr>
            </w:pPr>
            <w:r>
              <w:rPr>
                <w:rFonts w:ascii="Times New Roman"/>
                <w:sz w:val="18"/>
                <w:szCs w:val="16"/>
              </w:rPr>
              <w:t>船舶制造预处理</w:t>
            </w:r>
            <w:r>
              <w:rPr>
                <w:rFonts w:hint="eastAsia" w:ascii="Times New Roman"/>
                <w:sz w:val="18"/>
                <w:szCs w:val="16"/>
              </w:rPr>
              <w:t>及</w:t>
            </w:r>
            <w:r>
              <w:rPr>
                <w:rFonts w:ascii="Times New Roman"/>
                <w:sz w:val="18"/>
                <w:szCs w:val="16"/>
              </w:rPr>
              <w:t>室内涂装工艺</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45</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4.5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Merge w:val="continue"/>
            <w:vAlign w:val="center"/>
          </w:tcPr>
          <w:p>
            <w:pPr>
              <w:pStyle w:val="28"/>
              <w:snapToGrid w:val="0"/>
              <w:ind w:firstLine="0" w:firstLineChars="0"/>
              <w:jc w:val="center"/>
              <w:rPr>
                <w:rFonts w:ascii="Times New Roman"/>
                <w:sz w:val="18"/>
                <w:szCs w:val="18"/>
              </w:rPr>
            </w:pPr>
          </w:p>
        </w:tc>
        <w:tc>
          <w:tcPr>
            <w:tcW w:w="1301" w:type="dxa"/>
            <w:vMerge w:val="continue"/>
            <w:vAlign w:val="center"/>
          </w:tcPr>
          <w:p>
            <w:pPr>
              <w:pStyle w:val="28"/>
              <w:snapToGrid w:val="0"/>
              <w:ind w:firstLine="0" w:firstLineChars="0"/>
              <w:jc w:val="center"/>
              <w:rPr>
                <w:rFonts w:ascii="Times New Roman"/>
                <w:sz w:val="18"/>
                <w:szCs w:val="18"/>
              </w:rPr>
            </w:pPr>
          </w:p>
        </w:tc>
        <w:tc>
          <w:tcPr>
            <w:tcW w:w="1799" w:type="dxa"/>
            <w:vAlign w:val="center"/>
          </w:tcPr>
          <w:p>
            <w:pPr>
              <w:pStyle w:val="28"/>
              <w:snapToGrid w:val="0"/>
              <w:ind w:firstLine="0" w:firstLineChars="0"/>
              <w:jc w:val="center"/>
              <w:rPr>
                <w:rFonts w:ascii="Times New Roman"/>
                <w:sz w:val="18"/>
                <w:szCs w:val="18"/>
              </w:rPr>
            </w:pPr>
            <w:r>
              <w:rPr>
                <w:rFonts w:ascii="Times New Roman"/>
                <w:sz w:val="18"/>
                <w:szCs w:val="16"/>
              </w:rPr>
              <w:t>其他</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25</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1.6</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9</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一氧化碳</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1000</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24</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10</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氯化氢</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10</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0.18</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11</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氯气</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3</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0.072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12</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光气</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0.5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0.072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13</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氟化物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3</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0.072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14</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氰化氢</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1</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15</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硫酸雾</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1.1</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16</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铬酸雾</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0.05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0.005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17</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汞及其化合物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0.01</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0.001</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18</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铅及其化合物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0.5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0.0025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19</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镉及其化合物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0.5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0.036</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20</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铍及其化合物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0.01</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0.00073</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21</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6"/>
              </w:rPr>
              <w:t>镍及其化合物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6"/>
              </w:rPr>
              <w:t>1</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6"/>
              </w:rPr>
              <w:t>0.11</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22</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锡及其化合物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0.22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23</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砷及其化合物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0.5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0.011</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6"/>
              </w:rPr>
              <w:t>24</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铬及其化合物</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1</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0.025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25</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6"/>
              </w:rPr>
              <w:t>甲醛</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5</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0.1</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26</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6"/>
              </w:rPr>
              <w:t>乙醛</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20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0.036</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27</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6"/>
              </w:rPr>
              <w:t>丙烯醛</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6"/>
              </w:rPr>
              <w:t>16</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6"/>
              </w:rPr>
              <w:t>0.36</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8"/>
              </w:rPr>
              <w:t>28</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丙烯腈</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5</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0.3</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8"/>
              </w:rPr>
              <w:t>29</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氯苯类</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20</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0.36</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8"/>
              </w:rPr>
              <w:t>30</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硝基苯类</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10</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0.036</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8"/>
              </w:rPr>
              <w:t>31</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苯胺类</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20</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0.36</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6"/>
              </w:rPr>
            </w:pPr>
            <w:r>
              <w:rPr>
                <w:rFonts w:ascii="Times New Roman"/>
                <w:sz w:val="18"/>
                <w:szCs w:val="18"/>
              </w:rPr>
              <w:t>32</w:t>
            </w:r>
          </w:p>
        </w:tc>
        <w:tc>
          <w:tcPr>
            <w:tcW w:w="3100" w:type="dxa"/>
            <w:gridSpan w:val="2"/>
            <w:vAlign w:val="center"/>
          </w:tcPr>
          <w:p>
            <w:pPr>
              <w:pStyle w:val="28"/>
              <w:snapToGrid w:val="0"/>
              <w:ind w:firstLine="0" w:firstLineChars="0"/>
              <w:jc w:val="center"/>
              <w:rPr>
                <w:rFonts w:ascii="Times New Roman"/>
                <w:sz w:val="18"/>
                <w:szCs w:val="16"/>
              </w:rPr>
            </w:pPr>
            <w:r>
              <w:rPr>
                <w:rFonts w:ascii="Times New Roman"/>
                <w:sz w:val="18"/>
                <w:szCs w:val="18"/>
              </w:rPr>
              <w:t>酚类</w:t>
            </w:r>
          </w:p>
        </w:tc>
        <w:tc>
          <w:tcPr>
            <w:tcW w:w="2184" w:type="dxa"/>
            <w:vAlign w:val="center"/>
          </w:tcPr>
          <w:p>
            <w:pPr>
              <w:pStyle w:val="28"/>
              <w:snapToGrid w:val="0"/>
              <w:ind w:firstLine="0" w:firstLineChars="0"/>
              <w:jc w:val="center"/>
              <w:rPr>
                <w:rFonts w:ascii="Times New Roman"/>
                <w:sz w:val="18"/>
                <w:szCs w:val="16"/>
              </w:rPr>
            </w:pPr>
            <w:r>
              <w:rPr>
                <w:rFonts w:ascii="Times New Roman"/>
                <w:sz w:val="18"/>
                <w:szCs w:val="18"/>
              </w:rPr>
              <w:t>20</w:t>
            </w:r>
          </w:p>
        </w:tc>
        <w:tc>
          <w:tcPr>
            <w:tcW w:w="2043" w:type="dxa"/>
            <w:vAlign w:val="center"/>
          </w:tcPr>
          <w:p>
            <w:pPr>
              <w:pStyle w:val="28"/>
              <w:snapToGrid w:val="0"/>
              <w:ind w:firstLine="0" w:firstLineChars="0"/>
              <w:jc w:val="center"/>
              <w:rPr>
                <w:rFonts w:ascii="Times New Roman"/>
                <w:sz w:val="18"/>
                <w:szCs w:val="16"/>
              </w:rPr>
            </w:pPr>
            <w:r>
              <w:rPr>
                <w:rFonts w:ascii="Times New Roman"/>
                <w:sz w:val="18"/>
                <w:szCs w:val="18"/>
              </w:rPr>
              <w:t>0.072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33</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甲醇</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50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1.8</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34</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二氯甲烷</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20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0.45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35</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三氯甲烷</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20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0.45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36</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氯乙烯</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5</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0.54</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37</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三氯乙烯</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20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0.5</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38</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四氯乙烯</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80</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2</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39</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苯并[a]芘</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0.0003</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0.000009</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6" w:type="dxa"/>
            <w:vAlign w:val="center"/>
          </w:tcPr>
          <w:p>
            <w:pPr>
              <w:pStyle w:val="28"/>
              <w:snapToGrid w:val="0"/>
              <w:ind w:firstLine="0" w:firstLineChars="0"/>
              <w:jc w:val="center"/>
              <w:rPr>
                <w:rFonts w:ascii="Times New Roman"/>
                <w:sz w:val="18"/>
                <w:szCs w:val="18"/>
              </w:rPr>
            </w:pPr>
            <w:r>
              <w:rPr>
                <w:rFonts w:ascii="Times New Roman"/>
                <w:sz w:val="18"/>
                <w:szCs w:val="18"/>
              </w:rPr>
              <w:t>40</w:t>
            </w:r>
          </w:p>
        </w:tc>
        <w:tc>
          <w:tcPr>
            <w:tcW w:w="3100" w:type="dxa"/>
            <w:gridSpan w:val="2"/>
            <w:vAlign w:val="center"/>
          </w:tcPr>
          <w:p>
            <w:pPr>
              <w:pStyle w:val="28"/>
              <w:snapToGrid w:val="0"/>
              <w:ind w:firstLine="0" w:firstLineChars="0"/>
              <w:jc w:val="center"/>
              <w:rPr>
                <w:rFonts w:ascii="Times New Roman"/>
                <w:sz w:val="18"/>
                <w:szCs w:val="18"/>
              </w:rPr>
            </w:pPr>
            <w:r>
              <w:rPr>
                <w:rFonts w:ascii="Times New Roman"/>
                <w:sz w:val="18"/>
                <w:szCs w:val="18"/>
              </w:rPr>
              <w:t>二噁英类</w:t>
            </w:r>
          </w:p>
        </w:tc>
        <w:tc>
          <w:tcPr>
            <w:tcW w:w="2184" w:type="dxa"/>
            <w:vAlign w:val="center"/>
          </w:tcPr>
          <w:p>
            <w:pPr>
              <w:pStyle w:val="28"/>
              <w:snapToGrid w:val="0"/>
              <w:ind w:firstLine="0" w:firstLineChars="0"/>
              <w:jc w:val="center"/>
              <w:rPr>
                <w:rFonts w:ascii="Times New Roman"/>
                <w:sz w:val="18"/>
                <w:szCs w:val="18"/>
              </w:rPr>
            </w:pPr>
            <w:r>
              <w:rPr>
                <w:rFonts w:ascii="Times New Roman"/>
                <w:sz w:val="18"/>
                <w:szCs w:val="18"/>
              </w:rPr>
              <w:t>0.1ng-TEQ/m</w:t>
            </w:r>
            <w:r>
              <w:rPr>
                <w:rFonts w:ascii="Times New Roman"/>
                <w:sz w:val="18"/>
                <w:szCs w:val="18"/>
                <w:vertAlign w:val="superscript"/>
              </w:rPr>
              <w:t>3</w:t>
            </w:r>
          </w:p>
        </w:tc>
        <w:tc>
          <w:tcPr>
            <w:tcW w:w="2043" w:type="dxa"/>
            <w:vAlign w:val="center"/>
          </w:tcPr>
          <w:p>
            <w:pPr>
              <w:pStyle w:val="28"/>
              <w:snapToGrid w:val="0"/>
              <w:ind w:firstLine="0" w:firstLineChars="0"/>
              <w:jc w:val="center"/>
              <w:rPr>
                <w:rFonts w:ascii="Times New Roman"/>
                <w:sz w:val="18"/>
                <w:szCs w:val="18"/>
              </w:rPr>
            </w:pPr>
            <w:r>
              <w:rPr>
                <w:rFonts w:ascii="Times New Roman"/>
                <w:sz w:val="18"/>
                <w:szCs w:val="18"/>
              </w:rPr>
              <w:t>/</w:t>
            </w:r>
          </w:p>
        </w:tc>
        <w:tc>
          <w:tcPr>
            <w:tcW w:w="1266" w:type="dxa"/>
            <w:vMerge w:val="continue"/>
            <w:vAlign w:val="center"/>
          </w:tcPr>
          <w:p>
            <w:pPr>
              <w:pStyle w:val="28"/>
              <w:snapToGrid w:val="0"/>
              <w:ind w:firstLine="0" w:firstLineChars="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349" w:type="dxa"/>
            <w:gridSpan w:val="6"/>
            <w:vAlign w:val="center"/>
          </w:tcPr>
          <w:p>
            <w:pPr>
              <w:pStyle w:val="28"/>
              <w:snapToGrid w:val="0"/>
              <w:ind w:firstLine="0" w:firstLineChars="0"/>
              <w:rPr>
                <w:rFonts w:ascii="Times New Roman"/>
                <w:sz w:val="18"/>
                <w:szCs w:val="18"/>
              </w:rPr>
            </w:pPr>
            <w:r>
              <w:rPr>
                <w:rFonts w:ascii="Times New Roman"/>
                <w:sz w:val="18"/>
                <w:szCs w:val="18"/>
                <w:vertAlign w:val="superscript"/>
              </w:rPr>
              <w:t>a</w:t>
            </w:r>
            <w:r>
              <w:rPr>
                <w:rFonts w:hint="eastAsia" w:ascii="Times New Roman"/>
                <w:sz w:val="18"/>
                <w:szCs w:val="18"/>
              </w:rPr>
              <w:t xml:space="preserve"> NMHC</w:t>
            </w:r>
            <w:r>
              <w:rPr>
                <w:rFonts w:ascii="Times New Roman"/>
                <w:sz w:val="18"/>
                <w:szCs w:val="18"/>
              </w:rPr>
              <w:t>污染物控制设施总去除效率≥90%时，等同于满足最高允许排放速率限值要求。</w:t>
            </w:r>
          </w:p>
        </w:tc>
      </w:tr>
    </w:tbl>
    <w:p>
      <w:pPr>
        <w:pStyle w:val="28"/>
        <w:ind w:firstLine="0" w:firstLineChars="0"/>
        <w:rPr>
          <w:rFonts w:ascii="黑体" w:hAnsi="黑体" w:eastAsia="黑体"/>
        </w:rPr>
      </w:pPr>
    </w:p>
    <w:p>
      <w:pPr>
        <w:pStyle w:val="28"/>
        <w:ind w:firstLine="0" w:firstLineChars="0"/>
        <w:rPr>
          <w:rFonts w:ascii="Times New Roman"/>
        </w:rPr>
      </w:pPr>
      <w:r>
        <w:rPr>
          <w:rFonts w:ascii="黑体" w:hAnsi="黑体" w:eastAsia="黑体"/>
        </w:rPr>
        <w:t xml:space="preserve">4.1.2 </w:t>
      </w:r>
      <w:r>
        <w:rPr>
          <w:rFonts w:hint="eastAsia" w:ascii="Times New Roman"/>
        </w:rPr>
        <w:t>生产设施应采用合理的通风措施，不得人为故意稀释排放。</w:t>
      </w:r>
    </w:p>
    <w:p>
      <w:pPr>
        <w:pStyle w:val="28"/>
        <w:ind w:firstLine="0" w:firstLineChars="0"/>
        <w:rPr>
          <w:rFonts w:ascii="Times New Roman"/>
          <w:color w:val="FF0000"/>
        </w:rPr>
      </w:pPr>
      <w:r>
        <w:rPr>
          <w:rFonts w:ascii="黑体" w:hAnsi="黑体" w:eastAsia="黑体"/>
        </w:rPr>
        <w:t>4.1.3</w:t>
      </w:r>
      <w:r>
        <w:rPr>
          <w:rFonts w:ascii="Times New Roman" w:eastAsia="黑体"/>
        </w:rPr>
        <w:t xml:space="preserve"> </w:t>
      </w:r>
      <w:r>
        <w:rPr>
          <w:rFonts w:hint="eastAsia" w:ascii="Times New Roman"/>
        </w:rPr>
        <w:t>进入</w:t>
      </w:r>
      <w:r>
        <w:rPr>
          <w:rFonts w:ascii="Times New Roman"/>
        </w:rPr>
        <w:t>VOCs</w:t>
      </w:r>
      <w:r>
        <w:rPr>
          <w:rFonts w:hint="eastAsia" w:ascii="Times New Roman"/>
        </w:rPr>
        <w:t>燃烧（焚烧、氧化）装置废气基准含氧量折算执行</w:t>
      </w:r>
      <w:r>
        <w:rPr>
          <w:rFonts w:ascii="Times New Roman"/>
        </w:rPr>
        <w:t>GB 37822</w:t>
      </w:r>
      <w:r>
        <w:rPr>
          <w:rFonts w:hint="eastAsia" w:ascii="Times New Roman"/>
        </w:rPr>
        <w:t>的规定。</w:t>
      </w:r>
    </w:p>
    <w:p>
      <w:pPr>
        <w:pStyle w:val="28"/>
        <w:ind w:firstLine="0" w:firstLineChars="0"/>
        <w:rPr>
          <w:rFonts w:ascii="Times New Roman"/>
        </w:rPr>
      </w:pPr>
      <w:r>
        <w:rPr>
          <w:rFonts w:ascii="黑体" w:hAnsi="黑体" w:eastAsia="黑体"/>
        </w:rPr>
        <w:t xml:space="preserve">4.1.4 </w:t>
      </w:r>
      <w:r>
        <w:rPr>
          <w:rFonts w:hint="eastAsia" w:ascii="Times New Roman"/>
        </w:rPr>
        <w:t>排放光气、氰化氢和氯气的排气筒高度不低于</w:t>
      </w:r>
      <w:r>
        <w:rPr>
          <w:rFonts w:ascii="Times New Roman"/>
        </w:rPr>
        <w:t>25m</w:t>
      </w:r>
      <w:r>
        <w:rPr>
          <w:rFonts w:hint="eastAsia" w:ascii="Times New Roman"/>
        </w:rPr>
        <w:t>，其他排气筒高度不低于</w:t>
      </w:r>
      <w:r>
        <w:rPr>
          <w:rFonts w:ascii="Times New Roman"/>
        </w:rPr>
        <w:t>15m</w:t>
      </w:r>
      <w:r>
        <w:rPr>
          <w:rFonts w:hint="eastAsia" w:ascii="Times New Roman"/>
        </w:rPr>
        <w:t>（因安全考虑或有特殊工艺要求的除外），具体高度以及与周围建筑物的相对高度关系应根据环境影响评价文件确定。新建污染源的排气筒必须低于1</w:t>
      </w:r>
      <w:r>
        <w:rPr>
          <w:rFonts w:ascii="Times New Roman"/>
        </w:rPr>
        <w:t>5</w:t>
      </w:r>
      <w:r>
        <w:rPr>
          <w:rFonts w:hint="eastAsia" w:ascii="Times New Roman"/>
        </w:rPr>
        <w:t>m时，其最高允许排放速率按表1所列排放速率限值的5</w:t>
      </w:r>
      <w:r>
        <w:rPr>
          <w:rFonts w:ascii="Times New Roman"/>
        </w:rPr>
        <w:t>0</w:t>
      </w:r>
      <w:r>
        <w:rPr>
          <w:rFonts w:hint="eastAsia" w:ascii="Times New Roman"/>
        </w:rPr>
        <w:t>%执行。</w:t>
      </w:r>
    </w:p>
    <w:p>
      <w:pPr>
        <w:pStyle w:val="145"/>
        <w:jc w:val="both"/>
        <w:rPr>
          <w:rFonts w:hAnsi="Times New Roman"/>
          <w:sz w:val="21"/>
          <w:szCs w:val="21"/>
        </w:rPr>
      </w:pPr>
      <w:r>
        <w:rPr>
          <w:rFonts w:ascii="黑体" w:hAnsi="黑体" w:eastAsia="黑体" w:cs="Times New Roman"/>
          <w:color w:val="auto"/>
          <w:sz w:val="21"/>
          <w:szCs w:val="20"/>
        </w:rPr>
        <w:t xml:space="preserve">4.1.5 </w:t>
      </w:r>
      <w:r>
        <w:rPr>
          <w:rFonts w:hint="eastAsia" w:ascii="Times New Roman" w:hAnsi="Times New Roman" w:cs="Times New Roman"/>
          <w:color w:val="auto"/>
          <w:sz w:val="21"/>
          <w:szCs w:val="20"/>
        </w:rPr>
        <w:t>排污单位内部有</w:t>
      </w:r>
      <w:r>
        <w:rPr>
          <w:rFonts w:hint="eastAsia"/>
          <w:sz w:val="21"/>
          <w:szCs w:val="21"/>
        </w:rPr>
        <w:t>多根排放同一污染物的排气筒时，若两根排气筒距离小于其几何高度之和，应合并视为一根等效排气筒。若有三根以上的近距离排气筒，且均排放同一污染物时，应以前两根的等效排气筒，依次与第三、第四根排气筒取得等效值。</w:t>
      </w:r>
      <w:r>
        <w:rPr>
          <w:rFonts w:hint="eastAsia" w:hAnsi="Times New Roman"/>
          <w:sz w:val="21"/>
          <w:szCs w:val="21"/>
        </w:rPr>
        <w:t>等效排气筒污染物排放速率按式（</w:t>
      </w:r>
      <w:r>
        <w:rPr>
          <w:rFonts w:ascii="Times New Roman" w:hAnsi="Times New Roman" w:cs="Times New Roman"/>
          <w:sz w:val="21"/>
          <w:szCs w:val="21"/>
        </w:rPr>
        <w:t>1</w:t>
      </w:r>
      <w:r>
        <w:rPr>
          <w:rFonts w:hint="eastAsia" w:hAnsi="Times New Roman"/>
          <w:sz w:val="21"/>
          <w:szCs w:val="21"/>
        </w:rPr>
        <w:t>）计算：</w:t>
      </w:r>
    </w:p>
    <w:p>
      <w:pPr>
        <w:pStyle w:val="28"/>
        <w:ind w:firstLine="4200" w:firstLineChars="2000"/>
        <w:rPr>
          <w:rFonts w:ascii="Times New Roman"/>
          <w:spacing w:val="-22"/>
        </w:rPr>
      </w:pPr>
      <w:r>
        <w:rPr>
          <w:rFonts w:ascii="Times New Roman"/>
          <w:i/>
          <w:iCs/>
          <w:color w:val="000000"/>
          <w:szCs w:val="21"/>
        </w:rPr>
        <w:t>Q</w:t>
      </w:r>
      <w:r>
        <w:rPr>
          <w:rFonts w:ascii="Times New Roman"/>
          <w:color w:val="000000"/>
          <w:szCs w:val="21"/>
        </w:rPr>
        <w:t>=</w:t>
      </w:r>
      <w:r>
        <w:rPr>
          <w:rFonts w:ascii="Times New Roman"/>
          <w:i/>
          <w:iCs/>
          <w:color w:val="000000"/>
          <w:szCs w:val="21"/>
        </w:rPr>
        <w:t>Q</w:t>
      </w:r>
      <w:r>
        <w:rPr>
          <w:rFonts w:ascii="Times New Roman"/>
          <w:color w:val="000000"/>
          <w:sz w:val="14"/>
          <w:szCs w:val="14"/>
        </w:rPr>
        <w:t>1</w:t>
      </w:r>
      <w:r>
        <w:rPr>
          <w:rFonts w:ascii="Times New Roman"/>
          <w:color w:val="000000"/>
          <w:szCs w:val="21"/>
        </w:rPr>
        <w:t>+</w:t>
      </w:r>
      <w:r>
        <w:rPr>
          <w:rFonts w:ascii="Times New Roman"/>
          <w:i/>
          <w:iCs/>
          <w:color w:val="000000"/>
          <w:szCs w:val="21"/>
        </w:rPr>
        <w:t>Q</w:t>
      </w:r>
      <w:r>
        <w:rPr>
          <w:rFonts w:ascii="Times New Roman"/>
          <w:color w:val="000000"/>
          <w:sz w:val="14"/>
          <w:szCs w:val="14"/>
        </w:rPr>
        <w:t>2</w:t>
      </w:r>
      <w:r>
        <w:rPr>
          <w:rFonts w:ascii="Times New Roman"/>
          <w:szCs w:val="21"/>
        </w:rPr>
        <w:t xml:space="preserve"> ......................................................................</w:t>
      </w:r>
      <w:r>
        <w:rPr>
          <w:rFonts w:ascii="Times New Roman"/>
          <w:b/>
          <w:bCs/>
          <w:szCs w:val="21"/>
        </w:rPr>
        <w:t>.</w:t>
      </w:r>
      <w:r>
        <w:rPr>
          <w:rFonts w:ascii="Times New Roman"/>
          <w:spacing w:val="-1"/>
        </w:rPr>
        <w:t>（</w:t>
      </w:r>
      <w:r>
        <w:rPr>
          <w:rFonts w:ascii="Times New Roman"/>
        </w:rPr>
        <w:t>1</w:t>
      </w:r>
      <w:r>
        <w:rPr>
          <w:rFonts w:ascii="Times New Roman"/>
          <w:spacing w:val="-22"/>
        </w:rPr>
        <w:t>）</w:t>
      </w:r>
    </w:p>
    <w:p>
      <w:pPr>
        <w:autoSpaceDE w:val="0"/>
        <w:autoSpaceDN w:val="0"/>
        <w:adjustRightInd w:val="0"/>
        <w:rPr>
          <w:color w:val="000000"/>
          <w:kern w:val="0"/>
          <w:szCs w:val="21"/>
        </w:rPr>
      </w:pPr>
      <w:r>
        <w:rPr>
          <w:rFonts w:hint="eastAsia" w:ascii="宋体" w:cs="宋体"/>
          <w:color w:val="000000"/>
          <w:kern w:val="0"/>
          <w:szCs w:val="21"/>
        </w:rPr>
        <w:t>式中：</w:t>
      </w:r>
      <w:r>
        <w:rPr>
          <w:i/>
          <w:iCs/>
          <w:color w:val="000000"/>
          <w:kern w:val="0"/>
          <w:szCs w:val="21"/>
        </w:rPr>
        <w:t>Q</w:t>
      </w:r>
      <w:r>
        <w:rPr>
          <w:color w:val="000000"/>
          <w:kern w:val="0"/>
          <w:szCs w:val="21"/>
        </w:rPr>
        <w:t>—</w:t>
      </w:r>
      <w:r>
        <w:rPr>
          <w:rFonts w:hint="eastAsia"/>
          <w:color w:val="000000"/>
          <w:kern w:val="0"/>
          <w:szCs w:val="21"/>
        </w:rPr>
        <w:t>等效排气筒污染物排放速率，</w:t>
      </w:r>
      <w:r>
        <w:rPr>
          <w:color w:val="000000"/>
          <w:kern w:val="0"/>
          <w:szCs w:val="21"/>
        </w:rPr>
        <w:t>kg/h</w:t>
      </w:r>
      <w:r>
        <w:rPr>
          <w:rFonts w:hint="eastAsia"/>
          <w:color w:val="000000"/>
          <w:kern w:val="0"/>
          <w:szCs w:val="21"/>
        </w:rPr>
        <w:t>；</w:t>
      </w:r>
    </w:p>
    <w:p>
      <w:pPr>
        <w:pStyle w:val="28"/>
        <w:ind w:firstLine="630" w:firstLineChars="300"/>
        <w:rPr>
          <w:rFonts w:ascii="Times New Roman"/>
          <w:szCs w:val="21"/>
        </w:rPr>
      </w:pPr>
      <w:r>
        <w:rPr>
          <w:rFonts w:ascii="Times New Roman"/>
          <w:i/>
          <w:iCs/>
          <w:color w:val="000000"/>
          <w:szCs w:val="21"/>
        </w:rPr>
        <w:t>Q</w:t>
      </w:r>
      <w:r>
        <w:rPr>
          <w:rFonts w:ascii="Times New Roman"/>
          <w:color w:val="000000"/>
          <w:szCs w:val="21"/>
          <w:vertAlign w:val="subscript"/>
        </w:rPr>
        <w:t>1</w:t>
      </w:r>
      <w:r>
        <w:rPr>
          <w:rFonts w:ascii="Times New Roman"/>
          <w:color w:val="000000"/>
          <w:szCs w:val="21"/>
        </w:rPr>
        <w:t xml:space="preserve">, </w:t>
      </w:r>
      <w:r>
        <w:rPr>
          <w:rFonts w:ascii="Times New Roman"/>
          <w:i/>
          <w:color w:val="000000"/>
          <w:szCs w:val="21"/>
        </w:rPr>
        <w:t>Q</w:t>
      </w:r>
      <w:r>
        <w:rPr>
          <w:rFonts w:ascii="Times New Roman"/>
          <w:color w:val="000000"/>
          <w:szCs w:val="21"/>
          <w:vertAlign w:val="subscript"/>
        </w:rPr>
        <w:t>2</w:t>
      </w:r>
      <w:r>
        <w:rPr>
          <w:rFonts w:ascii="Times New Roman"/>
          <w:color w:val="000000"/>
          <w:szCs w:val="21"/>
        </w:rPr>
        <w:t>—</w:t>
      </w:r>
      <w:r>
        <w:rPr>
          <w:rFonts w:hint="eastAsia" w:ascii="Times New Roman"/>
          <w:color w:val="000000"/>
          <w:szCs w:val="21"/>
        </w:rPr>
        <w:t>排气筒</w:t>
      </w:r>
      <w:r>
        <w:rPr>
          <w:rFonts w:ascii="Times New Roman"/>
          <w:color w:val="000000"/>
          <w:szCs w:val="21"/>
        </w:rPr>
        <w:t>1</w:t>
      </w:r>
      <w:r>
        <w:rPr>
          <w:rFonts w:hint="eastAsia" w:ascii="Times New Roman"/>
          <w:color w:val="000000"/>
          <w:szCs w:val="21"/>
        </w:rPr>
        <w:t>和排气筒</w:t>
      </w:r>
      <w:r>
        <w:rPr>
          <w:rFonts w:ascii="Times New Roman"/>
          <w:color w:val="000000"/>
          <w:szCs w:val="21"/>
        </w:rPr>
        <w:t>2</w:t>
      </w:r>
      <w:r>
        <w:rPr>
          <w:rFonts w:hint="eastAsia" w:ascii="Times New Roman"/>
          <w:color w:val="000000"/>
          <w:szCs w:val="21"/>
        </w:rPr>
        <w:t>的污染物排放速率，</w:t>
      </w:r>
      <w:r>
        <w:rPr>
          <w:rFonts w:ascii="Times New Roman"/>
          <w:color w:val="000000"/>
          <w:szCs w:val="21"/>
        </w:rPr>
        <w:t>kg/h</w:t>
      </w:r>
      <w:r>
        <w:rPr>
          <w:rFonts w:hint="eastAsia" w:ascii="Times New Roman"/>
          <w:color w:val="000000"/>
          <w:szCs w:val="21"/>
        </w:rPr>
        <w:t>。</w:t>
      </w:r>
    </w:p>
    <w:p>
      <w:pPr>
        <w:pStyle w:val="28"/>
        <w:ind w:firstLine="0" w:firstLineChars="0"/>
        <w:rPr>
          <w:rFonts w:ascii="黑体" w:hAnsi="黑体" w:eastAsia="黑体"/>
        </w:rPr>
      </w:pPr>
      <w:r>
        <w:rPr>
          <w:rFonts w:ascii="黑体" w:hAnsi="黑体" w:eastAsia="黑体"/>
        </w:rPr>
        <w:t xml:space="preserve">4.1.6 </w:t>
      </w:r>
      <w:r>
        <w:rPr>
          <w:rFonts w:hint="eastAsia" w:ascii="Times New Roman"/>
        </w:rPr>
        <w:t>当执行不同排放控制要求的废气合并排气筒排放时，应在废气混合前进行监测，并执行相应的排放控制要求；若可选择的监控位置只能对混合后的废气进行监测，则应按各排放控制要求中最严格的规定执行。</w:t>
      </w:r>
    </w:p>
    <w:p>
      <w:r>
        <w:rPr>
          <w:rFonts w:ascii="黑体" w:hAnsi="黑体" w:eastAsia="黑体"/>
        </w:rPr>
        <w:t xml:space="preserve">4.1.7 </w:t>
      </w:r>
      <w:r>
        <w:rPr>
          <w:rFonts w:hint="eastAsia"/>
        </w:rPr>
        <w:t>生产工艺设备、废气收集系统及废气处理设施应同步运行。废气收集系统或废气处理设施发生故障或检修时，应停止运转对应的生产工艺设备，待检修完毕后共同投入使用。因安全等因素生产工艺设备不能停止或不能及时停止的，应设置废气应急处理设施或采取其他替代措施。</w:t>
      </w:r>
    </w:p>
    <w:p>
      <w:pPr>
        <w:pStyle w:val="50"/>
        <w:rPr>
          <w:rFonts w:hAnsi="黑体"/>
        </w:rPr>
      </w:pPr>
      <w:r>
        <w:rPr>
          <w:rFonts w:hint="eastAsia" w:hAnsi="黑体"/>
        </w:rPr>
        <w:t>4</w:t>
      </w:r>
      <w:r>
        <w:rPr>
          <w:rFonts w:hAnsi="黑体"/>
        </w:rPr>
        <w:t>.2</w:t>
      </w:r>
      <w:r>
        <w:rPr>
          <w:rFonts w:hint="eastAsia" w:hAnsi="黑体"/>
        </w:rPr>
        <w:t xml:space="preserve"> 无组织排放控制要求</w:t>
      </w:r>
    </w:p>
    <w:p>
      <w:pPr>
        <w:rPr>
          <w:kern w:val="0"/>
          <w:szCs w:val="20"/>
        </w:rPr>
      </w:pPr>
      <w:r>
        <w:rPr>
          <w:rFonts w:ascii="黑体" w:hAnsi="黑体" w:eastAsia="黑体"/>
        </w:rPr>
        <w:t>4.2.1</w:t>
      </w:r>
      <w:r>
        <w:rPr>
          <w:rFonts w:hAnsi="黑体"/>
        </w:rPr>
        <w:t xml:space="preserve"> </w:t>
      </w:r>
      <w:r>
        <w:rPr>
          <w:rFonts w:hint="eastAsia"/>
        </w:rPr>
        <w:t>自标准实施之日起，新建污染源和现有污染源厂区内</w:t>
      </w:r>
      <w:r>
        <w:t>VOCs</w:t>
      </w:r>
      <w:r>
        <w:rPr>
          <w:rFonts w:hint="eastAsia"/>
        </w:rPr>
        <w:t>无组织排放限值应符合表</w:t>
      </w:r>
      <w:r>
        <w:t>2</w:t>
      </w:r>
      <w:r>
        <w:rPr>
          <w:rFonts w:hint="eastAsia"/>
        </w:rPr>
        <w:t>的规定。</w:t>
      </w:r>
    </w:p>
    <w:p>
      <w:pPr>
        <w:pStyle w:val="134"/>
        <w:numPr>
          <w:ilvl w:val="0"/>
          <w:numId w:val="0"/>
        </w:numPr>
        <w:ind w:left="181" w:leftChars="86"/>
        <w:rPr>
          <w:rFonts w:ascii="Times New Roman" w:eastAsia="宋体"/>
        </w:rPr>
      </w:pPr>
      <w:r>
        <w:rPr>
          <w:rFonts w:hint="eastAsia" w:ascii="Times New Roman"/>
        </w:rPr>
        <w:t>表</w:t>
      </w:r>
      <w:r>
        <w:rPr>
          <w:rFonts w:ascii="Times New Roman"/>
        </w:rPr>
        <w:t xml:space="preserve">2  </w:t>
      </w:r>
      <w:r>
        <w:rPr>
          <w:rFonts w:hint="eastAsia" w:ascii="Times New Roman"/>
        </w:rPr>
        <w:t>厂区内</w:t>
      </w:r>
      <w:r>
        <w:rPr>
          <w:rFonts w:ascii="Times New Roman"/>
        </w:rPr>
        <w:t>VOCs</w:t>
      </w:r>
      <w:r>
        <w:rPr>
          <w:rFonts w:hint="eastAsia" w:ascii="Times New Roman"/>
        </w:rPr>
        <w:t>无组织排放限值</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169"/>
        <w:gridCol w:w="3522"/>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0" w:type="pct"/>
            <w:vAlign w:val="center"/>
          </w:tcPr>
          <w:p>
            <w:pPr>
              <w:jc w:val="center"/>
              <w:rPr>
                <w:sz w:val="18"/>
                <w:szCs w:val="18"/>
              </w:rPr>
            </w:pPr>
            <w:r>
              <w:rPr>
                <w:rFonts w:hint="eastAsia"/>
                <w:sz w:val="18"/>
                <w:szCs w:val="18"/>
              </w:rPr>
              <w:t>污染物项目</w:t>
            </w:r>
          </w:p>
        </w:tc>
        <w:tc>
          <w:tcPr>
            <w:tcW w:w="1133" w:type="pct"/>
            <w:vAlign w:val="center"/>
          </w:tcPr>
          <w:p>
            <w:pPr>
              <w:jc w:val="center"/>
              <w:rPr>
                <w:sz w:val="18"/>
                <w:szCs w:val="18"/>
              </w:rPr>
            </w:pPr>
            <w:r>
              <w:rPr>
                <w:rFonts w:hint="eastAsia"/>
                <w:sz w:val="18"/>
                <w:szCs w:val="18"/>
              </w:rPr>
              <w:t>监控点限值</w:t>
            </w:r>
          </w:p>
          <w:p>
            <w:pPr>
              <w:jc w:val="center"/>
              <w:rPr>
                <w:sz w:val="18"/>
                <w:szCs w:val="18"/>
              </w:rPr>
            </w:pPr>
            <w:r>
              <w:t>mg/m</w:t>
            </w:r>
            <w:r>
              <w:rPr>
                <w:vertAlign w:val="superscript"/>
              </w:rPr>
              <w:t>3</w:t>
            </w:r>
          </w:p>
        </w:tc>
        <w:tc>
          <w:tcPr>
            <w:tcW w:w="1840" w:type="pct"/>
            <w:vAlign w:val="center"/>
          </w:tcPr>
          <w:p>
            <w:pPr>
              <w:jc w:val="center"/>
              <w:rPr>
                <w:sz w:val="18"/>
                <w:szCs w:val="18"/>
              </w:rPr>
            </w:pPr>
            <w:r>
              <w:rPr>
                <w:rFonts w:hint="eastAsia"/>
                <w:sz w:val="18"/>
                <w:szCs w:val="18"/>
              </w:rPr>
              <w:t>限值含义</w:t>
            </w:r>
          </w:p>
        </w:tc>
        <w:tc>
          <w:tcPr>
            <w:tcW w:w="1227" w:type="pct"/>
            <w:vAlign w:val="center"/>
          </w:tcPr>
          <w:p>
            <w:pPr>
              <w:jc w:val="center"/>
              <w:rPr>
                <w:sz w:val="18"/>
                <w:szCs w:val="18"/>
              </w:rPr>
            </w:pPr>
            <w:r>
              <w:rPr>
                <w:rFonts w:hint="eastAsia"/>
                <w:sz w:val="18"/>
                <w:szCs w:val="18"/>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0" w:type="pct"/>
            <w:vMerge w:val="restart"/>
            <w:vAlign w:val="center"/>
          </w:tcPr>
          <w:p>
            <w:pPr>
              <w:jc w:val="center"/>
              <w:rPr>
                <w:sz w:val="18"/>
                <w:szCs w:val="18"/>
              </w:rPr>
            </w:pPr>
            <w:r>
              <w:rPr>
                <w:sz w:val="18"/>
                <w:szCs w:val="18"/>
              </w:rPr>
              <w:t>NMHC</w:t>
            </w:r>
          </w:p>
        </w:tc>
        <w:tc>
          <w:tcPr>
            <w:tcW w:w="1133" w:type="pct"/>
            <w:vAlign w:val="center"/>
          </w:tcPr>
          <w:p>
            <w:pPr>
              <w:jc w:val="center"/>
              <w:rPr>
                <w:sz w:val="18"/>
                <w:szCs w:val="18"/>
              </w:rPr>
            </w:pPr>
            <w:r>
              <w:rPr>
                <w:sz w:val="18"/>
                <w:szCs w:val="18"/>
              </w:rPr>
              <w:t>6</w:t>
            </w:r>
          </w:p>
        </w:tc>
        <w:tc>
          <w:tcPr>
            <w:tcW w:w="1840" w:type="pct"/>
            <w:vAlign w:val="center"/>
          </w:tcPr>
          <w:p>
            <w:pPr>
              <w:jc w:val="center"/>
              <w:rPr>
                <w:rFonts w:ascii="宋体" w:hAnsi="宋体"/>
                <w:sz w:val="18"/>
                <w:szCs w:val="18"/>
              </w:rPr>
            </w:pPr>
            <w:r>
              <w:rPr>
                <w:rFonts w:hint="eastAsia" w:ascii="宋体" w:hAnsi="宋体"/>
                <w:sz w:val="18"/>
                <w:szCs w:val="18"/>
              </w:rPr>
              <w:t>监控点处</w:t>
            </w:r>
            <w:r>
              <w:rPr>
                <w:sz w:val="18"/>
                <w:szCs w:val="18"/>
              </w:rPr>
              <w:t>1 h</w:t>
            </w:r>
            <w:r>
              <w:rPr>
                <w:rFonts w:hint="eastAsia" w:ascii="宋体" w:hAnsi="宋体"/>
                <w:sz w:val="18"/>
                <w:szCs w:val="18"/>
              </w:rPr>
              <w:t>平均浓度值</w:t>
            </w:r>
          </w:p>
        </w:tc>
        <w:tc>
          <w:tcPr>
            <w:tcW w:w="1227" w:type="pct"/>
            <w:vMerge w:val="restart"/>
            <w:vAlign w:val="center"/>
          </w:tcPr>
          <w:p>
            <w:pPr>
              <w:jc w:val="center"/>
              <w:rPr>
                <w:sz w:val="18"/>
                <w:szCs w:val="18"/>
              </w:rPr>
            </w:pPr>
            <w:r>
              <w:rPr>
                <w:rFonts w:hint="eastAsia"/>
                <w:sz w:val="18"/>
                <w:szCs w:val="18"/>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0" w:type="pct"/>
            <w:vMerge w:val="continue"/>
            <w:vAlign w:val="center"/>
          </w:tcPr>
          <w:p>
            <w:pPr>
              <w:jc w:val="center"/>
              <w:rPr>
                <w:sz w:val="18"/>
                <w:szCs w:val="18"/>
              </w:rPr>
            </w:pPr>
          </w:p>
        </w:tc>
        <w:tc>
          <w:tcPr>
            <w:tcW w:w="1133" w:type="pct"/>
            <w:vAlign w:val="center"/>
          </w:tcPr>
          <w:p>
            <w:pPr>
              <w:jc w:val="center"/>
              <w:rPr>
                <w:sz w:val="18"/>
                <w:szCs w:val="18"/>
              </w:rPr>
            </w:pPr>
            <w:r>
              <w:rPr>
                <w:sz w:val="18"/>
                <w:szCs w:val="18"/>
              </w:rPr>
              <w:t>20</w:t>
            </w:r>
          </w:p>
        </w:tc>
        <w:tc>
          <w:tcPr>
            <w:tcW w:w="1840" w:type="pct"/>
            <w:vAlign w:val="center"/>
          </w:tcPr>
          <w:p>
            <w:pPr>
              <w:jc w:val="center"/>
              <w:rPr>
                <w:sz w:val="18"/>
                <w:szCs w:val="18"/>
              </w:rPr>
            </w:pPr>
            <w:r>
              <w:rPr>
                <w:rFonts w:hint="eastAsia"/>
                <w:sz w:val="18"/>
                <w:szCs w:val="18"/>
              </w:rPr>
              <w:t>监控点处任意一次浓度值</w:t>
            </w:r>
          </w:p>
        </w:tc>
        <w:tc>
          <w:tcPr>
            <w:tcW w:w="1227" w:type="pct"/>
            <w:vMerge w:val="continue"/>
            <w:vAlign w:val="center"/>
          </w:tcPr>
          <w:p>
            <w:pPr>
              <w:jc w:val="center"/>
              <w:rPr>
                <w:sz w:val="18"/>
                <w:szCs w:val="18"/>
              </w:rPr>
            </w:pPr>
          </w:p>
        </w:tc>
      </w:tr>
    </w:tbl>
    <w:p>
      <w:pPr>
        <w:spacing w:line="200" w:lineRule="exact"/>
        <w:ind w:left="181" w:leftChars="86"/>
        <w:rPr>
          <w:kern w:val="0"/>
          <w:szCs w:val="20"/>
        </w:rPr>
      </w:pPr>
    </w:p>
    <w:p>
      <w:pPr>
        <w:autoSpaceDE w:val="0"/>
      </w:pPr>
      <w:r>
        <w:rPr>
          <w:rFonts w:ascii="黑体" w:hAnsi="黑体" w:eastAsia="黑体"/>
        </w:rPr>
        <w:t xml:space="preserve">4.2.2 </w:t>
      </w:r>
      <w:r>
        <w:rPr>
          <w:rFonts w:hint="eastAsia"/>
        </w:rPr>
        <w:t>V</w:t>
      </w:r>
      <w:r>
        <w:t>OC</w:t>
      </w:r>
      <w:r>
        <w:rPr>
          <w:rFonts w:hint="eastAsia"/>
        </w:rPr>
        <w:t>s物料储存无组织排放控制要求、V</w:t>
      </w:r>
      <w:r>
        <w:t>OC</w:t>
      </w:r>
      <w:r>
        <w:rPr>
          <w:rFonts w:hint="eastAsia"/>
        </w:rPr>
        <w:t>s物料转移和输送无组织排放控制要求、工艺过程V</w:t>
      </w:r>
      <w:r>
        <w:t>OC</w:t>
      </w:r>
      <w:r>
        <w:rPr>
          <w:rFonts w:hint="eastAsia"/>
        </w:rPr>
        <w:t>s无组织排放控制要求、设备与管线组件V</w:t>
      </w:r>
      <w:r>
        <w:t>OC</w:t>
      </w:r>
      <w:r>
        <w:rPr>
          <w:rFonts w:hint="eastAsia"/>
        </w:rPr>
        <w:t>s泄露控制要求、敞开液面V</w:t>
      </w:r>
      <w:r>
        <w:t>OC</w:t>
      </w:r>
      <w:r>
        <w:rPr>
          <w:rFonts w:hint="eastAsia"/>
        </w:rPr>
        <w:t>s无组织排放控制要求，以及V</w:t>
      </w:r>
      <w:r>
        <w:t>OC</w:t>
      </w:r>
      <w:r>
        <w:rPr>
          <w:rFonts w:hint="eastAsia"/>
        </w:rPr>
        <w:t>s无组织排放废气收集处理系统要求、厂区内V</w:t>
      </w:r>
      <w:r>
        <w:t>OC</w:t>
      </w:r>
      <w:r>
        <w:rPr>
          <w:rFonts w:hint="eastAsia"/>
        </w:rPr>
        <w:t>s无组织污染监控要求执行G</w:t>
      </w:r>
      <w:r>
        <w:t>B 37822</w:t>
      </w:r>
      <w:r>
        <w:rPr>
          <w:rFonts w:hint="eastAsia"/>
        </w:rPr>
        <w:t>的规定。</w:t>
      </w:r>
    </w:p>
    <w:p>
      <w:r>
        <w:rPr>
          <w:rFonts w:ascii="黑体" w:hAnsi="黑体" w:eastAsia="黑体"/>
        </w:rPr>
        <w:t xml:space="preserve">4.2.3 </w:t>
      </w:r>
      <w:r>
        <w:rPr>
          <w:rFonts w:hint="eastAsia"/>
        </w:rPr>
        <w:t>运输易散发粉尘的物料应符合以下要求：</w:t>
      </w:r>
    </w:p>
    <w:p>
      <w:pPr>
        <w:pStyle w:val="12"/>
        <w:tabs>
          <w:tab w:val="left" w:pos="851"/>
        </w:tabs>
        <w:ind w:left="0" w:firstLine="420" w:firstLineChars="200"/>
        <w:jc w:val="both"/>
        <w:rPr>
          <w:rFonts w:ascii="Times New Roman"/>
          <w:szCs w:val="24"/>
        </w:rPr>
      </w:pPr>
      <w:r>
        <w:rPr>
          <w:rFonts w:hint="eastAsia" w:ascii="Times New Roman"/>
          <w:szCs w:val="24"/>
        </w:rPr>
        <w:t>a）运输散装粉状物料应采用密闭车厢或罐车；</w:t>
      </w:r>
    </w:p>
    <w:p>
      <w:pPr>
        <w:pStyle w:val="12"/>
        <w:tabs>
          <w:tab w:val="left" w:pos="851"/>
        </w:tabs>
        <w:ind w:left="0" w:firstLine="420" w:firstLineChars="200"/>
        <w:jc w:val="both"/>
        <w:rPr>
          <w:rFonts w:ascii="Times New Roman"/>
          <w:szCs w:val="24"/>
        </w:rPr>
      </w:pPr>
      <w:r>
        <w:rPr>
          <w:rFonts w:hint="eastAsia" w:ascii="Times New Roman"/>
          <w:szCs w:val="24"/>
        </w:rPr>
        <w:t>b）运输袋装粉状物料，以及粒状、块状等易散发粉尘的物料应采用密闭车厢，或使用防尘布、防尘网覆盖物料，捆扎紧密，不得有物料遗撒；</w:t>
      </w:r>
    </w:p>
    <w:p>
      <w:pPr>
        <w:pStyle w:val="12"/>
        <w:tabs>
          <w:tab w:val="left" w:pos="851"/>
        </w:tabs>
        <w:ind w:left="0" w:firstLine="420" w:firstLineChars="200"/>
        <w:jc w:val="both"/>
        <w:rPr>
          <w:rFonts w:ascii="Times New Roman"/>
          <w:szCs w:val="24"/>
        </w:rPr>
      </w:pPr>
      <w:r>
        <w:rPr>
          <w:rFonts w:hint="eastAsia" w:ascii="Times New Roman"/>
          <w:szCs w:val="24"/>
        </w:rPr>
        <w:t>c）厂区道路应硬化，并定期清扫、洒水保持清洁。车辆在驶离煤场、料场、储库、堆棚前应清洗车轮、清洁车身。</w:t>
      </w:r>
    </w:p>
    <w:p>
      <w:pPr>
        <w:pStyle w:val="12"/>
        <w:tabs>
          <w:tab w:val="left" w:pos="851"/>
        </w:tabs>
        <w:ind w:left="0"/>
        <w:jc w:val="both"/>
        <w:rPr>
          <w:rFonts w:ascii="Times New Roman"/>
          <w:szCs w:val="24"/>
        </w:rPr>
      </w:pPr>
      <w:r>
        <w:rPr>
          <w:rFonts w:hint="eastAsia" w:ascii="黑体" w:hAnsi="黑体" w:eastAsia="黑体"/>
          <w:szCs w:val="24"/>
        </w:rPr>
        <w:t>4</w:t>
      </w:r>
      <w:r>
        <w:rPr>
          <w:rFonts w:ascii="黑体" w:hAnsi="黑体" w:eastAsia="黑体"/>
          <w:szCs w:val="24"/>
        </w:rPr>
        <w:t xml:space="preserve">.2.4 </w:t>
      </w:r>
      <w:r>
        <w:rPr>
          <w:rFonts w:hint="eastAsia" w:ascii="Times New Roman"/>
          <w:szCs w:val="24"/>
        </w:rPr>
        <w:t>装卸易散发粉尘的物料应采取以下控尘方式之一：</w:t>
      </w:r>
    </w:p>
    <w:p>
      <w:pPr>
        <w:pStyle w:val="12"/>
        <w:tabs>
          <w:tab w:val="left" w:pos="851"/>
        </w:tabs>
        <w:ind w:left="0" w:firstLine="420" w:firstLineChars="200"/>
        <w:jc w:val="both"/>
        <w:rPr>
          <w:rFonts w:ascii="Times New Roman"/>
          <w:szCs w:val="24"/>
        </w:rPr>
      </w:pPr>
      <w:r>
        <w:rPr>
          <w:rFonts w:hint="eastAsia" w:ascii="Times New Roman"/>
          <w:szCs w:val="24"/>
        </w:rPr>
        <w:t>a）密闭操作；</w:t>
      </w:r>
    </w:p>
    <w:p>
      <w:pPr>
        <w:pStyle w:val="12"/>
        <w:tabs>
          <w:tab w:val="left" w:pos="851"/>
        </w:tabs>
        <w:ind w:left="0" w:firstLine="420" w:firstLineChars="200"/>
        <w:jc w:val="both"/>
        <w:rPr>
          <w:rFonts w:ascii="Times New Roman"/>
          <w:szCs w:val="24"/>
        </w:rPr>
      </w:pPr>
      <w:r>
        <w:rPr>
          <w:rFonts w:hint="eastAsia" w:ascii="Times New Roman"/>
          <w:szCs w:val="24"/>
        </w:rPr>
        <w:t>b）在封闭式建筑物内进行物料装卸；</w:t>
      </w:r>
    </w:p>
    <w:p>
      <w:pPr>
        <w:pStyle w:val="12"/>
        <w:tabs>
          <w:tab w:val="left" w:pos="851"/>
        </w:tabs>
        <w:ind w:left="0" w:firstLine="420" w:firstLineChars="200"/>
        <w:jc w:val="both"/>
        <w:rPr>
          <w:rFonts w:ascii="Times New Roman"/>
          <w:szCs w:val="24"/>
        </w:rPr>
      </w:pPr>
      <w:r>
        <w:rPr>
          <w:rFonts w:hint="eastAsia" w:ascii="Times New Roman"/>
          <w:szCs w:val="24"/>
        </w:rPr>
        <w:t>c）在装卸位置采取局部气体收集处理、洒水增湿等控制措施。</w:t>
      </w:r>
    </w:p>
    <w:p>
      <w:pPr>
        <w:pStyle w:val="12"/>
        <w:tabs>
          <w:tab w:val="left" w:pos="851"/>
        </w:tabs>
        <w:ind w:left="0"/>
        <w:jc w:val="both"/>
        <w:rPr>
          <w:rFonts w:ascii="Times New Roman"/>
          <w:szCs w:val="24"/>
        </w:rPr>
      </w:pPr>
      <w:r>
        <w:rPr>
          <w:rFonts w:hint="eastAsia" w:ascii="黑体" w:hAnsi="黑体" w:eastAsia="黑体"/>
          <w:szCs w:val="24"/>
        </w:rPr>
        <w:t>4</w:t>
      </w:r>
      <w:r>
        <w:rPr>
          <w:rFonts w:ascii="黑体" w:hAnsi="黑体" w:eastAsia="黑体"/>
          <w:szCs w:val="24"/>
        </w:rPr>
        <w:t xml:space="preserve">.2.5 </w:t>
      </w:r>
      <w:r>
        <w:rPr>
          <w:rFonts w:hint="eastAsia" w:ascii="Times New Roman"/>
          <w:szCs w:val="24"/>
        </w:rPr>
        <w:t>储存易散发粉尘的物料应符合以下要求：</w:t>
      </w:r>
    </w:p>
    <w:p>
      <w:pPr>
        <w:pStyle w:val="12"/>
        <w:tabs>
          <w:tab w:val="left" w:pos="851"/>
        </w:tabs>
        <w:ind w:left="0" w:firstLine="420" w:firstLineChars="200"/>
        <w:jc w:val="both"/>
        <w:rPr>
          <w:rFonts w:ascii="Times New Roman"/>
          <w:szCs w:val="24"/>
        </w:rPr>
      </w:pPr>
      <w:r>
        <w:rPr>
          <w:rFonts w:hint="eastAsia" w:ascii="Times New Roman"/>
          <w:szCs w:val="24"/>
        </w:rPr>
        <w:t>a）粉状物料应储存于密闭料仓或封闭式建筑物内；</w:t>
      </w:r>
    </w:p>
    <w:p>
      <w:pPr>
        <w:pStyle w:val="12"/>
        <w:tabs>
          <w:tab w:val="left" w:pos="851"/>
        </w:tabs>
        <w:ind w:left="0" w:firstLine="420" w:firstLineChars="200"/>
        <w:jc w:val="both"/>
        <w:rPr>
          <w:rFonts w:ascii="Times New Roman"/>
          <w:szCs w:val="24"/>
        </w:rPr>
      </w:pPr>
      <w:r>
        <w:rPr>
          <w:rFonts w:hint="eastAsia" w:ascii="Times New Roman"/>
          <w:szCs w:val="24"/>
        </w:rPr>
        <w:t>b）粒状、块状等易散发粉尘的物料储存于储库、堆棚中，或储存于密闭料仓中。储库、堆棚应至少三面有围墙（或围挡）及屋顶，敞开侧应避开常年主导风向的上风方位；</w:t>
      </w:r>
    </w:p>
    <w:p>
      <w:pPr>
        <w:pStyle w:val="12"/>
        <w:tabs>
          <w:tab w:val="left" w:pos="851"/>
        </w:tabs>
        <w:ind w:left="0" w:firstLine="420" w:firstLineChars="200"/>
        <w:jc w:val="both"/>
        <w:rPr>
          <w:rFonts w:ascii="Times New Roman"/>
          <w:szCs w:val="24"/>
        </w:rPr>
      </w:pPr>
      <w:r>
        <w:rPr>
          <w:rFonts w:hint="eastAsia" w:ascii="Times New Roman"/>
          <w:szCs w:val="24"/>
        </w:rPr>
        <w:t>c）露天储存粒状、块状等易散发粉尘的物料，堆置区四周应以挡风墙、防风抑尘网等方式围挡（出入口除外），围挡高度应不低于堆存物料高度的1.1倍，同时采取洒水、覆盖防尘布（网）或喷洒化学稳定剂等控制措施；</w:t>
      </w:r>
    </w:p>
    <w:p>
      <w:pPr>
        <w:pStyle w:val="12"/>
        <w:tabs>
          <w:tab w:val="left" w:pos="851"/>
        </w:tabs>
        <w:ind w:left="0" w:firstLine="420" w:firstLineChars="200"/>
        <w:jc w:val="both"/>
        <w:rPr>
          <w:rFonts w:ascii="Times New Roman"/>
          <w:szCs w:val="24"/>
        </w:rPr>
      </w:pPr>
      <w:r>
        <w:rPr>
          <w:rFonts w:hint="eastAsia" w:ascii="Times New Roman"/>
          <w:szCs w:val="24"/>
        </w:rPr>
        <w:t>d）临时露天堆存粒状、块状等易散发粉尘的物料，应使用防尘布、防尘网覆盖严密。</w:t>
      </w:r>
    </w:p>
    <w:p>
      <w:pPr>
        <w:pStyle w:val="12"/>
        <w:tabs>
          <w:tab w:val="left" w:pos="851"/>
        </w:tabs>
        <w:ind w:left="0"/>
        <w:jc w:val="both"/>
        <w:rPr>
          <w:rFonts w:ascii="Times New Roman"/>
          <w:szCs w:val="24"/>
        </w:rPr>
      </w:pPr>
      <w:r>
        <w:rPr>
          <w:rFonts w:hint="eastAsia" w:ascii="黑体" w:hAnsi="黑体" w:eastAsia="黑体"/>
          <w:szCs w:val="24"/>
        </w:rPr>
        <w:t>4</w:t>
      </w:r>
      <w:r>
        <w:rPr>
          <w:rFonts w:ascii="黑体" w:hAnsi="黑体" w:eastAsia="黑体"/>
          <w:szCs w:val="24"/>
        </w:rPr>
        <w:t xml:space="preserve">.2.6 </w:t>
      </w:r>
      <w:r>
        <w:rPr>
          <w:rFonts w:hint="eastAsia" w:ascii="Times New Roman"/>
          <w:szCs w:val="24"/>
        </w:rPr>
        <w:t>厂内转移和输送易散发粉尘的物料应采取以下控尘方式之一：</w:t>
      </w:r>
    </w:p>
    <w:p>
      <w:pPr>
        <w:pStyle w:val="12"/>
        <w:tabs>
          <w:tab w:val="left" w:pos="851"/>
        </w:tabs>
        <w:ind w:left="0" w:firstLine="420" w:firstLineChars="200"/>
        <w:jc w:val="both"/>
        <w:rPr>
          <w:rFonts w:ascii="Times New Roman"/>
          <w:szCs w:val="24"/>
        </w:rPr>
      </w:pPr>
      <w:r>
        <w:rPr>
          <w:rFonts w:hint="eastAsia" w:ascii="Times New Roman"/>
          <w:szCs w:val="24"/>
        </w:rPr>
        <w:t>a）采用密闭输送系统；</w:t>
      </w:r>
    </w:p>
    <w:p>
      <w:pPr>
        <w:pStyle w:val="12"/>
        <w:tabs>
          <w:tab w:val="left" w:pos="851"/>
        </w:tabs>
        <w:ind w:left="0" w:firstLine="420" w:firstLineChars="200"/>
        <w:jc w:val="both"/>
        <w:rPr>
          <w:rFonts w:ascii="Times New Roman"/>
          <w:szCs w:val="24"/>
        </w:rPr>
      </w:pPr>
      <w:r>
        <w:rPr>
          <w:rFonts w:hint="eastAsia" w:ascii="Times New Roman"/>
          <w:szCs w:val="24"/>
        </w:rPr>
        <w:t>b）在封闭式建筑物内进行物料转移和输送；</w:t>
      </w:r>
    </w:p>
    <w:p>
      <w:pPr>
        <w:pStyle w:val="12"/>
        <w:tabs>
          <w:tab w:val="left" w:pos="851"/>
        </w:tabs>
        <w:ind w:left="0" w:firstLine="420" w:firstLineChars="200"/>
        <w:jc w:val="both"/>
        <w:rPr>
          <w:rFonts w:ascii="Times New Roman"/>
          <w:szCs w:val="24"/>
        </w:rPr>
      </w:pPr>
      <w:r>
        <w:rPr>
          <w:rFonts w:hint="eastAsia" w:ascii="Times New Roman"/>
          <w:szCs w:val="24"/>
        </w:rPr>
        <w:t>c）在上料点、落料点、接驳点及其他易散发粉尘位置采取局部气体收集处理、洒水增湿等控制措施。</w:t>
      </w:r>
    </w:p>
    <w:p>
      <w:pPr>
        <w:pStyle w:val="12"/>
        <w:tabs>
          <w:tab w:val="left" w:pos="851"/>
        </w:tabs>
        <w:ind w:left="0"/>
        <w:jc w:val="both"/>
        <w:rPr>
          <w:rFonts w:ascii="Times New Roman"/>
          <w:szCs w:val="24"/>
        </w:rPr>
      </w:pPr>
      <w:r>
        <w:rPr>
          <w:rFonts w:hint="eastAsia" w:ascii="黑体" w:hAnsi="黑体" w:eastAsia="黑体"/>
          <w:szCs w:val="24"/>
        </w:rPr>
        <w:t>4</w:t>
      </w:r>
      <w:r>
        <w:rPr>
          <w:rFonts w:ascii="黑体" w:hAnsi="黑体" w:eastAsia="黑体"/>
          <w:szCs w:val="24"/>
        </w:rPr>
        <w:t xml:space="preserve">.2.7 </w:t>
      </w:r>
      <w:r>
        <w:rPr>
          <w:rFonts w:hint="eastAsia" w:ascii="Times New Roman"/>
          <w:szCs w:val="24"/>
        </w:rPr>
        <w:t>物料加工与处理过程应满足以下要求：</w:t>
      </w:r>
    </w:p>
    <w:p>
      <w:pPr>
        <w:pStyle w:val="12"/>
        <w:tabs>
          <w:tab w:val="left" w:pos="851"/>
        </w:tabs>
        <w:ind w:left="0" w:firstLine="420" w:firstLineChars="200"/>
        <w:jc w:val="both"/>
        <w:rPr>
          <w:rFonts w:ascii="Times New Roman"/>
          <w:szCs w:val="24"/>
        </w:rPr>
      </w:pPr>
      <w:r>
        <w:rPr>
          <w:rFonts w:hint="eastAsia" w:ascii="Times New Roman"/>
          <w:szCs w:val="24"/>
        </w:rPr>
        <w:t>a）物料加工与处理过程中易散发粉尘的工艺环节（如破碎、粉磨、筛分、混合、打磨、切割、投料、出料（渣）、包装等）应采用密闭设备，或在密闭空间内进行。不能密闭的，应采取局部气体收集处理、洒水增湿等控制措施；</w:t>
      </w:r>
    </w:p>
    <w:p>
      <w:pPr>
        <w:pStyle w:val="12"/>
        <w:tabs>
          <w:tab w:val="left" w:pos="851"/>
        </w:tabs>
        <w:ind w:left="0" w:firstLine="420" w:firstLineChars="200"/>
        <w:jc w:val="both"/>
        <w:rPr>
          <w:rFonts w:ascii="Times New Roman"/>
          <w:szCs w:val="24"/>
        </w:rPr>
      </w:pPr>
      <w:r>
        <w:rPr>
          <w:rFonts w:hint="eastAsia" w:ascii="Times New Roman"/>
          <w:szCs w:val="24"/>
        </w:rPr>
        <w:t>b）密闭式生产工艺设备、废气收集系统、除尘设施等应密封良好，无粉尘外逸。</w:t>
      </w:r>
    </w:p>
    <w:p>
      <w:r>
        <w:rPr>
          <w:rFonts w:hint="eastAsia" w:ascii="黑体" w:hAnsi="黑体" w:eastAsia="黑体"/>
        </w:rPr>
        <w:t>4</w:t>
      </w:r>
      <w:r>
        <w:rPr>
          <w:rFonts w:ascii="黑体" w:hAnsi="黑体" w:eastAsia="黑体"/>
        </w:rPr>
        <w:t xml:space="preserve">.2.8 </w:t>
      </w:r>
      <w:r>
        <w:rPr>
          <w:rFonts w:hint="eastAsia"/>
        </w:rPr>
        <w:t>封闭式建筑物内进行物料装卸、储存、输送、加工等作业，除人员、车辆、设备进出时，以及依法设立的排气筒、通风口外，门窗及其他开口（孔）部分应随时保持关闭状态。</w:t>
      </w:r>
    </w:p>
    <w:p>
      <w:r>
        <w:rPr>
          <w:rFonts w:ascii="黑体" w:hAnsi="黑体" w:eastAsia="黑体"/>
        </w:rPr>
        <w:t xml:space="preserve">4.2.9 </w:t>
      </w:r>
      <w:r>
        <w:rPr>
          <w:rFonts w:hint="eastAsia"/>
        </w:rPr>
        <w:t>安装废气收集系统、废气处理设施，以及采取其他无组织排放控制措施，应对主要的运行信息进行记录。</w:t>
      </w:r>
    </w:p>
    <w:p>
      <w:pPr>
        <w:pStyle w:val="50"/>
        <w:rPr>
          <w:rFonts w:hAnsi="黑体"/>
        </w:rPr>
      </w:pPr>
      <w:r>
        <w:rPr>
          <w:rFonts w:hint="eastAsia" w:hAnsi="黑体"/>
        </w:rPr>
        <w:t>4</w:t>
      </w:r>
      <w:r>
        <w:rPr>
          <w:rFonts w:hAnsi="黑体"/>
        </w:rPr>
        <w:t>.3</w:t>
      </w:r>
      <w:r>
        <w:rPr>
          <w:rFonts w:hint="eastAsia" w:hAnsi="黑体"/>
        </w:rPr>
        <w:t xml:space="preserve"> 单位边界监控要求</w:t>
      </w:r>
    </w:p>
    <w:p>
      <w:r>
        <w:rPr>
          <w:rFonts w:ascii="黑体" w:hAnsi="黑体" w:eastAsia="黑体"/>
        </w:rPr>
        <w:t xml:space="preserve">4.3.1 </w:t>
      </w:r>
      <w:r>
        <w:rPr>
          <w:rFonts w:hint="eastAsia"/>
          <w:szCs w:val="21"/>
        </w:rPr>
        <w:t>单位边</w:t>
      </w:r>
      <w:r>
        <w:rPr>
          <w:rFonts w:hint="eastAsia"/>
        </w:rPr>
        <w:t>界</w:t>
      </w:r>
      <w:r>
        <w:rPr>
          <w:rFonts w:hint="eastAsia"/>
          <w:szCs w:val="21"/>
        </w:rPr>
        <w:t>任何</w:t>
      </w:r>
      <w:r>
        <w:rPr>
          <w:szCs w:val="21"/>
        </w:rPr>
        <w:t>1 h</w:t>
      </w:r>
      <w:r>
        <w:rPr>
          <w:rFonts w:hint="eastAsia"/>
          <w:szCs w:val="21"/>
        </w:rPr>
        <w:t>大气污染物平均浓度应符合表</w:t>
      </w:r>
      <w:r>
        <w:rPr>
          <w:szCs w:val="21"/>
        </w:rPr>
        <w:t>3</w:t>
      </w:r>
      <w:r>
        <w:rPr>
          <w:rFonts w:hint="eastAsia"/>
          <w:szCs w:val="21"/>
        </w:rPr>
        <w:t>的规定。</w:t>
      </w:r>
      <w:r>
        <w:rPr>
          <w:rFonts w:hint="eastAsia"/>
        </w:rPr>
        <w:t>新建污染源自本文件实施之日起执行，现有污染源自</w:t>
      </w:r>
      <w:r>
        <w:t>2022</w:t>
      </w:r>
      <w:r>
        <w:rPr>
          <w:rFonts w:hint="eastAsia"/>
        </w:rPr>
        <w:t>年</w:t>
      </w:r>
      <w:r>
        <w:t>7</w:t>
      </w:r>
      <w:r>
        <w:rPr>
          <w:rFonts w:hint="eastAsia"/>
        </w:rPr>
        <w:t>月1日起执行。</w:t>
      </w:r>
    </w:p>
    <w:p>
      <w:pPr>
        <w:pStyle w:val="134"/>
        <w:numPr>
          <w:ilvl w:val="0"/>
          <w:numId w:val="0"/>
        </w:numPr>
        <w:rPr>
          <w:rFonts w:ascii="Times New Roman"/>
          <w:szCs w:val="21"/>
        </w:rPr>
      </w:pPr>
      <w:r>
        <w:rPr>
          <w:rFonts w:hint="eastAsia" w:ascii="Times New Roman"/>
        </w:rPr>
        <w:t>表</w:t>
      </w:r>
      <w:r>
        <w:rPr>
          <w:rFonts w:ascii="Times New Roman"/>
        </w:rPr>
        <w:t xml:space="preserve">3  </w:t>
      </w:r>
      <w:r>
        <w:rPr>
          <w:rFonts w:hint="eastAsia" w:ascii="Times New Roman"/>
        </w:rPr>
        <w:t>单位边界大气污染物排放监控</w:t>
      </w:r>
      <w:r>
        <w:rPr>
          <w:rFonts w:hint="eastAsia" w:ascii="Times New Roman"/>
          <w:szCs w:val="21"/>
        </w:rPr>
        <w:t>浓度限值</w:t>
      </w:r>
    </w:p>
    <w:tbl>
      <w:tblPr>
        <w:tblStyle w:val="3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917"/>
        <w:gridCol w:w="2352"/>
        <w:gridCol w:w="2967"/>
        <w:gridCol w:w="2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序号</w:t>
            </w:r>
          </w:p>
        </w:tc>
        <w:tc>
          <w:tcPr>
            <w:tcW w:w="1708" w:type="pct"/>
            <w:gridSpan w:val="2"/>
            <w:vAlign w:val="center"/>
          </w:tcPr>
          <w:p>
            <w:pPr>
              <w:snapToGrid w:val="0"/>
              <w:jc w:val="center"/>
              <w:rPr>
                <w:rFonts w:ascii="Times New Roman"/>
                <w:sz w:val="18"/>
                <w:szCs w:val="18"/>
              </w:rPr>
            </w:pPr>
            <w:bookmarkStart w:id="40" w:name="_Hlk32777514"/>
            <w:r>
              <w:rPr>
                <w:rFonts w:ascii="Times New Roman"/>
                <w:sz w:val="18"/>
                <w:szCs w:val="18"/>
              </w:rPr>
              <w:t>污染物</w:t>
            </w:r>
          </w:p>
        </w:tc>
        <w:tc>
          <w:tcPr>
            <w:tcW w:w="1550" w:type="pct"/>
            <w:vAlign w:val="center"/>
          </w:tcPr>
          <w:p>
            <w:pPr>
              <w:snapToGrid w:val="0"/>
              <w:jc w:val="center"/>
              <w:rPr>
                <w:rFonts w:ascii="Times New Roman"/>
                <w:sz w:val="18"/>
                <w:szCs w:val="18"/>
              </w:rPr>
            </w:pPr>
            <w:r>
              <w:rPr>
                <w:rFonts w:ascii="Times New Roman"/>
                <w:sz w:val="18"/>
                <w:szCs w:val="18"/>
              </w:rPr>
              <w:t>监控浓度限值</w:t>
            </w:r>
          </w:p>
          <w:p>
            <w:pPr>
              <w:snapToGrid w:val="0"/>
              <w:jc w:val="center"/>
              <w:rPr>
                <w:rFonts w:ascii="Times New Roman"/>
                <w:sz w:val="18"/>
                <w:szCs w:val="18"/>
              </w:rPr>
            </w:pPr>
            <w:r>
              <w:rPr>
                <w:rFonts w:ascii="Times New Roman"/>
                <w:sz w:val="18"/>
                <w:szCs w:val="18"/>
              </w:rPr>
              <w:t>mg/m</w:t>
            </w:r>
            <w:r>
              <w:rPr>
                <w:rFonts w:ascii="Times New Roman"/>
                <w:sz w:val="18"/>
                <w:szCs w:val="18"/>
                <w:vertAlign w:val="superscript"/>
              </w:rPr>
              <w:t>3</w:t>
            </w:r>
          </w:p>
        </w:tc>
        <w:tc>
          <w:tcPr>
            <w:tcW w:w="1389" w:type="pct"/>
            <w:vAlign w:val="center"/>
          </w:tcPr>
          <w:p>
            <w:pPr>
              <w:pStyle w:val="145"/>
              <w:snapToGrid w:val="0"/>
              <w:jc w:val="center"/>
              <w:rPr>
                <w:rFonts w:ascii="Times New Roman" w:hAnsi="Times New Roman" w:cs="Times New Roman"/>
                <w:sz w:val="18"/>
                <w:szCs w:val="18"/>
              </w:rPr>
            </w:pPr>
            <w:r>
              <w:rPr>
                <w:rFonts w:ascii="Times New Roman" w:hAnsi="Times New Roman" w:cs="Times New Roman"/>
                <w:sz w:val="18"/>
                <w:szCs w:val="18"/>
              </w:rPr>
              <w:t>监控位置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53" w:type="pct"/>
            <w:vMerge w:val="restart"/>
            <w:vAlign w:val="center"/>
          </w:tcPr>
          <w:p>
            <w:pPr>
              <w:snapToGrid w:val="0"/>
              <w:jc w:val="center"/>
              <w:rPr>
                <w:rFonts w:ascii="Times New Roman"/>
                <w:sz w:val="18"/>
                <w:szCs w:val="18"/>
              </w:rPr>
            </w:pPr>
            <w:r>
              <w:rPr>
                <w:rFonts w:ascii="Times New Roman"/>
                <w:sz w:val="18"/>
                <w:szCs w:val="18"/>
              </w:rPr>
              <w:t>1</w:t>
            </w:r>
          </w:p>
        </w:tc>
        <w:tc>
          <w:tcPr>
            <w:tcW w:w="479" w:type="pct"/>
            <w:vMerge w:val="restart"/>
            <w:vAlign w:val="center"/>
          </w:tcPr>
          <w:p>
            <w:pPr>
              <w:snapToGrid w:val="0"/>
              <w:jc w:val="center"/>
              <w:rPr>
                <w:rFonts w:ascii="Times New Roman"/>
                <w:sz w:val="18"/>
                <w:szCs w:val="18"/>
              </w:rPr>
            </w:pPr>
            <w:r>
              <w:rPr>
                <w:rFonts w:ascii="Times New Roman"/>
                <w:sz w:val="18"/>
                <w:szCs w:val="18"/>
              </w:rPr>
              <w:t>颗粒物</w:t>
            </w:r>
          </w:p>
        </w:tc>
        <w:tc>
          <w:tcPr>
            <w:tcW w:w="1229" w:type="pct"/>
            <w:vAlign w:val="center"/>
          </w:tcPr>
          <w:p>
            <w:pPr>
              <w:snapToGrid w:val="0"/>
              <w:jc w:val="center"/>
              <w:rPr>
                <w:rFonts w:ascii="Times New Roman"/>
                <w:sz w:val="18"/>
                <w:szCs w:val="18"/>
              </w:rPr>
            </w:pPr>
            <w:r>
              <w:rPr>
                <w:rFonts w:ascii="Times New Roman"/>
                <w:sz w:val="18"/>
                <w:szCs w:val="18"/>
              </w:rPr>
              <w:t>石棉纤维及粉尘、沥青烟</w:t>
            </w:r>
          </w:p>
        </w:tc>
        <w:tc>
          <w:tcPr>
            <w:tcW w:w="2939" w:type="pct"/>
            <w:gridSpan w:val="2"/>
            <w:vAlign w:val="center"/>
          </w:tcPr>
          <w:p>
            <w:pPr>
              <w:snapToGrid w:val="0"/>
              <w:jc w:val="center"/>
              <w:rPr>
                <w:rFonts w:ascii="Times New Roman"/>
                <w:sz w:val="18"/>
                <w:szCs w:val="18"/>
              </w:rPr>
            </w:pPr>
            <w:r>
              <w:rPr>
                <w:rFonts w:ascii="Times New Roman"/>
                <w:sz w:val="18"/>
                <w:szCs w:val="18"/>
              </w:rPr>
              <w:t>生产装置不得有明显的</w:t>
            </w:r>
          </w:p>
          <w:p>
            <w:pPr>
              <w:snapToGrid w:val="0"/>
              <w:jc w:val="center"/>
              <w:rPr>
                <w:rFonts w:ascii="Times New Roman"/>
                <w:sz w:val="18"/>
                <w:szCs w:val="18"/>
              </w:rPr>
            </w:pPr>
            <w:r>
              <w:rPr>
                <w:rFonts w:ascii="Times New Roman"/>
                <w:sz w:val="18"/>
                <w:szCs w:val="18"/>
              </w:rPr>
              <w:t>无组织排放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Merge w:val="continue"/>
            <w:vAlign w:val="center"/>
          </w:tcPr>
          <w:p>
            <w:pPr>
              <w:snapToGrid w:val="0"/>
              <w:jc w:val="center"/>
              <w:rPr>
                <w:rFonts w:ascii="宋体"/>
                <w:sz w:val="18"/>
                <w:szCs w:val="18"/>
              </w:rPr>
            </w:pPr>
          </w:p>
        </w:tc>
        <w:tc>
          <w:tcPr>
            <w:tcW w:w="479" w:type="pct"/>
            <w:vMerge w:val="continue"/>
            <w:vAlign w:val="center"/>
          </w:tcPr>
          <w:p>
            <w:pPr>
              <w:snapToGrid w:val="0"/>
              <w:jc w:val="center"/>
              <w:rPr>
                <w:rFonts w:ascii="宋体"/>
                <w:sz w:val="18"/>
                <w:szCs w:val="18"/>
              </w:rPr>
            </w:pPr>
          </w:p>
        </w:tc>
        <w:tc>
          <w:tcPr>
            <w:tcW w:w="1229" w:type="pct"/>
            <w:vAlign w:val="center"/>
          </w:tcPr>
          <w:p>
            <w:pPr>
              <w:snapToGrid w:val="0"/>
              <w:jc w:val="center"/>
              <w:rPr>
                <w:rFonts w:ascii="宋体"/>
                <w:sz w:val="18"/>
                <w:szCs w:val="18"/>
              </w:rPr>
            </w:pPr>
            <w:r>
              <w:rPr>
                <w:rFonts w:hint="eastAsia" w:ascii="Times New Roman"/>
                <w:sz w:val="18"/>
                <w:szCs w:val="18"/>
              </w:rPr>
              <w:t>碳</w:t>
            </w:r>
            <w:r>
              <w:rPr>
                <w:rFonts w:ascii="Times New Roman"/>
                <w:sz w:val="18"/>
                <w:szCs w:val="18"/>
              </w:rPr>
              <w:t>黑尘、染料尘</w:t>
            </w:r>
          </w:p>
        </w:tc>
        <w:tc>
          <w:tcPr>
            <w:tcW w:w="1550" w:type="pct"/>
            <w:vAlign w:val="center"/>
          </w:tcPr>
          <w:p>
            <w:pPr>
              <w:snapToGrid w:val="0"/>
              <w:jc w:val="center"/>
              <w:rPr>
                <w:rFonts w:ascii="宋体"/>
                <w:sz w:val="18"/>
                <w:szCs w:val="18"/>
              </w:rPr>
            </w:pPr>
            <w:r>
              <w:rPr>
                <w:rFonts w:hint="eastAsia" w:ascii="宋体"/>
                <w:sz w:val="18"/>
                <w:szCs w:val="18"/>
              </w:rPr>
              <w:t>肉眼不可见</w:t>
            </w:r>
          </w:p>
        </w:tc>
        <w:tc>
          <w:tcPr>
            <w:tcW w:w="1389" w:type="pct"/>
            <w:vMerge w:val="restart"/>
            <w:vAlign w:val="center"/>
          </w:tcPr>
          <w:p>
            <w:pPr>
              <w:snapToGrid w:val="0"/>
              <w:jc w:val="center"/>
              <w:rPr>
                <w:rFonts w:ascii="宋体"/>
                <w:sz w:val="18"/>
                <w:szCs w:val="18"/>
              </w:rPr>
            </w:pPr>
            <w:r>
              <w:rPr>
                <w:rFonts w:ascii="Times New Roman"/>
                <w:sz w:val="18"/>
                <w:szCs w:val="18"/>
              </w:rPr>
              <w:t>边界</w:t>
            </w:r>
            <w:r>
              <w:rPr>
                <w:rFonts w:hint="eastAsia" w:ascii="Times New Roman"/>
                <w:sz w:val="18"/>
                <w:szCs w:val="18"/>
              </w:rPr>
              <w:t>外浓度最高点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Merge w:val="continue"/>
            <w:vAlign w:val="center"/>
          </w:tcPr>
          <w:p>
            <w:pPr>
              <w:snapToGrid w:val="0"/>
              <w:jc w:val="center"/>
              <w:rPr>
                <w:rFonts w:ascii="Times New Roman"/>
                <w:sz w:val="18"/>
                <w:szCs w:val="18"/>
              </w:rPr>
            </w:pPr>
          </w:p>
        </w:tc>
        <w:tc>
          <w:tcPr>
            <w:tcW w:w="479" w:type="pct"/>
            <w:vMerge w:val="continue"/>
            <w:vAlign w:val="center"/>
          </w:tcPr>
          <w:p>
            <w:pPr>
              <w:snapToGrid w:val="0"/>
              <w:jc w:val="center"/>
              <w:rPr>
                <w:rFonts w:ascii="Times New Roman"/>
                <w:sz w:val="18"/>
                <w:szCs w:val="18"/>
              </w:rPr>
            </w:pPr>
          </w:p>
        </w:tc>
        <w:tc>
          <w:tcPr>
            <w:tcW w:w="1229" w:type="pct"/>
            <w:vAlign w:val="center"/>
          </w:tcPr>
          <w:p>
            <w:pPr>
              <w:snapToGrid w:val="0"/>
              <w:jc w:val="center"/>
              <w:rPr>
                <w:rFonts w:ascii="Times New Roman"/>
                <w:sz w:val="18"/>
                <w:szCs w:val="18"/>
              </w:rPr>
            </w:pPr>
            <w:r>
              <w:rPr>
                <w:rFonts w:ascii="Times New Roman"/>
                <w:sz w:val="18"/>
                <w:szCs w:val="18"/>
              </w:rPr>
              <w:t>其他颗粒物</w:t>
            </w:r>
          </w:p>
        </w:tc>
        <w:tc>
          <w:tcPr>
            <w:tcW w:w="1550" w:type="pct"/>
            <w:vAlign w:val="center"/>
          </w:tcPr>
          <w:p>
            <w:pPr>
              <w:snapToGrid w:val="0"/>
              <w:jc w:val="center"/>
              <w:rPr>
                <w:rFonts w:ascii="Times New Roman"/>
                <w:sz w:val="18"/>
                <w:szCs w:val="18"/>
              </w:rPr>
            </w:pPr>
            <w:r>
              <w:rPr>
                <w:rFonts w:ascii="Times New Roman"/>
                <w:sz w:val="18"/>
                <w:szCs w:val="18"/>
              </w:rPr>
              <w:t>0.5</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2</w:t>
            </w:r>
          </w:p>
        </w:tc>
        <w:tc>
          <w:tcPr>
            <w:tcW w:w="1708" w:type="pct"/>
            <w:gridSpan w:val="2"/>
            <w:vAlign w:val="center"/>
          </w:tcPr>
          <w:p>
            <w:pPr>
              <w:snapToGrid w:val="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二氧化硫</w:t>
            </w:r>
          </w:p>
        </w:tc>
        <w:tc>
          <w:tcPr>
            <w:tcW w:w="1550" w:type="pct"/>
            <w:vAlign w:val="center"/>
          </w:tcPr>
          <w:p>
            <w:pPr>
              <w:snapToGrid w:val="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0.4</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w:t>
            </w:r>
          </w:p>
        </w:tc>
        <w:tc>
          <w:tcPr>
            <w:tcW w:w="1708" w:type="pct"/>
            <w:gridSpan w:val="2"/>
            <w:vAlign w:val="center"/>
          </w:tcPr>
          <w:p>
            <w:pPr>
              <w:snapToGrid w:val="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氮氧化物</w:t>
            </w:r>
          </w:p>
        </w:tc>
        <w:tc>
          <w:tcPr>
            <w:tcW w:w="1550" w:type="pct"/>
            <w:vAlign w:val="center"/>
          </w:tcPr>
          <w:p>
            <w:pPr>
              <w:snapToGrid w:val="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0.12</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4</w:t>
            </w:r>
          </w:p>
        </w:tc>
        <w:tc>
          <w:tcPr>
            <w:tcW w:w="1708" w:type="pct"/>
            <w:gridSpan w:val="2"/>
            <w:vAlign w:val="center"/>
          </w:tcPr>
          <w:p>
            <w:pPr>
              <w:snapToGrid w:val="0"/>
              <w:jc w:val="center"/>
              <w:rPr>
                <w:rFonts w:ascii="Times New Roman"/>
                <w:sz w:val="18"/>
                <w:szCs w:val="18"/>
              </w:rPr>
            </w:pPr>
            <w:r>
              <w:rPr>
                <w:rFonts w:ascii="宋体"/>
                <w:color w:val="333333"/>
                <w:sz w:val="18"/>
                <w:szCs w:val="18"/>
                <w:shd w:val="clear" w:color="auto" w:fill="FFFFFF"/>
              </w:rPr>
              <w:t>NMHC</w:t>
            </w:r>
          </w:p>
        </w:tc>
        <w:tc>
          <w:tcPr>
            <w:tcW w:w="1550" w:type="pct"/>
            <w:vAlign w:val="center"/>
          </w:tcPr>
          <w:p>
            <w:pPr>
              <w:snapToGrid w:val="0"/>
              <w:jc w:val="center"/>
              <w:rPr>
                <w:rFonts w:ascii="Times New Roman"/>
                <w:sz w:val="18"/>
                <w:szCs w:val="18"/>
              </w:rPr>
            </w:pPr>
            <w:r>
              <w:rPr>
                <w:rFonts w:ascii="Times New Roman"/>
                <w:sz w:val="18"/>
                <w:szCs w:val="18"/>
              </w:rPr>
              <w:t>4</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5</w:t>
            </w:r>
          </w:p>
        </w:tc>
        <w:tc>
          <w:tcPr>
            <w:tcW w:w="1708" w:type="pct"/>
            <w:gridSpan w:val="2"/>
            <w:vAlign w:val="center"/>
          </w:tcPr>
          <w:p>
            <w:pPr>
              <w:snapToGrid w:val="0"/>
              <w:jc w:val="center"/>
              <w:rPr>
                <w:rFonts w:ascii="Times New Roman"/>
                <w:sz w:val="18"/>
                <w:szCs w:val="18"/>
              </w:rPr>
            </w:pPr>
            <w:r>
              <w:rPr>
                <w:rFonts w:ascii="Times New Roman"/>
                <w:sz w:val="18"/>
                <w:szCs w:val="18"/>
              </w:rPr>
              <w:t>苯</w:t>
            </w:r>
          </w:p>
        </w:tc>
        <w:tc>
          <w:tcPr>
            <w:tcW w:w="1550" w:type="pct"/>
            <w:vAlign w:val="center"/>
          </w:tcPr>
          <w:p>
            <w:pPr>
              <w:snapToGrid w:val="0"/>
              <w:jc w:val="center"/>
              <w:rPr>
                <w:rFonts w:ascii="Times New Roman"/>
                <w:sz w:val="18"/>
                <w:szCs w:val="18"/>
              </w:rPr>
            </w:pPr>
            <w:r>
              <w:rPr>
                <w:rFonts w:ascii="Times New Roman"/>
                <w:sz w:val="18"/>
                <w:szCs w:val="18"/>
              </w:rPr>
              <w:t>0.1</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6</w:t>
            </w:r>
          </w:p>
        </w:tc>
        <w:tc>
          <w:tcPr>
            <w:tcW w:w="1708" w:type="pct"/>
            <w:gridSpan w:val="2"/>
            <w:vAlign w:val="center"/>
          </w:tcPr>
          <w:p>
            <w:pPr>
              <w:snapToGrid w:val="0"/>
              <w:jc w:val="center"/>
              <w:rPr>
                <w:rFonts w:ascii="Times New Roman"/>
                <w:sz w:val="18"/>
                <w:szCs w:val="18"/>
              </w:rPr>
            </w:pPr>
            <w:r>
              <w:rPr>
                <w:rFonts w:ascii="Times New Roman"/>
                <w:sz w:val="18"/>
                <w:szCs w:val="18"/>
              </w:rPr>
              <w:t>甲苯</w:t>
            </w:r>
          </w:p>
        </w:tc>
        <w:tc>
          <w:tcPr>
            <w:tcW w:w="1550" w:type="pct"/>
            <w:vAlign w:val="center"/>
          </w:tcPr>
          <w:p>
            <w:pPr>
              <w:snapToGrid w:val="0"/>
              <w:jc w:val="center"/>
              <w:rPr>
                <w:rFonts w:ascii="Times New Roman"/>
                <w:sz w:val="18"/>
                <w:szCs w:val="18"/>
              </w:rPr>
            </w:pPr>
            <w:r>
              <w:rPr>
                <w:rFonts w:ascii="Times New Roman"/>
                <w:sz w:val="18"/>
                <w:szCs w:val="18"/>
              </w:rPr>
              <w:t>0.2</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7</w:t>
            </w:r>
          </w:p>
        </w:tc>
        <w:tc>
          <w:tcPr>
            <w:tcW w:w="1708" w:type="pct"/>
            <w:gridSpan w:val="2"/>
            <w:vAlign w:val="center"/>
          </w:tcPr>
          <w:p>
            <w:pPr>
              <w:snapToGrid w:val="0"/>
              <w:jc w:val="center"/>
              <w:rPr>
                <w:rFonts w:ascii="Times New Roman"/>
                <w:sz w:val="18"/>
                <w:szCs w:val="18"/>
              </w:rPr>
            </w:pPr>
            <w:r>
              <w:rPr>
                <w:rFonts w:ascii="Times New Roman"/>
                <w:sz w:val="18"/>
                <w:szCs w:val="18"/>
              </w:rPr>
              <w:t>二甲苯</w:t>
            </w:r>
          </w:p>
        </w:tc>
        <w:tc>
          <w:tcPr>
            <w:tcW w:w="1550" w:type="pct"/>
            <w:vAlign w:val="center"/>
          </w:tcPr>
          <w:p>
            <w:pPr>
              <w:snapToGrid w:val="0"/>
              <w:jc w:val="center"/>
              <w:rPr>
                <w:rFonts w:ascii="Times New Roman"/>
                <w:sz w:val="18"/>
                <w:szCs w:val="18"/>
              </w:rPr>
            </w:pPr>
            <w:r>
              <w:rPr>
                <w:rFonts w:ascii="Times New Roman"/>
                <w:sz w:val="18"/>
                <w:szCs w:val="18"/>
              </w:rPr>
              <w:t>0.2</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8</w:t>
            </w:r>
          </w:p>
        </w:tc>
        <w:tc>
          <w:tcPr>
            <w:tcW w:w="1708" w:type="pct"/>
            <w:gridSpan w:val="2"/>
            <w:vAlign w:val="center"/>
          </w:tcPr>
          <w:p>
            <w:pPr>
              <w:snapToGrid w:val="0"/>
              <w:jc w:val="center"/>
              <w:rPr>
                <w:rFonts w:ascii="Times New Roman"/>
                <w:sz w:val="18"/>
                <w:szCs w:val="18"/>
              </w:rPr>
            </w:pPr>
            <w:r>
              <w:rPr>
                <w:rFonts w:ascii="Times New Roman"/>
                <w:sz w:val="18"/>
                <w:szCs w:val="18"/>
              </w:rPr>
              <w:t>苯系物</w:t>
            </w:r>
          </w:p>
        </w:tc>
        <w:tc>
          <w:tcPr>
            <w:tcW w:w="1550" w:type="pct"/>
            <w:vAlign w:val="center"/>
          </w:tcPr>
          <w:p>
            <w:pPr>
              <w:snapToGrid w:val="0"/>
              <w:jc w:val="center"/>
              <w:rPr>
                <w:rFonts w:ascii="Times New Roman"/>
                <w:sz w:val="18"/>
                <w:szCs w:val="18"/>
              </w:rPr>
            </w:pPr>
            <w:r>
              <w:rPr>
                <w:rFonts w:ascii="Times New Roman"/>
                <w:sz w:val="18"/>
                <w:szCs w:val="18"/>
              </w:rPr>
              <w:t>0.4</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9</w:t>
            </w:r>
          </w:p>
        </w:tc>
        <w:tc>
          <w:tcPr>
            <w:tcW w:w="1708" w:type="pct"/>
            <w:gridSpan w:val="2"/>
            <w:vAlign w:val="center"/>
          </w:tcPr>
          <w:p>
            <w:pPr>
              <w:snapToGrid w:val="0"/>
              <w:jc w:val="center"/>
              <w:rPr>
                <w:rFonts w:ascii="宋体"/>
                <w:sz w:val="18"/>
                <w:szCs w:val="18"/>
              </w:rPr>
            </w:pPr>
            <w:r>
              <w:rPr>
                <w:rFonts w:ascii="Times New Roman"/>
                <w:sz w:val="18"/>
                <w:szCs w:val="18"/>
              </w:rPr>
              <w:t>一氧化碳</w:t>
            </w:r>
          </w:p>
        </w:tc>
        <w:tc>
          <w:tcPr>
            <w:tcW w:w="1550" w:type="pct"/>
            <w:vAlign w:val="center"/>
          </w:tcPr>
          <w:p>
            <w:pPr>
              <w:snapToGrid w:val="0"/>
              <w:jc w:val="center"/>
              <w:rPr>
                <w:rFonts w:ascii="宋体"/>
                <w:sz w:val="18"/>
                <w:szCs w:val="18"/>
              </w:rPr>
            </w:pPr>
            <w:r>
              <w:rPr>
                <w:rFonts w:ascii="Times New Roman"/>
                <w:sz w:val="18"/>
                <w:szCs w:val="18"/>
              </w:rPr>
              <w:t>10</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10</w:t>
            </w:r>
          </w:p>
        </w:tc>
        <w:tc>
          <w:tcPr>
            <w:tcW w:w="1708" w:type="pct"/>
            <w:gridSpan w:val="2"/>
            <w:vAlign w:val="center"/>
          </w:tcPr>
          <w:p>
            <w:pPr>
              <w:snapToGrid w:val="0"/>
              <w:jc w:val="center"/>
              <w:rPr>
                <w:rFonts w:ascii="Times New Roman"/>
                <w:sz w:val="18"/>
                <w:szCs w:val="18"/>
              </w:rPr>
            </w:pPr>
            <w:r>
              <w:rPr>
                <w:rFonts w:ascii="Times New Roman"/>
                <w:sz w:val="18"/>
                <w:szCs w:val="18"/>
              </w:rPr>
              <w:t>氯化氢</w:t>
            </w:r>
          </w:p>
        </w:tc>
        <w:tc>
          <w:tcPr>
            <w:tcW w:w="1550" w:type="pct"/>
            <w:vAlign w:val="center"/>
          </w:tcPr>
          <w:p>
            <w:pPr>
              <w:snapToGrid w:val="0"/>
              <w:jc w:val="center"/>
              <w:rPr>
                <w:rFonts w:ascii="Times New Roman"/>
                <w:sz w:val="18"/>
                <w:szCs w:val="18"/>
              </w:rPr>
            </w:pPr>
            <w:r>
              <w:rPr>
                <w:rFonts w:ascii="Times New Roman"/>
                <w:sz w:val="18"/>
                <w:szCs w:val="18"/>
              </w:rPr>
              <w:t>0.05</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11</w:t>
            </w:r>
          </w:p>
        </w:tc>
        <w:tc>
          <w:tcPr>
            <w:tcW w:w="1708" w:type="pct"/>
            <w:gridSpan w:val="2"/>
            <w:vAlign w:val="center"/>
          </w:tcPr>
          <w:p>
            <w:pPr>
              <w:snapToGrid w:val="0"/>
              <w:jc w:val="center"/>
              <w:rPr>
                <w:rFonts w:ascii="Times New Roman"/>
                <w:sz w:val="18"/>
                <w:szCs w:val="18"/>
              </w:rPr>
            </w:pPr>
            <w:r>
              <w:rPr>
                <w:rFonts w:ascii="Times New Roman"/>
                <w:sz w:val="18"/>
                <w:szCs w:val="18"/>
              </w:rPr>
              <w:t>氯气</w:t>
            </w:r>
          </w:p>
        </w:tc>
        <w:tc>
          <w:tcPr>
            <w:tcW w:w="1550" w:type="pct"/>
            <w:vAlign w:val="center"/>
          </w:tcPr>
          <w:p>
            <w:pPr>
              <w:snapToGrid w:val="0"/>
              <w:jc w:val="center"/>
              <w:rPr>
                <w:rFonts w:ascii="Times New Roman"/>
                <w:sz w:val="18"/>
                <w:szCs w:val="18"/>
              </w:rPr>
            </w:pPr>
            <w:r>
              <w:rPr>
                <w:rFonts w:ascii="Times New Roman"/>
                <w:sz w:val="18"/>
                <w:szCs w:val="18"/>
              </w:rPr>
              <w:t>0.1</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12</w:t>
            </w:r>
          </w:p>
        </w:tc>
        <w:tc>
          <w:tcPr>
            <w:tcW w:w="1708" w:type="pct"/>
            <w:gridSpan w:val="2"/>
            <w:vAlign w:val="center"/>
          </w:tcPr>
          <w:p>
            <w:pPr>
              <w:snapToGrid w:val="0"/>
              <w:jc w:val="center"/>
              <w:rPr>
                <w:rFonts w:ascii="Times New Roman"/>
                <w:sz w:val="18"/>
                <w:szCs w:val="18"/>
              </w:rPr>
            </w:pPr>
            <w:r>
              <w:rPr>
                <w:rFonts w:ascii="Times New Roman"/>
                <w:sz w:val="18"/>
                <w:szCs w:val="18"/>
              </w:rPr>
              <w:t>光气</w:t>
            </w:r>
          </w:p>
        </w:tc>
        <w:tc>
          <w:tcPr>
            <w:tcW w:w="1550" w:type="pct"/>
            <w:vAlign w:val="center"/>
          </w:tcPr>
          <w:p>
            <w:pPr>
              <w:snapToGrid w:val="0"/>
              <w:jc w:val="center"/>
              <w:rPr>
                <w:rFonts w:ascii="Times New Roman"/>
                <w:sz w:val="18"/>
                <w:szCs w:val="18"/>
              </w:rPr>
            </w:pPr>
            <w:r>
              <w:rPr>
                <w:rFonts w:ascii="Times New Roman"/>
                <w:sz w:val="18"/>
                <w:szCs w:val="18"/>
              </w:rPr>
              <w:t>0.02</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13</w:t>
            </w:r>
          </w:p>
        </w:tc>
        <w:tc>
          <w:tcPr>
            <w:tcW w:w="1708" w:type="pct"/>
            <w:gridSpan w:val="2"/>
            <w:vAlign w:val="center"/>
          </w:tcPr>
          <w:p>
            <w:pPr>
              <w:snapToGrid w:val="0"/>
              <w:jc w:val="center"/>
              <w:rPr>
                <w:rFonts w:ascii="宋体"/>
                <w:sz w:val="18"/>
                <w:szCs w:val="18"/>
              </w:rPr>
            </w:pPr>
            <w:r>
              <w:rPr>
                <w:rFonts w:ascii="Times New Roman"/>
                <w:sz w:val="18"/>
                <w:szCs w:val="18"/>
              </w:rPr>
              <w:t>氟化物</w:t>
            </w:r>
          </w:p>
        </w:tc>
        <w:tc>
          <w:tcPr>
            <w:tcW w:w="1550" w:type="pct"/>
            <w:vAlign w:val="center"/>
          </w:tcPr>
          <w:p>
            <w:pPr>
              <w:snapToGrid w:val="0"/>
              <w:jc w:val="center"/>
              <w:rPr>
                <w:rFonts w:ascii="宋体"/>
                <w:sz w:val="18"/>
                <w:szCs w:val="18"/>
              </w:rPr>
            </w:pPr>
            <w:r>
              <w:rPr>
                <w:rFonts w:ascii="Times New Roman"/>
                <w:sz w:val="18"/>
                <w:szCs w:val="18"/>
              </w:rPr>
              <w:t>0.02</w:t>
            </w:r>
          </w:p>
        </w:tc>
        <w:tc>
          <w:tcPr>
            <w:tcW w:w="1389" w:type="pct"/>
            <w:vMerge w:val="continue"/>
            <w:vAlign w:val="center"/>
          </w:tcPr>
          <w:p>
            <w:pPr>
              <w:snapToGrid w:val="0"/>
              <w:jc w:val="center"/>
              <w:rPr>
                <w:rFonts w:ascii="宋体"/>
                <w:sz w:val="18"/>
                <w:szCs w:val="18"/>
              </w:rPr>
            </w:pPr>
          </w:p>
        </w:tc>
      </w:tr>
    </w:tbl>
    <w:p>
      <w:pPr>
        <w:pStyle w:val="134"/>
        <w:numPr>
          <w:ilvl w:val="0"/>
          <w:numId w:val="0"/>
        </w:numPr>
      </w:pPr>
      <w:r>
        <w:rPr>
          <w:rFonts w:hint="eastAsia" w:ascii="Times New Roman"/>
        </w:rPr>
        <w:t>表</w:t>
      </w:r>
      <w:r>
        <w:rPr>
          <w:rFonts w:ascii="Times New Roman"/>
        </w:rPr>
        <w:t xml:space="preserve">3  </w:t>
      </w:r>
      <w:r>
        <w:rPr>
          <w:rFonts w:hint="eastAsia" w:ascii="Times New Roman"/>
        </w:rPr>
        <w:t>单位边界大气污染物排放监控</w:t>
      </w:r>
      <w:r>
        <w:rPr>
          <w:rFonts w:hint="eastAsia" w:ascii="Times New Roman"/>
          <w:szCs w:val="21"/>
        </w:rPr>
        <w:t>浓度限值</w:t>
      </w:r>
      <w:r>
        <w:rPr>
          <w:rFonts w:hint="eastAsia" w:ascii="Times New Roman"/>
        </w:rPr>
        <w:t>（续）</w:t>
      </w:r>
    </w:p>
    <w:tbl>
      <w:tblPr>
        <w:tblStyle w:val="3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3269"/>
        <w:gridCol w:w="2967"/>
        <w:gridCol w:w="2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序号</w:t>
            </w:r>
          </w:p>
        </w:tc>
        <w:tc>
          <w:tcPr>
            <w:tcW w:w="1708" w:type="pct"/>
            <w:vAlign w:val="center"/>
          </w:tcPr>
          <w:p>
            <w:pPr>
              <w:snapToGrid w:val="0"/>
              <w:jc w:val="center"/>
              <w:rPr>
                <w:rFonts w:ascii="宋体"/>
                <w:sz w:val="18"/>
                <w:szCs w:val="18"/>
              </w:rPr>
            </w:pPr>
            <w:r>
              <w:rPr>
                <w:rFonts w:ascii="Times New Roman"/>
                <w:sz w:val="18"/>
                <w:szCs w:val="18"/>
              </w:rPr>
              <w:t>污染物</w:t>
            </w:r>
          </w:p>
        </w:tc>
        <w:tc>
          <w:tcPr>
            <w:tcW w:w="1550" w:type="pct"/>
            <w:vAlign w:val="center"/>
          </w:tcPr>
          <w:p>
            <w:pPr>
              <w:snapToGrid w:val="0"/>
              <w:jc w:val="center"/>
              <w:rPr>
                <w:rFonts w:ascii="Times New Roman"/>
                <w:sz w:val="18"/>
                <w:szCs w:val="18"/>
              </w:rPr>
            </w:pPr>
            <w:r>
              <w:rPr>
                <w:rFonts w:ascii="Times New Roman"/>
                <w:sz w:val="18"/>
                <w:szCs w:val="18"/>
              </w:rPr>
              <w:t>监控浓度限值</w:t>
            </w:r>
          </w:p>
          <w:p>
            <w:pPr>
              <w:snapToGrid w:val="0"/>
              <w:jc w:val="center"/>
              <w:rPr>
                <w:rFonts w:ascii="宋体"/>
                <w:sz w:val="18"/>
                <w:szCs w:val="18"/>
              </w:rPr>
            </w:pPr>
            <w:r>
              <w:rPr>
                <w:rFonts w:ascii="Times New Roman"/>
                <w:sz w:val="18"/>
                <w:szCs w:val="18"/>
              </w:rPr>
              <w:t>mg/m</w:t>
            </w:r>
            <w:r>
              <w:rPr>
                <w:rFonts w:ascii="Times New Roman"/>
                <w:sz w:val="18"/>
                <w:szCs w:val="18"/>
                <w:vertAlign w:val="superscript"/>
              </w:rPr>
              <w:t>3</w:t>
            </w:r>
          </w:p>
        </w:tc>
        <w:tc>
          <w:tcPr>
            <w:tcW w:w="1389" w:type="pct"/>
            <w:vAlign w:val="center"/>
          </w:tcPr>
          <w:p>
            <w:pPr>
              <w:snapToGrid w:val="0"/>
              <w:jc w:val="center"/>
              <w:rPr>
                <w:rFonts w:ascii="宋体"/>
                <w:sz w:val="18"/>
                <w:szCs w:val="18"/>
              </w:rPr>
            </w:pPr>
            <w:r>
              <w:rPr>
                <w:rFonts w:ascii="Times New Roman"/>
                <w:sz w:val="18"/>
                <w:szCs w:val="18"/>
              </w:rPr>
              <w:t>监控位置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14</w:t>
            </w:r>
          </w:p>
        </w:tc>
        <w:tc>
          <w:tcPr>
            <w:tcW w:w="1708" w:type="pct"/>
            <w:vAlign w:val="center"/>
          </w:tcPr>
          <w:p>
            <w:pPr>
              <w:snapToGrid w:val="0"/>
              <w:jc w:val="center"/>
              <w:rPr>
                <w:rFonts w:ascii="Times New Roman"/>
                <w:sz w:val="18"/>
                <w:szCs w:val="18"/>
              </w:rPr>
            </w:pPr>
            <w:r>
              <w:rPr>
                <w:rFonts w:ascii="Times New Roman"/>
                <w:sz w:val="18"/>
                <w:szCs w:val="18"/>
              </w:rPr>
              <w:t>氰化氢</w:t>
            </w:r>
          </w:p>
        </w:tc>
        <w:tc>
          <w:tcPr>
            <w:tcW w:w="1550" w:type="pct"/>
            <w:vAlign w:val="center"/>
          </w:tcPr>
          <w:p>
            <w:pPr>
              <w:snapToGrid w:val="0"/>
              <w:jc w:val="center"/>
              <w:rPr>
                <w:rFonts w:ascii="Times New Roman"/>
                <w:sz w:val="18"/>
                <w:szCs w:val="18"/>
              </w:rPr>
            </w:pPr>
            <w:r>
              <w:rPr>
                <w:rFonts w:ascii="Times New Roman"/>
                <w:sz w:val="18"/>
                <w:szCs w:val="18"/>
              </w:rPr>
              <w:t>0.024</w:t>
            </w:r>
          </w:p>
        </w:tc>
        <w:tc>
          <w:tcPr>
            <w:tcW w:w="1389" w:type="pct"/>
            <w:vMerge w:val="restart"/>
            <w:vAlign w:val="center"/>
          </w:tcPr>
          <w:p>
            <w:pPr>
              <w:snapToGrid w:val="0"/>
              <w:jc w:val="center"/>
              <w:rPr>
                <w:rFonts w:ascii="Times New Roman"/>
                <w:sz w:val="18"/>
                <w:szCs w:val="18"/>
              </w:rPr>
            </w:pPr>
            <w:r>
              <w:rPr>
                <w:rFonts w:ascii="Times New Roman"/>
                <w:sz w:val="18"/>
                <w:szCs w:val="18"/>
              </w:rPr>
              <w:t>边界</w:t>
            </w:r>
            <w:r>
              <w:rPr>
                <w:rFonts w:hint="eastAsia" w:ascii="Times New Roman"/>
                <w:sz w:val="18"/>
                <w:szCs w:val="18"/>
              </w:rPr>
              <w:t>外浓度最高点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15</w:t>
            </w:r>
          </w:p>
        </w:tc>
        <w:tc>
          <w:tcPr>
            <w:tcW w:w="1708" w:type="pct"/>
            <w:vAlign w:val="center"/>
          </w:tcPr>
          <w:p>
            <w:pPr>
              <w:snapToGrid w:val="0"/>
              <w:jc w:val="center"/>
              <w:rPr>
                <w:rFonts w:ascii="Times New Roman"/>
                <w:sz w:val="18"/>
                <w:szCs w:val="18"/>
              </w:rPr>
            </w:pPr>
            <w:r>
              <w:rPr>
                <w:rFonts w:ascii="Times New Roman"/>
                <w:sz w:val="18"/>
                <w:szCs w:val="18"/>
              </w:rPr>
              <w:t>硫酸雾</w:t>
            </w:r>
          </w:p>
        </w:tc>
        <w:tc>
          <w:tcPr>
            <w:tcW w:w="1550" w:type="pct"/>
            <w:vAlign w:val="center"/>
          </w:tcPr>
          <w:p>
            <w:pPr>
              <w:snapToGrid w:val="0"/>
              <w:jc w:val="center"/>
              <w:rPr>
                <w:rFonts w:ascii="Times New Roman"/>
                <w:sz w:val="18"/>
                <w:szCs w:val="18"/>
              </w:rPr>
            </w:pPr>
            <w:r>
              <w:rPr>
                <w:rFonts w:ascii="Times New Roman"/>
                <w:sz w:val="18"/>
                <w:szCs w:val="18"/>
              </w:rPr>
              <w:t>0.3</w:t>
            </w:r>
          </w:p>
        </w:tc>
        <w:tc>
          <w:tcPr>
            <w:tcW w:w="1389" w:type="pct"/>
            <w:vMerge w:val="continue"/>
            <w:vAlign w:val="center"/>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16</w:t>
            </w:r>
          </w:p>
        </w:tc>
        <w:tc>
          <w:tcPr>
            <w:tcW w:w="1708" w:type="pct"/>
            <w:vAlign w:val="center"/>
          </w:tcPr>
          <w:p>
            <w:pPr>
              <w:snapToGrid w:val="0"/>
              <w:jc w:val="center"/>
              <w:rPr>
                <w:rFonts w:ascii="宋体"/>
                <w:sz w:val="18"/>
                <w:szCs w:val="18"/>
              </w:rPr>
            </w:pPr>
            <w:r>
              <w:rPr>
                <w:rFonts w:ascii="Times New Roman"/>
                <w:sz w:val="18"/>
                <w:szCs w:val="18"/>
              </w:rPr>
              <w:t>铬酸雾</w:t>
            </w:r>
          </w:p>
        </w:tc>
        <w:tc>
          <w:tcPr>
            <w:tcW w:w="1550" w:type="pct"/>
            <w:vAlign w:val="center"/>
          </w:tcPr>
          <w:p>
            <w:pPr>
              <w:snapToGrid w:val="0"/>
              <w:jc w:val="center"/>
              <w:rPr>
                <w:rFonts w:ascii="宋体"/>
                <w:sz w:val="18"/>
                <w:szCs w:val="18"/>
              </w:rPr>
            </w:pPr>
            <w:r>
              <w:rPr>
                <w:rFonts w:ascii="Times New Roman"/>
                <w:sz w:val="18"/>
                <w:szCs w:val="18"/>
              </w:rPr>
              <w:t>0.002</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353" w:type="pct"/>
            <w:vAlign w:val="center"/>
          </w:tcPr>
          <w:p>
            <w:pPr>
              <w:snapToGrid w:val="0"/>
              <w:jc w:val="center"/>
              <w:rPr>
                <w:rFonts w:ascii="宋体"/>
                <w:sz w:val="18"/>
                <w:szCs w:val="18"/>
              </w:rPr>
            </w:pPr>
            <w:r>
              <w:rPr>
                <w:rFonts w:ascii="Times New Roman"/>
                <w:sz w:val="18"/>
                <w:szCs w:val="18"/>
              </w:rPr>
              <w:t>17</w:t>
            </w:r>
          </w:p>
        </w:tc>
        <w:tc>
          <w:tcPr>
            <w:tcW w:w="1708" w:type="pct"/>
            <w:vAlign w:val="center"/>
          </w:tcPr>
          <w:p>
            <w:pPr>
              <w:snapToGrid w:val="0"/>
              <w:jc w:val="center"/>
              <w:rPr>
                <w:rFonts w:ascii="宋体"/>
                <w:sz w:val="18"/>
                <w:szCs w:val="18"/>
              </w:rPr>
            </w:pPr>
            <w:r>
              <w:rPr>
                <w:rFonts w:ascii="Times New Roman"/>
                <w:sz w:val="18"/>
                <w:szCs w:val="18"/>
              </w:rPr>
              <w:t>汞及其化合物</w:t>
            </w:r>
          </w:p>
        </w:tc>
        <w:tc>
          <w:tcPr>
            <w:tcW w:w="1550" w:type="pct"/>
            <w:vAlign w:val="center"/>
          </w:tcPr>
          <w:p>
            <w:pPr>
              <w:snapToGrid w:val="0"/>
              <w:jc w:val="center"/>
              <w:rPr>
                <w:rFonts w:ascii="宋体"/>
                <w:sz w:val="18"/>
                <w:szCs w:val="18"/>
              </w:rPr>
            </w:pPr>
            <w:r>
              <w:rPr>
                <w:rFonts w:ascii="Times New Roman"/>
                <w:sz w:val="18"/>
                <w:szCs w:val="18"/>
              </w:rPr>
              <w:t>0.0003</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18</w:t>
            </w:r>
          </w:p>
        </w:tc>
        <w:tc>
          <w:tcPr>
            <w:tcW w:w="1708" w:type="pct"/>
            <w:vAlign w:val="center"/>
          </w:tcPr>
          <w:p>
            <w:pPr>
              <w:snapToGrid w:val="0"/>
              <w:jc w:val="center"/>
              <w:rPr>
                <w:rFonts w:ascii="宋体"/>
                <w:sz w:val="18"/>
                <w:szCs w:val="18"/>
              </w:rPr>
            </w:pPr>
            <w:r>
              <w:rPr>
                <w:rFonts w:ascii="Times New Roman"/>
                <w:sz w:val="18"/>
                <w:szCs w:val="18"/>
              </w:rPr>
              <w:t>铅及其化合物</w:t>
            </w:r>
          </w:p>
        </w:tc>
        <w:tc>
          <w:tcPr>
            <w:tcW w:w="1550" w:type="pct"/>
            <w:vAlign w:val="center"/>
          </w:tcPr>
          <w:p>
            <w:pPr>
              <w:snapToGrid w:val="0"/>
              <w:jc w:val="center"/>
              <w:rPr>
                <w:rFonts w:ascii="宋体"/>
                <w:sz w:val="18"/>
                <w:szCs w:val="18"/>
              </w:rPr>
            </w:pPr>
            <w:r>
              <w:rPr>
                <w:rFonts w:ascii="Times New Roman"/>
                <w:sz w:val="18"/>
                <w:szCs w:val="18"/>
              </w:rPr>
              <w:t>0.006</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19</w:t>
            </w:r>
          </w:p>
        </w:tc>
        <w:tc>
          <w:tcPr>
            <w:tcW w:w="1708" w:type="pct"/>
            <w:vAlign w:val="center"/>
          </w:tcPr>
          <w:p>
            <w:pPr>
              <w:snapToGrid w:val="0"/>
              <w:jc w:val="center"/>
              <w:rPr>
                <w:rFonts w:ascii="宋体"/>
                <w:sz w:val="18"/>
                <w:szCs w:val="18"/>
              </w:rPr>
            </w:pPr>
            <w:r>
              <w:rPr>
                <w:rFonts w:ascii="Times New Roman"/>
                <w:sz w:val="18"/>
                <w:szCs w:val="18"/>
              </w:rPr>
              <w:t>镉及其化合物</w:t>
            </w:r>
          </w:p>
        </w:tc>
        <w:tc>
          <w:tcPr>
            <w:tcW w:w="1550" w:type="pct"/>
            <w:vAlign w:val="center"/>
          </w:tcPr>
          <w:p>
            <w:pPr>
              <w:snapToGrid w:val="0"/>
              <w:jc w:val="center"/>
              <w:rPr>
                <w:rFonts w:ascii="宋体"/>
                <w:sz w:val="18"/>
                <w:szCs w:val="18"/>
              </w:rPr>
            </w:pPr>
            <w:r>
              <w:rPr>
                <w:rFonts w:ascii="Times New Roman"/>
                <w:sz w:val="18"/>
                <w:szCs w:val="18"/>
              </w:rPr>
              <w:t>0.001</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20</w:t>
            </w:r>
          </w:p>
        </w:tc>
        <w:tc>
          <w:tcPr>
            <w:tcW w:w="1708" w:type="pct"/>
            <w:vAlign w:val="center"/>
          </w:tcPr>
          <w:p>
            <w:pPr>
              <w:snapToGrid w:val="0"/>
              <w:jc w:val="center"/>
              <w:rPr>
                <w:rFonts w:ascii="宋体"/>
                <w:sz w:val="18"/>
                <w:szCs w:val="18"/>
              </w:rPr>
            </w:pPr>
            <w:r>
              <w:rPr>
                <w:rFonts w:ascii="Times New Roman"/>
                <w:sz w:val="18"/>
                <w:szCs w:val="18"/>
              </w:rPr>
              <w:t>铍及其化合物</w:t>
            </w:r>
          </w:p>
        </w:tc>
        <w:tc>
          <w:tcPr>
            <w:tcW w:w="1550" w:type="pct"/>
            <w:vAlign w:val="center"/>
          </w:tcPr>
          <w:p>
            <w:pPr>
              <w:snapToGrid w:val="0"/>
              <w:jc w:val="center"/>
              <w:rPr>
                <w:rFonts w:ascii="宋体"/>
                <w:sz w:val="18"/>
                <w:szCs w:val="18"/>
              </w:rPr>
            </w:pPr>
            <w:r>
              <w:rPr>
                <w:rFonts w:ascii="Times New Roman"/>
                <w:sz w:val="18"/>
                <w:szCs w:val="18"/>
              </w:rPr>
              <w:t>0.0002</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21</w:t>
            </w:r>
          </w:p>
        </w:tc>
        <w:tc>
          <w:tcPr>
            <w:tcW w:w="1708" w:type="pct"/>
            <w:vAlign w:val="center"/>
          </w:tcPr>
          <w:p>
            <w:pPr>
              <w:snapToGrid w:val="0"/>
              <w:jc w:val="center"/>
              <w:rPr>
                <w:rFonts w:ascii="宋体"/>
                <w:sz w:val="18"/>
                <w:szCs w:val="18"/>
              </w:rPr>
            </w:pPr>
            <w:r>
              <w:rPr>
                <w:rFonts w:ascii="Times New Roman"/>
                <w:sz w:val="18"/>
                <w:szCs w:val="18"/>
              </w:rPr>
              <w:t>镍及其化合物</w:t>
            </w:r>
          </w:p>
        </w:tc>
        <w:tc>
          <w:tcPr>
            <w:tcW w:w="1550" w:type="pct"/>
            <w:vAlign w:val="center"/>
          </w:tcPr>
          <w:p>
            <w:pPr>
              <w:snapToGrid w:val="0"/>
              <w:jc w:val="center"/>
              <w:rPr>
                <w:rFonts w:ascii="宋体"/>
                <w:sz w:val="18"/>
                <w:szCs w:val="18"/>
              </w:rPr>
            </w:pPr>
            <w:r>
              <w:rPr>
                <w:rFonts w:ascii="Times New Roman"/>
                <w:sz w:val="18"/>
                <w:szCs w:val="18"/>
              </w:rPr>
              <w:t>0.02</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22</w:t>
            </w:r>
          </w:p>
        </w:tc>
        <w:tc>
          <w:tcPr>
            <w:tcW w:w="1708" w:type="pct"/>
            <w:vAlign w:val="center"/>
          </w:tcPr>
          <w:p>
            <w:pPr>
              <w:snapToGrid w:val="0"/>
              <w:jc w:val="center"/>
              <w:rPr>
                <w:rFonts w:ascii="宋体"/>
                <w:sz w:val="18"/>
                <w:szCs w:val="18"/>
              </w:rPr>
            </w:pPr>
            <w:r>
              <w:rPr>
                <w:rFonts w:ascii="Times New Roman"/>
                <w:sz w:val="18"/>
                <w:szCs w:val="18"/>
              </w:rPr>
              <w:t>锡及其化合物</w:t>
            </w:r>
          </w:p>
        </w:tc>
        <w:tc>
          <w:tcPr>
            <w:tcW w:w="1550" w:type="pct"/>
            <w:vAlign w:val="center"/>
          </w:tcPr>
          <w:p>
            <w:pPr>
              <w:snapToGrid w:val="0"/>
              <w:jc w:val="center"/>
              <w:rPr>
                <w:rFonts w:ascii="宋体"/>
                <w:sz w:val="18"/>
                <w:szCs w:val="18"/>
              </w:rPr>
            </w:pPr>
            <w:r>
              <w:rPr>
                <w:rFonts w:ascii="Times New Roman"/>
                <w:sz w:val="18"/>
                <w:szCs w:val="18"/>
              </w:rPr>
              <w:t>0.06</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23</w:t>
            </w:r>
          </w:p>
        </w:tc>
        <w:tc>
          <w:tcPr>
            <w:tcW w:w="1708" w:type="pct"/>
            <w:vAlign w:val="center"/>
          </w:tcPr>
          <w:p>
            <w:pPr>
              <w:snapToGrid w:val="0"/>
              <w:jc w:val="center"/>
              <w:rPr>
                <w:rFonts w:ascii="宋体"/>
                <w:sz w:val="18"/>
                <w:szCs w:val="18"/>
              </w:rPr>
            </w:pPr>
            <w:r>
              <w:rPr>
                <w:rFonts w:ascii="Times New Roman"/>
                <w:sz w:val="18"/>
                <w:szCs w:val="18"/>
              </w:rPr>
              <w:t>砷及其化合物</w:t>
            </w:r>
          </w:p>
        </w:tc>
        <w:tc>
          <w:tcPr>
            <w:tcW w:w="1550" w:type="pct"/>
            <w:vAlign w:val="center"/>
          </w:tcPr>
          <w:p>
            <w:pPr>
              <w:snapToGrid w:val="0"/>
              <w:jc w:val="center"/>
              <w:rPr>
                <w:rFonts w:ascii="宋体"/>
                <w:sz w:val="18"/>
                <w:szCs w:val="18"/>
              </w:rPr>
            </w:pPr>
            <w:r>
              <w:rPr>
                <w:rFonts w:ascii="Times New Roman"/>
                <w:sz w:val="18"/>
                <w:szCs w:val="18"/>
              </w:rPr>
              <w:t>0.001</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24</w:t>
            </w:r>
          </w:p>
        </w:tc>
        <w:tc>
          <w:tcPr>
            <w:tcW w:w="1708" w:type="pct"/>
            <w:vAlign w:val="center"/>
          </w:tcPr>
          <w:p>
            <w:pPr>
              <w:snapToGrid w:val="0"/>
              <w:jc w:val="center"/>
              <w:rPr>
                <w:rFonts w:ascii="宋体"/>
                <w:sz w:val="18"/>
                <w:szCs w:val="18"/>
              </w:rPr>
            </w:pPr>
            <w:r>
              <w:rPr>
                <w:rFonts w:ascii="Times New Roman"/>
                <w:sz w:val="18"/>
                <w:szCs w:val="18"/>
              </w:rPr>
              <w:t>铬及其化合物</w:t>
            </w:r>
          </w:p>
        </w:tc>
        <w:tc>
          <w:tcPr>
            <w:tcW w:w="1550" w:type="pct"/>
            <w:vAlign w:val="center"/>
          </w:tcPr>
          <w:p>
            <w:pPr>
              <w:snapToGrid w:val="0"/>
              <w:jc w:val="center"/>
              <w:rPr>
                <w:rFonts w:ascii="宋体"/>
                <w:sz w:val="18"/>
                <w:szCs w:val="18"/>
              </w:rPr>
            </w:pPr>
            <w:r>
              <w:rPr>
                <w:rFonts w:ascii="Times New Roman"/>
                <w:sz w:val="18"/>
                <w:szCs w:val="18"/>
              </w:rPr>
              <w:t>0.006</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25</w:t>
            </w:r>
          </w:p>
        </w:tc>
        <w:tc>
          <w:tcPr>
            <w:tcW w:w="1708" w:type="pct"/>
            <w:vAlign w:val="center"/>
          </w:tcPr>
          <w:p>
            <w:pPr>
              <w:snapToGrid w:val="0"/>
              <w:jc w:val="center"/>
              <w:rPr>
                <w:rFonts w:ascii="宋体"/>
                <w:sz w:val="18"/>
                <w:szCs w:val="18"/>
              </w:rPr>
            </w:pPr>
            <w:r>
              <w:rPr>
                <w:rFonts w:ascii="Times New Roman"/>
                <w:sz w:val="18"/>
                <w:szCs w:val="18"/>
              </w:rPr>
              <w:t>甲醛</w:t>
            </w:r>
          </w:p>
        </w:tc>
        <w:tc>
          <w:tcPr>
            <w:tcW w:w="1550" w:type="pct"/>
            <w:vAlign w:val="center"/>
          </w:tcPr>
          <w:p>
            <w:pPr>
              <w:snapToGrid w:val="0"/>
              <w:jc w:val="center"/>
              <w:rPr>
                <w:rFonts w:ascii="宋体"/>
                <w:sz w:val="18"/>
                <w:szCs w:val="18"/>
              </w:rPr>
            </w:pPr>
            <w:r>
              <w:rPr>
                <w:rFonts w:ascii="Times New Roman"/>
                <w:sz w:val="18"/>
                <w:szCs w:val="18"/>
              </w:rPr>
              <w:t>0.05</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26</w:t>
            </w:r>
          </w:p>
        </w:tc>
        <w:tc>
          <w:tcPr>
            <w:tcW w:w="1708" w:type="pct"/>
            <w:vAlign w:val="center"/>
          </w:tcPr>
          <w:p>
            <w:pPr>
              <w:snapToGrid w:val="0"/>
              <w:jc w:val="center"/>
              <w:rPr>
                <w:rFonts w:ascii="宋体"/>
                <w:sz w:val="18"/>
                <w:szCs w:val="18"/>
              </w:rPr>
            </w:pPr>
            <w:r>
              <w:rPr>
                <w:rFonts w:ascii="Times New Roman"/>
                <w:sz w:val="18"/>
                <w:szCs w:val="18"/>
              </w:rPr>
              <w:t>乙醛</w:t>
            </w:r>
          </w:p>
        </w:tc>
        <w:tc>
          <w:tcPr>
            <w:tcW w:w="1550" w:type="pct"/>
            <w:vAlign w:val="center"/>
          </w:tcPr>
          <w:p>
            <w:pPr>
              <w:snapToGrid w:val="0"/>
              <w:jc w:val="center"/>
              <w:rPr>
                <w:rFonts w:ascii="宋体"/>
                <w:sz w:val="18"/>
                <w:szCs w:val="18"/>
              </w:rPr>
            </w:pPr>
            <w:r>
              <w:rPr>
                <w:rFonts w:ascii="Times New Roman"/>
                <w:sz w:val="18"/>
                <w:szCs w:val="18"/>
              </w:rPr>
              <w:t>0.01</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27</w:t>
            </w:r>
          </w:p>
        </w:tc>
        <w:tc>
          <w:tcPr>
            <w:tcW w:w="1708" w:type="pct"/>
            <w:vAlign w:val="center"/>
          </w:tcPr>
          <w:p>
            <w:pPr>
              <w:snapToGrid w:val="0"/>
              <w:jc w:val="center"/>
              <w:rPr>
                <w:rFonts w:ascii="宋体"/>
                <w:sz w:val="18"/>
                <w:szCs w:val="18"/>
              </w:rPr>
            </w:pPr>
            <w:r>
              <w:rPr>
                <w:rFonts w:ascii="Times New Roman"/>
                <w:sz w:val="18"/>
                <w:szCs w:val="18"/>
              </w:rPr>
              <w:t>丙烯醛</w:t>
            </w:r>
          </w:p>
        </w:tc>
        <w:tc>
          <w:tcPr>
            <w:tcW w:w="1550" w:type="pct"/>
            <w:vAlign w:val="center"/>
          </w:tcPr>
          <w:p>
            <w:pPr>
              <w:snapToGrid w:val="0"/>
              <w:jc w:val="center"/>
              <w:rPr>
                <w:rFonts w:ascii="宋体"/>
                <w:sz w:val="18"/>
                <w:szCs w:val="18"/>
              </w:rPr>
            </w:pPr>
            <w:r>
              <w:rPr>
                <w:rFonts w:ascii="Times New Roman"/>
                <w:sz w:val="18"/>
                <w:szCs w:val="18"/>
              </w:rPr>
              <w:t>0.1</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28</w:t>
            </w:r>
          </w:p>
        </w:tc>
        <w:tc>
          <w:tcPr>
            <w:tcW w:w="1708" w:type="pct"/>
            <w:vAlign w:val="center"/>
          </w:tcPr>
          <w:p>
            <w:pPr>
              <w:snapToGrid w:val="0"/>
              <w:jc w:val="center"/>
              <w:rPr>
                <w:rFonts w:ascii="宋体"/>
                <w:sz w:val="18"/>
                <w:szCs w:val="18"/>
              </w:rPr>
            </w:pPr>
            <w:r>
              <w:rPr>
                <w:rFonts w:ascii="Times New Roman"/>
                <w:sz w:val="18"/>
                <w:szCs w:val="18"/>
              </w:rPr>
              <w:t>丙烯腈</w:t>
            </w:r>
          </w:p>
        </w:tc>
        <w:tc>
          <w:tcPr>
            <w:tcW w:w="1550" w:type="pct"/>
            <w:vAlign w:val="center"/>
          </w:tcPr>
          <w:p>
            <w:pPr>
              <w:snapToGrid w:val="0"/>
              <w:jc w:val="center"/>
              <w:rPr>
                <w:rFonts w:ascii="宋体"/>
                <w:sz w:val="18"/>
                <w:szCs w:val="18"/>
              </w:rPr>
            </w:pPr>
            <w:r>
              <w:rPr>
                <w:rFonts w:ascii="Times New Roman"/>
                <w:sz w:val="18"/>
                <w:szCs w:val="18"/>
              </w:rPr>
              <w:t>0.15</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29</w:t>
            </w:r>
          </w:p>
        </w:tc>
        <w:tc>
          <w:tcPr>
            <w:tcW w:w="1708" w:type="pct"/>
            <w:vAlign w:val="center"/>
          </w:tcPr>
          <w:p>
            <w:pPr>
              <w:snapToGrid w:val="0"/>
              <w:jc w:val="center"/>
              <w:rPr>
                <w:rFonts w:ascii="宋体"/>
                <w:sz w:val="18"/>
                <w:szCs w:val="18"/>
              </w:rPr>
            </w:pPr>
            <w:r>
              <w:rPr>
                <w:rFonts w:ascii="Times New Roman"/>
                <w:sz w:val="18"/>
                <w:szCs w:val="18"/>
              </w:rPr>
              <w:t>氯苯类</w:t>
            </w:r>
          </w:p>
        </w:tc>
        <w:tc>
          <w:tcPr>
            <w:tcW w:w="1550" w:type="pct"/>
            <w:vAlign w:val="center"/>
          </w:tcPr>
          <w:p>
            <w:pPr>
              <w:snapToGrid w:val="0"/>
              <w:jc w:val="center"/>
              <w:rPr>
                <w:rFonts w:ascii="宋体"/>
                <w:sz w:val="18"/>
                <w:szCs w:val="18"/>
              </w:rPr>
            </w:pPr>
            <w:r>
              <w:rPr>
                <w:rFonts w:ascii="Times New Roman"/>
                <w:sz w:val="18"/>
                <w:szCs w:val="18"/>
              </w:rPr>
              <w:t>0.1</w:t>
            </w:r>
          </w:p>
        </w:tc>
        <w:tc>
          <w:tcPr>
            <w:tcW w:w="1389" w:type="pct"/>
            <w:vMerge w:val="continue"/>
            <w:vAlign w:val="center"/>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30</w:t>
            </w:r>
          </w:p>
        </w:tc>
        <w:tc>
          <w:tcPr>
            <w:tcW w:w="1708" w:type="pct"/>
            <w:vAlign w:val="center"/>
          </w:tcPr>
          <w:p>
            <w:pPr>
              <w:snapToGrid w:val="0"/>
              <w:jc w:val="center"/>
              <w:rPr>
                <w:rFonts w:ascii="宋体"/>
                <w:sz w:val="18"/>
                <w:szCs w:val="18"/>
              </w:rPr>
            </w:pPr>
            <w:r>
              <w:rPr>
                <w:rFonts w:ascii="Times New Roman"/>
                <w:sz w:val="18"/>
                <w:szCs w:val="18"/>
              </w:rPr>
              <w:t>硝基苯类</w:t>
            </w:r>
          </w:p>
        </w:tc>
        <w:tc>
          <w:tcPr>
            <w:tcW w:w="1550" w:type="pct"/>
            <w:vAlign w:val="center"/>
          </w:tcPr>
          <w:p>
            <w:pPr>
              <w:snapToGrid w:val="0"/>
              <w:jc w:val="center"/>
              <w:rPr>
                <w:rFonts w:ascii="宋体"/>
                <w:sz w:val="18"/>
                <w:szCs w:val="18"/>
              </w:rPr>
            </w:pPr>
            <w:r>
              <w:rPr>
                <w:rFonts w:ascii="Times New Roman"/>
                <w:sz w:val="18"/>
                <w:szCs w:val="18"/>
              </w:rPr>
              <w:t>0.01</w:t>
            </w:r>
          </w:p>
        </w:tc>
        <w:tc>
          <w:tcPr>
            <w:tcW w:w="1389" w:type="pct"/>
            <w:vMerge w:val="continue"/>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宋体"/>
                <w:sz w:val="18"/>
                <w:szCs w:val="18"/>
              </w:rPr>
            </w:pPr>
            <w:r>
              <w:rPr>
                <w:rFonts w:ascii="Times New Roman"/>
                <w:sz w:val="18"/>
                <w:szCs w:val="18"/>
              </w:rPr>
              <w:t>31</w:t>
            </w:r>
          </w:p>
        </w:tc>
        <w:tc>
          <w:tcPr>
            <w:tcW w:w="1708" w:type="pct"/>
            <w:vAlign w:val="center"/>
          </w:tcPr>
          <w:p>
            <w:pPr>
              <w:snapToGrid w:val="0"/>
              <w:jc w:val="center"/>
              <w:rPr>
                <w:rFonts w:ascii="宋体"/>
                <w:sz w:val="18"/>
                <w:szCs w:val="18"/>
              </w:rPr>
            </w:pPr>
            <w:r>
              <w:rPr>
                <w:rFonts w:ascii="Times New Roman"/>
                <w:sz w:val="18"/>
                <w:szCs w:val="18"/>
              </w:rPr>
              <w:t>苯胺类</w:t>
            </w:r>
          </w:p>
        </w:tc>
        <w:tc>
          <w:tcPr>
            <w:tcW w:w="1550" w:type="pct"/>
            <w:vAlign w:val="center"/>
          </w:tcPr>
          <w:p>
            <w:pPr>
              <w:snapToGrid w:val="0"/>
              <w:jc w:val="center"/>
              <w:rPr>
                <w:rFonts w:ascii="宋体"/>
                <w:sz w:val="18"/>
                <w:szCs w:val="18"/>
              </w:rPr>
            </w:pPr>
            <w:r>
              <w:rPr>
                <w:rFonts w:ascii="Times New Roman"/>
                <w:sz w:val="18"/>
                <w:szCs w:val="18"/>
              </w:rPr>
              <w:t>0.1</w:t>
            </w:r>
          </w:p>
        </w:tc>
        <w:tc>
          <w:tcPr>
            <w:tcW w:w="1389" w:type="pct"/>
            <w:vMerge w:val="continue"/>
          </w:tcPr>
          <w:p>
            <w:pPr>
              <w:snapToGrid w:val="0"/>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32</w:t>
            </w:r>
          </w:p>
        </w:tc>
        <w:tc>
          <w:tcPr>
            <w:tcW w:w="1708" w:type="pct"/>
            <w:vAlign w:val="center"/>
          </w:tcPr>
          <w:p>
            <w:pPr>
              <w:snapToGrid w:val="0"/>
              <w:jc w:val="center"/>
              <w:rPr>
                <w:rFonts w:ascii="Times New Roman"/>
                <w:sz w:val="18"/>
                <w:szCs w:val="18"/>
              </w:rPr>
            </w:pPr>
            <w:r>
              <w:rPr>
                <w:rFonts w:ascii="Times New Roman"/>
                <w:sz w:val="18"/>
                <w:szCs w:val="18"/>
              </w:rPr>
              <w:t>酚类</w:t>
            </w:r>
          </w:p>
        </w:tc>
        <w:tc>
          <w:tcPr>
            <w:tcW w:w="1550" w:type="pct"/>
            <w:vAlign w:val="center"/>
          </w:tcPr>
          <w:p>
            <w:pPr>
              <w:snapToGrid w:val="0"/>
              <w:jc w:val="center"/>
              <w:rPr>
                <w:rFonts w:ascii="Times New Roman"/>
                <w:sz w:val="18"/>
                <w:szCs w:val="18"/>
              </w:rPr>
            </w:pPr>
            <w:r>
              <w:rPr>
                <w:rFonts w:ascii="Times New Roman"/>
                <w:sz w:val="18"/>
                <w:szCs w:val="18"/>
              </w:rPr>
              <w:t>0.02</w:t>
            </w:r>
          </w:p>
        </w:tc>
        <w:tc>
          <w:tcPr>
            <w:tcW w:w="1389" w:type="pct"/>
            <w:vMerge w:val="continue"/>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33</w:t>
            </w:r>
          </w:p>
        </w:tc>
        <w:tc>
          <w:tcPr>
            <w:tcW w:w="1708" w:type="pct"/>
            <w:vAlign w:val="center"/>
          </w:tcPr>
          <w:p>
            <w:pPr>
              <w:snapToGrid w:val="0"/>
              <w:jc w:val="center"/>
              <w:rPr>
                <w:rFonts w:ascii="Times New Roman"/>
                <w:sz w:val="18"/>
                <w:szCs w:val="18"/>
              </w:rPr>
            </w:pPr>
            <w:r>
              <w:rPr>
                <w:rFonts w:ascii="Times New Roman"/>
                <w:sz w:val="18"/>
                <w:szCs w:val="18"/>
              </w:rPr>
              <w:t>甲醇</w:t>
            </w:r>
          </w:p>
        </w:tc>
        <w:tc>
          <w:tcPr>
            <w:tcW w:w="1550" w:type="pct"/>
            <w:vAlign w:val="center"/>
          </w:tcPr>
          <w:p>
            <w:pPr>
              <w:snapToGrid w:val="0"/>
              <w:jc w:val="center"/>
              <w:rPr>
                <w:rFonts w:ascii="Times New Roman"/>
                <w:sz w:val="18"/>
                <w:szCs w:val="18"/>
              </w:rPr>
            </w:pPr>
            <w:r>
              <w:rPr>
                <w:rFonts w:ascii="Times New Roman"/>
                <w:sz w:val="18"/>
                <w:szCs w:val="18"/>
              </w:rPr>
              <w:t>1</w:t>
            </w:r>
          </w:p>
        </w:tc>
        <w:tc>
          <w:tcPr>
            <w:tcW w:w="1389" w:type="pct"/>
            <w:vMerge w:val="continue"/>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34</w:t>
            </w:r>
          </w:p>
        </w:tc>
        <w:tc>
          <w:tcPr>
            <w:tcW w:w="1708" w:type="pct"/>
            <w:vAlign w:val="center"/>
          </w:tcPr>
          <w:p>
            <w:pPr>
              <w:snapToGrid w:val="0"/>
              <w:jc w:val="center"/>
              <w:rPr>
                <w:rFonts w:ascii="Times New Roman"/>
                <w:sz w:val="18"/>
                <w:szCs w:val="18"/>
              </w:rPr>
            </w:pPr>
            <w:r>
              <w:rPr>
                <w:rFonts w:ascii="Times New Roman"/>
                <w:sz w:val="18"/>
                <w:szCs w:val="18"/>
              </w:rPr>
              <w:t>二氯甲烷</w:t>
            </w:r>
          </w:p>
        </w:tc>
        <w:tc>
          <w:tcPr>
            <w:tcW w:w="1550" w:type="pct"/>
            <w:vAlign w:val="center"/>
          </w:tcPr>
          <w:p>
            <w:pPr>
              <w:snapToGrid w:val="0"/>
              <w:jc w:val="center"/>
              <w:rPr>
                <w:rFonts w:ascii="Times New Roman"/>
                <w:sz w:val="18"/>
                <w:szCs w:val="18"/>
              </w:rPr>
            </w:pPr>
            <w:r>
              <w:rPr>
                <w:rFonts w:ascii="Times New Roman"/>
                <w:sz w:val="18"/>
                <w:szCs w:val="18"/>
              </w:rPr>
              <w:t>0.6</w:t>
            </w:r>
          </w:p>
        </w:tc>
        <w:tc>
          <w:tcPr>
            <w:tcW w:w="1389" w:type="pct"/>
            <w:vMerge w:val="continue"/>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35</w:t>
            </w:r>
          </w:p>
        </w:tc>
        <w:tc>
          <w:tcPr>
            <w:tcW w:w="1708" w:type="pct"/>
            <w:vAlign w:val="center"/>
          </w:tcPr>
          <w:p>
            <w:pPr>
              <w:snapToGrid w:val="0"/>
              <w:jc w:val="center"/>
              <w:rPr>
                <w:rFonts w:ascii="Times New Roman"/>
                <w:sz w:val="18"/>
                <w:szCs w:val="18"/>
              </w:rPr>
            </w:pPr>
            <w:r>
              <w:rPr>
                <w:rFonts w:ascii="Times New Roman"/>
                <w:sz w:val="18"/>
                <w:szCs w:val="18"/>
              </w:rPr>
              <w:t>三氯甲烷</w:t>
            </w:r>
          </w:p>
        </w:tc>
        <w:tc>
          <w:tcPr>
            <w:tcW w:w="1550" w:type="pct"/>
            <w:vAlign w:val="center"/>
          </w:tcPr>
          <w:p>
            <w:pPr>
              <w:snapToGrid w:val="0"/>
              <w:jc w:val="center"/>
              <w:rPr>
                <w:rFonts w:ascii="Times New Roman"/>
                <w:sz w:val="18"/>
                <w:szCs w:val="18"/>
              </w:rPr>
            </w:pPr>
            <w:r>
              <w:rPr>
                <w:rFonts w:ascii="Times New Roman"/>
                <w:sz w:val="18"/>
                <w:szCs w:val="18"/>
              </w:rPr>
              <w:t>0.4</w:t>
            </w:r>
          </w:p>
        </w:tc>
        <w:tc>
          <w:tcPr>
            <w:tcW w:w="1389" w:type="pct"/>
            <w:vMerge w:val="continue"/>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36</w:t>
            </w:r>
          </w:p>
        </w:tc>
        <w:tc>
          <w:tcPr>
            <w:tcW w:w="1708" w:type="pct"/>
            <w:vAlign w:val="center"/>
          </w:tcPr>
          <w:p>
            <w:pPr>
              <w:snapToGrid w:val="0"/>
              <w:jc w:val="center"/>
              <w:rPr>
                <w:rFonts w:ascii="Times New Roman"/>
                <w:sz w:val="18"/>
                <w:szCs w:val="18"/>
              </w:rPr>
            </w:pPr>
            <w:r>
              <w:rPr>
                <w:rFonts w:ascii="Times New Roman"/>
                <w:sz w:val="18"/>
                <w:szCs w:val="18"/>
              </w:rPr>
              <w:t>氯乙烯</w:t>
            </w:r>
          </w:p>
        </w:tc>
        <w:tc>
          <w:tcPr>
            <w:tcW w:w="1550" w:type="pct"/>
            <w:vAlign w:val="center"/>
          </w:tcPr>
          <w:p>
            <w:pPr>
              <w:snapToGrid w:val="0"/>
              <w:jc w:val="center"/>
              <w:rPr>
                <w:rFonts w:ascii="Times New Roman"/>
                <w:sz w:val="18"/>
                <w:szCs w:val="18"/>
              </w:rPr>
            </w:pPr>
            <w:r>
              <w:rPr>
                <w:rFonts w:ascii="Times New Roman"/>
                <w:sz w:val="18"/>
                <w:szCs w:val="18"/>
              </w:rPr>
              <w:t>0.15</w:t>
            </w:r>
          </w:p>
        </w:tc>
        <w:tc>
          <w:tcPr>
            <w:tcW w:w="1389" w:type="pct"/>
            <w:vMerge w:val="continue"/>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37</w:t>
            </w:r>
          </w:p>
        </w:tc>
        <w:tc>
          <w:tcPr>
            <w:tcW w:w="1708" w:type="pct"/>
            <w:vAlign w:val="center"/>
          </w:tcPr>
          <w:p>
            <w:pPr>
              <w:snapToGrid w:val="0"/>
              <w:jc w:val="center"/>
              <w:rPr>
                <w:rFonts w:ascii="Times New Roman"/>
                <w:sz w:val="18"/>
                <w:szCs w:val="18"/>
              </w:rPr>
            </w:pPr>
            <w:r>
              <w:rPr>
                <w:rFonts w:ascii="Times New Roman"/>
                <w:sz w:val="18"/>
                <w:szCs w:val="18"/>
              </w:rPr>
              <w:t>三氯乙烯</w:t>
            </w:r>
          </w:p>
        </w:tc>
        <w:tc>
          <w:tcPr>
            <w:tcW w:w="1550" w:type="pct"/>
            <w:vAlign w:val="center"/>
          </w:tcPr>
          <w:p>
            <w:pPr>
              <w:snapToGrid w:val="0"/>
              <w:jc w:val="center"/>
              <w:rPr>
                <w:rFonts w:ascii="Times New Roman"/>
                <w:sz w:val="18"/>
                <w:szCs w:val="18"/>
              </w:rPr>
            </w:pPr>
            <w:r>
              <w:rPr>
                <w:rFonts w:ascii="Times New Roman"/>
                <w:sz w:val="18"/>
                <w:szCs w:val="18"/>
              </w:rPr>
              <w:t>0.6</w:t>
            </w:r>
          </w:p>
        </w:tc>
        <w:tc>
          <w:tcPr>
            <w:tcW w:w="1389" w:type="pct"/>
            <w:vMerge w:val="continue"/>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38</w:t>
            </w:r>
          </w:p>
        </w:tc>
        <w:tc>
          <w:tcPr>
            <w:tcW w:w="1708" w:type="pct"/>
            <w:vAlign w:val="center"/>
          </w:tcPr>
          <w:p>
            <w:pPr>
              <w:snapToGrid w:val="0"/>
              <w:jc w:val="center"/>
              <w:rPr>
                <w:rFonts w:ascii="Times New Roman"/>
                <w:sz w:val="18"/>
                <w:szCs w:val="18"/>
              </w:rPr>
            </w:pPr>
            <w:r>
              <w:rPr>
                <w:rFonts w:ascii="Times New Roman"/>
                <w:sz w:val="18"/>
                <w:szCs w:val="18"/>
              </w:rPr>
              <w:t>四氯乙烯</w:t>
            </w:r>
          </w:p>
        </w:tc>
        <w:tc>
          <w:tcPr>
            <w:tcW w:w="1550" w:type="pct"/>
            <w:vAlign w:val="center"/>
          </w:tcPr>
          <w:p>
            <w:pPr>
              <w:snapToGrid w:val="0"/>
              <w:jc w:val="center"/>
              <w:rPr>
                <w:rFonts w:ascii="Times New Roman"/>
                <w:sz w:val="18"/>
                <w:szCs w:val="18"/>
              </w:rPr>
            </w:pPr>
            <w:r>
              <w:rPr>
                <w:rFonts w:ascii="Times New Roman"/>
                <w:sz w:val="18"/>
                <w:szCs w:val="18"/>
              </w:rPr>
              <w:t>1</w:t>
            </w:r>
          </w:p>
        </w:tc>
        <w:tc>
          <w:tcPr>
            <w:tcW w:w="1389" w:type="pct"/>
            <w:vMerge w:val="continue"/>
          </w:tcPr>
          <w:p>
            <w:pPr>
              <w:snapToGrid w:val="0"/>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353" w:type="pct"/>
            <w:vAlign w:val="center"/>
          </w:tcPr>
          <w:p>
            <w:pPr>
              <w:snapToGrid w:val="0"/>
              <w:jc w:val="center"/>
              <w:rPr>
                <w:rFonts w:ascii="Times New Roman"/>
                <w:sz w:val="18"/>
                <w:szCs w:val="18"/>
              </w:rPr>
            </w:pPr>
            <w:r>
              <w:rPr>
                <w:rFonts w:ascii="Times New Roman"/>
                <w:sz w:val="18"/>
                <w:szCs w:val="18"/>
              </w:rPr>
              <w:t>39</w:t>
            </w:r>
          </w:p>
        </w:tc>
        <w:tc>
          <w:tcPr>
            <w:tcW w:w="1708" w:type="pct"/>
            <w:vAlign w:val="center"/>
          </w:tcPr>
          <w:p>
            <w:pPr>
              <w:snapToGrid w:val="0"/>
              <w:jc w:val="center"/>
              <w:rPr>
                <w:rFonts w:ascii="Times New Roman"/>
                <w:sz w:val="18"/>
                <w:szCs w:val="18"/>
              </w:rPr>
            </w:pPr>
            <w:r>
              <w:rPr>
                <w:rFonts w:ascii="Times New Roman"/>
                <w:sz w:val="18"/>
                <w:szCs w:val="18"/>
              </w:rPr>
              <w:t>苯并[a]芘</w:t>
            </w:r>
          </w:p>
        </w:tc>
        <w:tc>
          <w:tcPr>
            <w:tcW w:w="1550" w:type="pct"/>
            <w:vAlign w:val="center"/>
          </w:tcPr>
          <w:p>
            <w:pPr>
              <w:snapToGrid w:val="0"/>
              <w:jc w:val="center"/>
              <w:rPr>
                <w:rFonts w:ascii="Times New Roman"/>
                <w:sz w:val="18"/>
                <w:szCs w:val="18"/>
              </w:rPr>
            </w:pPr>
            <w:r>
              <w:rPr>
                <w:rFonts w:ascii="Times New Roman"/>
                <w:sz w:val="18"/>
                <w:szCs w:val="18"/>
              </w:rPr>
              <w:t>0.000008</w:t>
            </w:r>
          </w:p>
        </w:tc>
        <w:tc>
          <w:tcPr>
            <w:tcW w:w="1389" w:type="pct"/>
            <w:vMerge w:val="continue"/>
          </w:tcPr>
          <w:p>
            <w:pPr>
              <w:snapToGrid w:val="0"/>
              <w:jc w:val="center"/>
              <w:rPr>
                <w:rFonts w:ascii="Times New Roman"/>
                <w:sz w:val="18"/>
                <w:szCs w:val="18"/>
              </w:rPr>
            </w:pPr>
          </w:p>
        </w:tc>
      </w:tr>
      <w:bookmarkEnd w:id="40"/>
    </w:tbl>
    <w:p>
      <w:pPr>
        <w:pStyle w:val="2"/>
        <w:spacing w:before="156" w:beforeLines="50" w:after="156" w:afterLines="50"/>
      </w:pPr>
      <w:bookmarkStart w:id="41" w:name="_Toc58415731"/>
      <w:bookmarkStart w:id="42" w:name="_Toc29810633"/>
      <w:bookmarkStart w:id="43" w:name="_Toc57791981"/>
      <w:bookmarkStart w:id="44" w:name="_Toc29810631"/>
      <w:r>
        <w:rPr>
          <w:rFonts w:hint="eastAsia" w:hAnsi="黑体"/>
        </w:rPr>
        <w:t>5</w:t>
      </w:r>
      <w:r>
        <w:rPr>
          <w:rFonts w:hAnsi="黑体"/>
        </w:rPr>
        <w:t xml:space="preserve">  </w:t>
      </w:r>
      <w:r>
        <w:rPr>
          <w:rFonts w:hint="eastAsia"/>
        </w:rPr>
        <w:t>污染物监测要求</w:t>
      </w:r>
      <w:bookmarkEnd w:id="41"/>
      <w:bookmarkEnd w:id="42"/>
      <w:bookmarkEnd w:id="43"/>
    </w:p>
    <w:p>
      <w:pPr>
        <w:pStyle w:val="50"/>
        <w:rPr>
          <w:rFonts w:hAnsi="黑体"/>
        </w:rPr>
      </w:pPr>
      <w:r>
        <w:rPr>
          <w:rFonts w:hint="eastAsia" w:hAnsi="黑体"/>
        </w:rPr>
        <w:t>5.1</w:t>
      </w:r>
      <w:r>
        <w:rPr>
          <w:rFonts w:hAnsi="黑体"/>
        </w:rPr>
        <w:t xml:space="preserve"> </w:t>
      </w:r>
      <w:r>
        <w:rPr>
          <w:rFonts w:hint="eastAsia" w:hAnsi="黑体"/>
        </w:rPr>
        <w:t>一般要求</w:t>
      </w:r>
    </w:p>
    <w:p>
      <w:pPr>
        <w:pStyle w:val="28"/>
        <w:widowControl w:val="0"/>
        <w:overflowPunct w:val="0"/>
        <w:autoSpaceDE/>
        <w:autoSpaceDN/>
        <w:ind w:firstLine="0" w:firstLineChars="0"/>
        <w:rPr>
          <w:rFonts w:ascii="Times New Roman"/>
        </w:rPr>
      </w:pPr>
      <w:r>
        <w:rPr>
          <w:rFonts w:ascii="黑体" w:hAnsi="黑体" w:eastAsia="黑体"/>
        </w:rPr>
        <w:t>5.1.1</w:t>
      </w:r>
      <w:r>
        <w:rPr>
          <w:rFonts w:hint="eastAsia" w:ascii="Times New Roman"/>
        </w:rPr>
        <w:t>排污单位应依据有关法律、《环境监测管理办法》及排污许可证等规定建立监测制度，制定监测方案，对污染物排放状况及其周边环境质量的影响开展自行监测，保存原始监测记录，并公布监测结果。自行监测方案制定、监测质量保证和质量控制等应符合</w:t>
      </w:r>
      <w:r>
        <w:rPr>
          <w:rFonts w:ascii="Times New Roman"/>
        </w:rPr>
        <w:t>HJ 819</w:t>
      </w:r>
      <w:r>
        <w:rPr>
          <w:rFonts w:hint="eastAsia" w:ascii="Times New Roman"/>
        </w:rPr>
        <w:t>的要求。</w:t>
      </w:r>
    </w:p>
    <w:p>
      <w:pPr>
        <w:pStyle w:val="28"/>
        <w:overflowPunct w:val="0"/>
        <w:autoSpaceDE/>
        <w:autoSpaceDN/>
        <w:ind w:firstLine="0" w:firstLineChars="0"/>
        <w:rPr>
          <w:rFonts w:ascii="Times New Roman"/>
        </w:rPr>
      </w:pPr>
      <w:r>
        <w:rPr>
          <w:rFonts w:ascii="黑体" w:hAnsi="黑体" w:eastAsia="黑体"/>
        </w:rPr>
        <w:t xml:space="preserve">5.1.2 </w:t>
      </w:r>
      <w:r>
        <w:rPr>
          <w:rFonts w:hint="eastAsia" w:ascii="Times New Roman"/>
        </w:rPr>
        <w:t>新建污染源和现有污染源安装污染物排放自动监控设备的要求，按</w:t>
      </w:r>
      <w:r>
        <w:rPr>
          <w:rFonts w:ascii="Times New Roman"/>
        </w:rPr>
        <w:t>HJ 75</w:t>
      </w:r>
      <w:r>
        <w:rPr>
          <w:rFonts w:hint="eastAsia" w:ascii="Times New Roman"/>
        </w:rPr>
        <w:t>等相关要求及有关法律和规定执行。</w:t>
      </w:r>
    </w:p>
    <w:p>
      <w:pPr>
        <w:pStyle w:val="50"/>
        <w:jc w:val="both"/>
        <w:rPr>
          <w:rFonts w:hAnsi="黑体"/>
        </w:rPr>
      </w:pPr>
      <w:r>
        <w:rPr>
          <w:rFonts w:hint="eastAsia" w:hAnsi="黑体"/>
        </w:rPr>
        <w:t>5.</w:t>
      </w:r>
      <w:r>
        <w:rPr>
          <w:rFonts w:hAnsi="黑体"/>
        </w:rPr>
        <w:t xml:space="preserve">2 </w:t>
      </w:r>
      <w:r>
        <w:rPr>
          <w:rFonts w:hint="eastAsia" w:hAnsi="黑体"/>
        </w:rPr>
        <w:t>排气筒监测</w:t>
      </w:r>
    </w:p>
    <w:p>
      <w:pPr>
        <w:overflowPunct w:val="0"/>
        <w:adjustRightInd w:val="0"/>
      </w:pPr>
      <w:r>
        <w:rPr>
          <w:rFonts w:ascii="黑体" w:hAnsi="黑体" w:eastAsia="黑体"/>
        </w:rPr>
        <w:t xml:space="preserve">5.2.1 </w:t>
      </w:r>
      <w:r>
        <w:rPr>
          <w:rFonts w:hint="eastAsia"/>
        </w:rPr>
        <w:t>排气筒应设置采样孔和永久监测平台，采样孔和平台建设按</w:t>
      </w:r>
      <w:r>
        <w:t>GB/T 16157</w:t>
      </w:r>
      <w:r>
        <w:rPr>
          <w:rFonts w:hint="eastAsia"/>
        </w:rPr>
        <w:t>、</w:t>
      </w:r>
      <w:r>
        <w:t>HJ 75</w:t>
      </w:r>
      <w:r>
        <w:rPr>
          <w:rFonts w:hint="eastAsia"/>
        </w:rPr>
        <w:t>和</w:t>
      </w:r>
      <w:r>
        <w:t>HJ 836</w:t>
      </w:r>
      <w:r>
        <w:rPr>
          <w:rFonts w:hint="eastAsia"/>
        </w:rPr>
        <w:t>等相关要求执行，同时设置规范的永久性排污口标志。</w:t>
      </w:r>
    </w:p>
    <w:p>
      <w:pPr>
        <w:overflowPunct w:val="0"/>
        <w:adjustRightInd w:val="0"/>
      </w:pPr>
      <w:r>
        <w:rPr>
          <w:rFonts w:ascii="黑体" w:hAnsi="黑体" w:eastAsia="黑体"/>
        </w:rPr>
        <w:t>5.2.2</w:t>
      </w:r>
      <w:r>
        <w:rPr>
          <w:rFonts w:hint="eastAsia"/>
        </w:rPr>
        <w:t xml:space="preserve"> </w:t>
      </w:r>
      <w:r>
        <w:t>排气筒中大气污染物的监测按GB/T 16157</w:t>
      </w:r>
      <w:r>
        <w:rPr>
          <w:rFonts w:hint="eastAsia"/>
        </w:rPr>
        <w:t>、</w:t>
      </w:r>
      <w:r>
        <w:t>HJ/T 373</w:t>
      </w:r>
      <w:r>
        <w:rPr>
          <w:rFonts w:hint="eastAsia"/>
        </w:rPr>
        <w:t>、</w:t>
      </w:r>
      <w:r>
        <w:t>HJ/T 397</w:t>
      </w:r>
      <w:r>
        <w:rPr>
          <w:rFonts w:hint="eastAsia"/>
        </w:rPr>
        <w:t>和</w:t>
      </w:r>
      <w:r>
        <w:t>HJ 732</w:t>
      </w:r>
      <w:r>
        <w:rPr>
          <w:rFonts w:hint="eastAsia"/>
        </w:rPr>
        <w:t>的规定执行。</w:t>
      </w:r>
    </w:p>
    <w:p>
      <w:pPr>
        <w:pStyle w:val="50"/>
        <w:jc w:val="both"/>
        <w:rPr>
          <w:rFonts w:hAnsi="黑体"/>
        </w:rPr>
      </w:pPr>
      <w:r>
        <w:rPr>
          <w:rFonts w:hAnsi="黑体"/>
        </w:rPr>
        <w:t>5</w:t>
      </w:r>
      <w:r>
        <w:rPr>
          <w:rFonts w:hint="eastAsia" w:hAnsi="黑体"/>
        </w:rPr>
        <w:t>.3</w:t>
      </w:r>
      <w:r>
        <w:rPr>
          <w:rFonts w:hAnsi="黑体"/>
        </w:rPr>
        <w:t xml:space="preserve"> </w:t>
      </w:r>
      <w:r>
        <w:rPr>
          <w:rFonts w:hint="eastAsia" w:hAnsi="黑体"/>
        </w:rPr>
        <w:t>厂区监测</w:t>
      </w:r>
    </w:p>
    <w:p>
      <w:pPr>
        <w:pStyle w:val="28"/>
        <w:overflowPunct w:val="0"/>
        <w:autoSpaceDE/>
        <w:autoSpaceDN/>
        <w:ind w:firstLine="0" w:firstLineChars="0"/>
        <w:rPr>
          <w:rFonts w:ascii="Times New Roman"/>
        </w:rPr>
      </w:pPr>
      <w:r>
        <w:rPr>
          <w:rFonts w:ascii="黑体" w:hAnsi="黑体" w:eastAsia="黑体"/>
        </w:rPr>
        <w:t>5.3.1</w:t>
      </w:r>
      <w:r>
        <w:rPr>
          <w:rFonts w:hint="eastAsia" w:ascii="Times New Roman"/>
        </w:rPr>
        <w:t xml:space="preserve"> 对厂区内VOCs无组织排放进行监控时，在厂房门窗或通风口、其他开口（孔）等排放口外1m，距离地面1.</w:t>
      </w:r>
      <w:r>
        <w:rPr>
          <w:rFonts w:ascii="Times New Roman"/>
        </w:rPr>
        <w:t>5</w:t>
      </w:r>
      <w:r>
        <w:rPr>
          <w:rFonts w:hint="eastAsia" w:ascii="Times New Roman"/>
        </w:rPr>
        <w:t>m及以上位置处进行监测。若厂房不完整（如有顶无围墙），则在操作工位下风向1m，距离地面1.5m及以上位置处进行监测。</w:t>
      </w:r>
    </w:p>
    <w:p>
      <w:pPr>
        <w:pStyle w:val="28"/>
        <w:overflowPunct w:val="0"/>
        <w:autoSpaceDE/>
        <w:autoSpaceDN/>
        <w:ind w:firstLine="0" w:firstLineChars="0"/>
        <w:rPr>
          <w:rFonts w:ascii="Times New Roman"/>
        </w:rPr>
      </w:pPr>
      <w:r>
        <w:rPr>
          <w:rFonts w:ascii="黑体" w:hAnsi="黑体" w:eastAsia="黑体"/>
        </w:rPr>
        <w:t xml:space="preserve">5.3.2 </w:t>
      </w:r>
      <w:r>
        <w:rPr>
          <w:rFonts w:hint="eastAsia" w:ascii="Times New Roman"/>
        </w:rPr>
        <w:t>厂区内NMHC任何1</w:t>
      </w:r>
      <w:r>
        <w:rPr>
          <w:rFonts w:ascii="Times New Roman"/>
        </w:rPr>
        <w:t xml:space="preserve"> h</w:t>
      </w:r>
      <w:r>
        <w:rPr>
          <w:rFonts w:hint="eastAsia" w:ascii="Times New Roman"/>
        </w:rPr>
        <w:t>平均浓度的监测采用HJ 604规定的方法，以连续</w:t>
      </w:r>
      <w:r>
        <w:rPr>
          <w:rFonts w:ascii="Times New Roman"/>
        </w:rPr>
        <w:t>1 h</w:t>
      </w:r>
      <w:r>
        <w:rPr>
          <w:rFonts w:hint="eastAsia" w:ascii="Times New Roman"/>
        </w:rPr>
        <w:t>采样获取平均值，或在</w:t>
      </w:r>
      <w:r>
        <w:rPr>
          <w:rFonts w:ascii="Times New Roman"/>
        </w:rPr>
        <w:t>1 h</w:t>
      </w:r>
      <w:r>
        <w:rPr>
          <w:rFonts w:hint="eastAsia" w:ascii="Times New Roman"/>
        </w:rPr>
        <w:t>内以等时间间隔采集3～4个样品，计算平均值。厂区内NMHC任意一次浓度值的监测，采用HJ 604规定的方法或者按照便携式监测技术规范等相关规定执行。</w:t>
      </w:r>
    </w:p>
    <w:p>
      <w:pPr>
        <w:pStyle w:val="50"/>
        <w:jc w:val="both"/>
        <w:rPr>
          <w:rFonts w:hAnsi="黑体"/>
        </w:rPr>
      </w:pPr>
      <w:r>
        <w:rPr>
          <w:rFonts w:hAnsi="黑体"/>
        </w:rPr>
        <w:t xml:space="preserve">5.4 </w:t>
      </w:r>
      <w:r>
        <w:rPr>
          <w:rFonts w:hint="eastAsia" w:hAnsi="黑体"/>
        </w:rPr>
        <w:t>单位边界监测</w:t>
      </w:r>
    </w:p>
    <w:p>
      <w:pPr>
        <w:pStyle w:val="171"/>
        <w:numPr>
          <w:ilvl w:val="0"/>
          <w:numId w:val="0"/>
        </w:numPr>
        <w:spacing w:before="0" w:beforeLines="0" w:after="0" w:afterLines="0"/>
        <w:outlineLvl w:val="9"/>
      </w:pPr>
      <w:r>
        <w:rPr>
          <w:rFonts w:hAnsi="黑体"/>
        </w:rPr>
        <w:t xml:space="preserve">5.4.1 </w:t>
      </w:r>
      <w:r>
        <w:rPr>
          <w:rFonts w:ascii="Times New Roman" w:eastAsia="宋体"/>
        </w:rPr>
        <w:t>单位边界大气污染物监测按HJ/T 55的规定执行。</w:t>
      </w:r>
    </w:p>
    <w:p>
      <w:r>
        <w:rPr>
          <w:rFonts w:ascii="黑体" w:hAnsi="黑体" w:eastAsia="黑体"/>
        </w:rPr>
        <w:t>5.</w:t>
      </w:r>
      <w:r>
        <w:rPr>
          <w:rFonts w:hAnsi="黑体"/>
        </w:rPr>
        <w:t>4</w:t>
      </w:r>
      <w:r>
        <w:rPr>
          <w:rFonts w:ascii="黑体" w:hAnsi="黑体" w:eastAsia="黑体"/>
        </w:rPr>
        <w:t xml:space="preserve">.2 </w:t>
      </w:r>
      <w:r>
        <w:rPr>
          <w:rFonts w:hint="eastAsia"/>
        </w:rPr>
        <w:t>单位边界大气污染物的监测，一般以连续</w:t>
      </w:r>
      <w:r>
        <w:t>1 h</w:t>
      </w:r>
      <w:r>
        <w:rPr>
          <w:rFonts w:hint="eastAsia"/>
        </w:rPr>
        <w:t>采样获取平均值；若浓度偏低，可适当延长采样时间；若分析方法灵敏高，仅需用短时间采集时，应在</w:t>
      </w:r>
      <w:r>
        <w:t>1 h</w:t>
      </w:r>
      <w:r>
        <w:rPr>
          <w:rFonts w:hint="eastAsia"/>
        </w:rPr>
        <w:t>内以等时间间隔采集3～4个样品，计算平均值。</w:t>
      </w:r>
    </w:p>
    <w:p>
      <w:pPr>
        <w:pStyle w:val="50"/>
        <w:rPr>
          <w:rFonts w:hAnsi="黑体"/>
        </w:rPr>
      </w:pPr>
      <w:r>
        <w:rPr>
          <w:rFonts w:hAnsi="黑体"/>
        </w:rPr>
        <w:t xml:space="preserve">5.5 </w:t>
      </w:r>
      <w:r>
        <w:rPr>
          <w:rFonts w:hint="eastAsia" w:hAnsi="黑体"/>
        </w:rPr>
        <w:t>分析测定方法</w:t>
      </w:r>
      <w:r>
        <w:rPr>
          <w:rFonts w:hAnsi="黑体"/>
        </w:rPr>
        <w:tab/>
      </w:r>
    </w:p>
    <w:p>
      <w:pPr>
        <w:pStyle w:val="28"/>
        <w:overflowPunct w:val="0"/>
        <w:autoSpaceDE/>
        <w:autoSpaceDN/>
        <w:ind w:firstLine="0" w:firstLineChars="0"/>
        <w:rPr>
          <w:rFonts w:ascii="Times New Roman"/>
        </w:rPr>
      </w:pPr>
      <w:r>
        <w:rPr>
          <w:rFonts w:ascii="黑体" w:hAnsi="黑体" w:eastAsia="黑体"/>
        </w:rPr>
        <w:t xml:space="preserve">5.5.1 </w:t>
      </w:r>
      <w:r>
        <w:rPr>
          <w:rFonts w:hint="eastAsia" w:ascii="Times New Roman"/>
        </w:rPr>
        <w:t>对大气污染物排放浓度的测定采用表</w:t>
      </w:r>
      <w:r>
        <w:rPr>
          <w:rFonts w:ascii="Times New Roman"/>
        </w:rPr>
        <w:t>4</w:t>
      </w:r>
      <w:r>
        <w:rPr>
          <w:rFonts w:hint="eastAsia" w:ascii="Times New Roman"/>
        </w:rPr>
        <w:t>所列的方法标准。</w:t>
      </w:r>
    </w:p>
    <w:p>
      <w:pPr>
        <w:pStyle w:val="28"/>
        <w:overflowPunct w:val="0"/>
        <w:autoSpaceDE/>
        <w:autoSpaceDN/>
        <w:spacing w:before="156" w:beforeLines="50" w:after="156" w:afterLines="50"/>
        <w:ind w:firstLine="0" w:firstLineChars="0"/>
        <w:jc w:val="center"/>
        <w:rPr>
          <w:rFonts w:ascii="黑体" w:hAnsi="黑体" w:eastAsia="黑体"/>
        </w:rPr>
      </w:pPr>
      <w:r>
        <w:rPr>
          <w:rFonts w:hint="eastAsia" w:ascii="黑体" w:hAnsi="黑体" w:eastAsia="黑体"/>
          <w:szCs w:val="21"/>
        </w:rPr>
        <w:t>表</w:t>
      </w:r>
      <w:r>
        <w:rPr>
          <w:rFonts w:ascii="黑体" w:hAnsi="黑体" w:eastAsia="黑体"/>
          <w:szCs w:val="21"/>
        </w:rPr>
        <w:t xml:space="preserve">4  </w:t>
      </w:r>
      <w:r>
        <w:rPr>
          <w:rFonts w:hint="eastAsia" w:ascii="黑体" w:hAnsi="黑体" w:eastAsia="黑体"/>
          <w:szCs w:val="21"/>
        </w:rPr>
        <w:t>大气污染物浓度测定方法标准</w:t>
      </w:r>
    </w:p>
    <w:tbl>
      <w:tblPr>
        <w:tblStyle w:val="38"/>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539"/>
        <w:gridCol w:w="609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blHeader/>
          <w:jc w:val="center"/>
        </w:trPr>
        <w:tc>
          <w:tcPr>
            <w:tcW w:w="365" w:type="pct"/>
            <w:vAlign w:val="center"/>
          </w:tcPr>
          <w:p>
            <w:pPr>
              <w:snapToGrid w:val="0"/>
              <w:jc w:val="center"/>
              <w:rPr>
                <w:sz w:val="18"/>
                <w:szCs w:val="18"/>
              </w:rPr>
            </w:pPr>
            <w:r>
              <w:rPr>
                <w:kern w:val="0"/>
                <w:sz w:val="18"/>
                <w:szCs w:val="18"/>
                <w:lang w:eastAsia="en-US" w:bidi="en-US"/>
              </w:rPr>
              <w:t>序号</w:t>
            </w:r>
          </w:p>
        </w:tc>
        <w:tc>
          <w:tcPr>
            <w:tcW w:w="806" w:type="pct"/>
            <w:vAlign w:val="center"/>
          </w:tcPr>
          <w:p>
            <w:pPr>
              <w:snapToGrid w:val="0"/>
              <w:jc w:val="center"/>
              <w:rPr>
                <w:sz w:val="18"/>
                <w:szCs w:val="18"/>
              </w:rPr>
            </w:pPr>
            <w:r>
              <w:rPr>
                <w:kern w:val="0"/>
                <w:sz w:val="18"/>
                <w:szCs w:val="18"/>
                <w:lang w:eastAsia="en-US" w:bidi="en-US"/>
              </w:rPr>
              <w:t>污染物项目</w:t>
            </w:r>
          </w:p>
        </w:tc>
        <w:tc>
          <w:tcPr>
            <w:tcW w:w="3190" w:type="pct"/>
            <w:vAlign w:val="center"/>
          </w:tcPr>
          <w:p>
            <w:pPr>
              <w:snapToGrid w:val="0"/>
              <w:jc w:val="center"/>
              <w:rPr>
                <w:sz w:val="18"/>
                <w:szCs w:val="18"/>
              </w:rPr>
            </w:pPr>
            <w:r>
              <w:rPr>
                <w:kern w:val="0"/>
                <w:sz w:val="18"/>
                <w:szCs w:val="18"/>
                <w:lang w:eastAsia="en-US" w:bidi="en-US"/>
              </w:rPr>
              <w:t>方法标准名称</w:t>
            </w:r>
          </w:p>
        </w:tc>
        <w:tc>
          <w:tcPr>
            <w:tcW w:w="639" w:type="pct"/>
            <w:vAlign w:val="center"/>
          </w:tcPr>
          <w:p>
            <w:pPr>
              <w:snapToGrid w:val="0"/>
              <w:jc w:val="center"/>
              <w:rPr>
                <w:sz w:val="18"/>
                <w:szCs w:val="18"/>
              </w:rPr>
            </w:pPr>
            <w:r>
              <w:rPr>
                <w:kern w:val="0"/>
                <w:sz w:val="18"/>
                <w:szCs w:val="18"/>
                <w:lang w:eastAsia="en-US" w:bidi="en-US"/>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vAlign w:val="center"/>
          </w:tcPr>
          <w:p>
            <w:pPr>
              <w:snapToGrid w:val="0"/>
              <w:jc w:val="center"/>
              <w:rPr>
                <w:sz w:val="18"/>
                <w:szCs w:val="18"/>
              </w:rPr>
            </w:pPr>
            <w:r>
              <w:rPr>
                <w:kern w:val="0"/>
                <w:sz w:val="18"/>
                <w:szCs w:val="18"/>
                <w:lang w:eastAsia="en-US" w:bidi="en-US"/>
              </w:rPr>
              <w:t>1</w:t>
            </w:r>
          </w:p>
        </w:tc>
        <w:tc>
          <w:tcPr>
            <w:tcW w:w="806" w:type="pct"/>
            <w:vMerge w:val="restart"/>
            <w:vAlign w:val="center"/>
          </w:tcPr>
          <w:p>
            <w:pPr>
              <w:snapToGrid w:val="0"/>
              <w:jc w:val="center"/>
              <w:rPr>
                <w:sz w:val="18"/>
                <w:szCs w:val="18"/>
              </w:rPr>
            </w:pPr>
            <w:r>
              <w:rPr>
                <w:kern w:val="0"/>
                <w:sz w:val="18"/>
                <w:szCs w:val="18"/>
                <w:lang w:eastAsia="en-US" w:bidi="en-US"/>
              </w:rPr>
              <w:t>颗粒物</w:t>
            </w:r>
          </w:p>
        </w:tc>
        <w:tc>
          <w:tcPr>
            <w:tcW w:w="3190" w:type="pct"/>
            <w:vAlign w:val="center"/>
          </w:tcPr>
          <w:p>
            <w:pPr>
              <w:snapToGrid w:val="0"/>
              <w:jc w:val="left"/>
              <w:rPr>
                <w:sz w:val="18"/>
                <w:szCs w:val="18"/>
              </w:rPr>
            </w:pPr>
            <w:r>
              <w:rPr>
                <w:kern w:val="0"/>
                <w:sz w:val="18"/>
                <w:szCs w:val="18"/>
                <w:lang w:bidi="en-US"/>
              </w:rPr>
              <w:t>环境空气</w:t>
            </w:r>
            <w:r>
              <w:rPr>
                <w:rFonts w:hint="eastAsia"/>
                <w:kern w:val="0"/>
                <w:sz w:val="18"/>
                <w:szCs w:val="18"/>
                <w:lang w:bidi="en-US"/>
              </w:rPr>
              <w:t xml:space="preserve"> </w:t>
            </w:r>
            <w:r>
              <w:rPr>
                <w:kern w:val="0"/>
                <w:sz w:val="18"/>
                <w:szCs w:val="18"/>
                <w:lang w:bidi="en-US"/>
              </w:rPr>
              <w:t>总悬浮颗粒物的测定重量法</w:t>
            </w:r>
          </w:p>
        </w:tc>
        <w:tc>
          <w:tcPr>
            <w:tcW w:w="639" w:type="pct"/>
            <w:vAlign w:val="center"/>
          </w:tcPr>
          <w:p>
            <w:pPr>
              <w:snapToGrid w:val="0"/>
              <w:jc w:val="left"/>
              <w:rPr>
                <w:sz w:val="18"/>
                <w:szCs w:val="18"/>
              </w:rPr>
            </w:pPr>
            <w:r>
              <w:rPr>
                <w:spacing w:val="-3"/>
                <w:kern w:val="0"/>
                <w:sz w:val="18"/>
                <w:szCs w:val="18"/>
                <w:lang w:eastAsia="en-US" w:bidi="en-US"/>
              </w:rPr>
              <w:t>G</w:t>
            </w:r>
            <w:r>
              <w:rPr>
                <w:kern w:val="0"/>
                <w:sz w:val="18"/>
                <w:szCs w:val="18"/>
                <w:lang w:eastAsia="en-US" w:bidi="en-US"/>
              </w:rPr>
              <w:t xml:space="preserve">B/T </w:t>
            </w:r>
            <w:r>
              <w:rPr>
                <w:spacing w:val="1"/>
                <w:kern w:val="0"/>
                <w:sz w:val="18"/>
                <w:szCs w:val="18"/>
                <w:lang w:eastAsia="en-US" w:bidi="en-US"/>
              </w:rPr>
              <w:t>1543</w:t>
            </w:r>
            <w:r>
              <w:rPr>
                <w:kern w:val="0"/>
                <w:sz w:val="18"/>
                <w:szCs w:val="18"/>
                <w:lang w:eastAsia="en-US"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sz w:val="18"/>
                <w:szCs w:val="18"/>
              </w:rPr>
            </w:pPr>
          </w:p>
        </w:tc>
        <w:tc>
          <w:tcPr>
            <w:tcW w:w="806" w:type="pct"/>
            <w:vMerge w:val="continue"/>
            <w:vAlign w:val="center"/>
          </w:tcPr>
          <w:p>
            <w:pPr>
              <w:widowControl/>
              <w:snapToGrid w:val="0"/>
              <w:jc w:val="center"/>
              <w:rPr>
                <w:sz w:val="18"/>
                <w:szCs w:val="18"/>
              </w:rPr>
            </w:pPr>
          </w:p>
        </w:tc>
        <w:tc>
          <w:tcPr>
            <w:tcW w:w="3190" w:type="pct"/>
            <w:vAlign w:val="center"/>
          </w:tcPr>
          <w:p>
            <w:pPr>
              <w:snapToGrid w:val="0"/>
              <w:jc w:val="left"/>
              <w:rPr>
                <w:sz w:val="18"/>
                <w:szCs w:val="18"/>
              </w:rPr>
            </w:pPr>
            <w:r>
              <w:rPr>
                <w:kern w:val="0"/>
                <w:sz w:val="18"/>
                <w:szCs w:val="18"/>
                <w:lang w:bidi="en-US"/>
              </w:rPr>
              <w:t>固定污染源排气中颗粒物测定与气态污染物采样方法</w:t>
            </w:r>
          </w:p>
        </w:tc>
        <w:tc>
          <w:tcPr>
            <w:tcW w:w="639" w:type="pct"/>
            <w:vAlign w:val="center"/>
          </w:tcPr>
          <w:p>
            <w:pPr>
              <w:snapToGrid w:val="0"/>
              <w:jc w:val="left"/>
              <w:rPr>
                <w:sz w:val="18"/>
                <w:szCs w:val="18"/>
              </w:rPr>
            </w:pPr>
            <w:r>
              <w:rPr>
                <w:kern w:val="0"/>
                <w:sz w:val="18"/>
                <w:szCs w:val="18"/>
                <w:lang w:eastAsia="en-US" w:bidi="en-US"/>
              </w:rPr>
              <w:t>GB/T 16157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sz w:val="18"/>
                <w:szCs w:val="18"/>
              </w:rPr>
            </w:pPr>
          </w:p>
        </w:tc>
        <w:tc>
          <w:tcPr>
            <w:tcW w:w="806" w:type="pct"/>
            <w:vMerge w:val="continue"/>
            <w:vAlign w:val="center"/>
          </w:tcPr>
          <w:p>
            <w:pPr>
              <w:widowControl/>
              <w:snapToGrid w:val="0"/>
              <w:jc w:val="center"/>
              <w:rPr>
                <w:sz w:val="18"/>
                <w:szCs w:val="18"/>
              </w:rPr>
            </w:pPr>
          </w:p>
        </w:tc>
        <w:tc>
          <w:tcPr>
            <w:tcW w:w="3190" w:type="pct"/>
            <w:vAlign w:val="center"/>
          </w:tcPr>
          <w:p>
            <w:pPr>
              <w:snapToGrid w:val="0"/>
              <w:jc w:val="left"/>
              <w:rPr>
                <w:kern w:val="0"/>
                <w:sz w:val="18"/>
                <w:szCs w:val="18"/>
                <w:lang w:bidi="en-US"/>
              </w:rPr>
            </w:pPr>
            <w:r>
              <w:rPr>
                <w:rFonts w:hint="eastAsia"/>
                <w:kern w:val="0"/>
                <w:position w:val="1"/>
                <w:sz w:val="18"/>
                <w:szCs w:val="18"/>
              </w:rPr>
              <w:t>固定污染源烟气（</w:t>
            </w:r>
            <w:r>
              <w:rPr>
                <w:spacing w:val="-1"/>
                <w:kern w:val="0"/>
                <w:position w:val="1"/>
                <w:sz w:val="18"/>
                <w:szCs w:val="18"/>
              </w:rPr>
              <w:t>SO</w:t>
            </w:r>
            <w:r>
              <w:rPr>
                <w:kern w:val="0"/>
                <w:sz w:val="18"/>
                <w:szCs w:val="18"/>
                <w:vertAlign w:val="subscript"/>
              </w:rPr>
              <w:t>2</w:t>
            </w:r>
            <w:r>
              <w:rPr>
                <w:rFonts w:hint="eastAsia"/>
                <w:kern w:val="0"/>
                <w:position w:val="1"/>
                <w:sz w:val="18"/>
                <w:szCs w:val="18"/>
              </w:rPr>
              <w:t>、</w:t>
            </w:r>
            <w:r>
              <w:rPr>
                <w:spacing w:val="-1"/>
                <w:kern w:val="0"/>
                <w:position w:val="1"/>
                <w:sz w:val="18"/>
                <w:szCs w:val="18"/>
              </w:rPr>
              <w:t>N</w:t>
            </w:r>
            <w:r>
              <w:rPr>
                <w:kern w:val="0"/>
                <w:position w:val="1"/>
                <w:sz w:val="18"/>
                <w:szCs w:val="18"/>
              </w:rPr>
              <w:t>O</w:t>
            </w:r>
            <w:r>
              <w:rPr>
                <w:kern w:val="0"/>
                <w:sz w:val="18"/>
                <w:szCs w:val="18"/>
                <w:vertAlign w:val="subscript"/>
              </w:rPr>
              <w:t>x</w:t>
            </w:r>
            <w:r>
              <w:rPr>
                <w:rFonts w:hint="eastAsia"/>
                <w:kern w:val="0"/>
                <w:position w:val="1"/>
                <w:sz w:val="18"/>
                <w:szCs w:val="18"/>
              </w:rPr>
              <w:t>、颗粒物）排放连续监测技术规范</w:t>
            </w:r>
          </w:p>
        </w:tc>
        <w:tc>
          <w:tcPr>
            <w:tcW w:w="639" w:type="pct"/>
            <w:vAlign w:val="center"/>
          </w:tcPr>
          <w:p>
            <w:pPr>
              <w:snapToGrid w:val="0"/>
              <w:jc w:val="left"/>
              <w:rPr>
                <w:kern w:val="0"/>
                <w:sz w:val="18"/>
                <w:szCs w:val="18"/>
                <w:lang w:eastAsia="en-US" w:bidi="en-US"/>
              </w:rPr>
            </w:pPr>
            <w:r>
              <w:rPr>
                <w:spacing w:val="-1"/>
                <w:kern w:val="0"/>
                <w:sz w:val="18"/>
                <w:szCs w:val="18"/>
              </w:rPr>
              <w:t>H</w:t>
            </w:r>
            <w:r>
              <w:rPr>
                <w:kern w:val="0"/>
                <w:sz w:val="18"/>
                <w:szCs w:val="18"/>
              </w:rPr>
              <w:t xml:space="preserve">J </w:t>
            </w:r>
            <w:r>
              <w:rPr>
                <w:spacing w:val="-1"/>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sz w:val="18"/>
                <w:szCs w:val="18"/>
              </w:rPr>
            </w:pPr>
          </w:p>
        </w:tc>
        <w:tc>
          <w:tcPr>
            <w:tcW w:w="806" w:type="pct"/>
            <w:vMerge w:val="continue"/>
            <w:vAlign w:val="center"/>
          </w:tcPr>
          <w:p>
            <w:pPr>
              <w:widowControl/>
              <w:snapToGrid w:val="0"/>
              <w:jc w:val="center"/>
              <w:rPr>
                <w:sz w:val="18"/>
                <w:szCs w:val="18"/>
              </w:rPr>
            </w:pPr>
          </w:p>
        </w:tc>
        <w:tc>
          <w:tcPr>
            <w:tcW w:w="3190" w:type="pct"/>
            <w:vAlign w:val="center"/>
          </w:tcPr>
          <w:p>
            <w:pPr>
              <w:snapToGrid w:val="0"/>
              <w:jc w:val="left"/>
              <w:rPr>
                <w:sz w:val="18"/>
                <w:szCs w:val="18"/>
              </w:rPr>
            </w:pPr>
            <w:r>
              <w:rPr>
                <w:kern w:val="0"/>
                <w:sz w:val="18"/>
                <w:szCs w:val="18"/>
                <w:lang w:bidi="en-US"/>
              </w:rPr>
              <w:t>固定污染源废气</w:t>
            </w:r>
            <w:r>
              <w:rPr>
                <w:rFonts w:hint="eastAsia"/>
                <w:kern w:val="0"/>
                <w:sz w:val="18"/>
                <w:szCs w:val="18"/>
                <w:lang w:bidi="en-US"/>
              </w:rPr>
              <w:t xml:space="preserve"> </w:t>
            </w:r>
            <w:r>
              <w:rPr>
                <w:kern w:val="0"/>
                <w:sz w:val="18"/>
                <w:szCs w:val="18"/>
                <w:lang w:bidi="en-US"/>
              </w:rPr>
              <w:t>低浓度颗粒物的测定</w:t>
            </w:r>
            <w:r>
              <w:rPr>
                <w:rFonts w:hint="eastAsia"/>
                <w:kern w:val="0"/>
                <w:sz w:val="18"/>
                <w:szCs w:val="18"/>
                <w:lang w:bidi="en-US"/>
              </w:rPr>
              <w:t xml:space="preserve"> </w:t>
            </w:r>
            <w:r>
              <w:rPr>
                <w:kern w:val="0"/>
                <w:sz w:val="18"/>
                <w:szCs w:val="18"/>
                <w:lang w:bidi="en-US"/>
              </w:rPr>
              <w:t>重量法</w:t>
            </w:r>
          </w:p>
        </w:tc>
        <w:tc>
          <w:tcPr>
            <w:tcW w:w="639" w:type="pct"/>
            <w:vAlign w:val="center"/>
          </w:tcPr>
          <w:p>
            <w:pPr>
              <w:snapToGrid w:val="0"/>
              <w:jc w:val="left"/>
              <w:rPr>
                <w:sz w:val="18"/>
                <w:szCs w:val="18"/>
              </w:rPr>
            </w:pPr>
            <w:r>
              <w:rPr>
                <w:kern w:val="0"/>
                <w:sz w:val="18"/>
                <w:szCs w:val="18"/>
                <w:lang w:eastAsia="en-US" w:bidi="en-US"/>
              </w:rPr>
              <w:t>HJ 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Align w:val="center"/>
          </w:tcPr>
          <w:p>
            <w:pPr>
              <w:widowControl/>
              <w:snapToGrid w:val="0"/>
              <w:jc w:val="center"/>
              <w:rPr>
                <w:sz w:val="18"/>
                <w:szCs w:val="18"/>
              </w:rPr>
            </w:pPr>
            <w:r>
              <w:rPr>
                <w:rFonts w:hint="eastAsia"/>
                <w:sz w:val="18"/>
                <w:szCs w:val="18"/>
              </w:rPr>
              <w:t>2</w:t>
            </w:r>
          </w:p>
        </w:tc>
        <w:tc>
          <w:tcPr>
            <w:tcW w:w="806" w:type="pct"/>
            <w:vAlign w:val="center"/>
          </w:tcPr>
          <w:p>
            <w:pPr>
              <w:widowControl/>
              <w:snapToGrid w:val="0"/>
              <w:jc w:val="center"/>
              <w:rPr>
                <w:sz w:val="18"/>
                <w:szCs w:val="18"/>
              </w:rPr>
            </w:pPr>
            <w:r>
              <w:rPr>
                <w:rFonts w:hint="eastAsia"/>
                <w:sz w:val="18"/>
                <w:szCs w:val="18"/>
              </w:rPr>
              <w:t>石棉纤维及粉尘</w:t>
            </w:r>
          </w:p>
        </w:tc>
        <w:tc>
          <w:tcPr>
            <w:tcW w:w="3190" w:type="pct"/>
            <w:vAlign w:val="center"/>
          </w:tcPr>
          <w:p>
            <w:pPr>
              <w:kinsoku w:val="0"/>
              <w:overflowPunct w:val="0"/>
              <w:autoSpaceDE w:val="0"/>
              <w:autoSpaceDN w:val="0"/>
              <w:adjustRightInd w:val="0"/>
              <w:snapToGrid w:val="0"/>
              <w:jc w:val="left"/>
              <w:rPr>
                <w:kern w:val="0"/>
                <w:position w:val="1"/>
                <w:sz w:val="18"/>
                <w:szCs w:val="18"/>
              </w:rPr>
            </w:pPr>
            <w:r>
              <w:rPr>
                <w:rFonts w:hint="eastAsia"/>
                <w:kern w:val="0"/>
                <w:sz w:val="18"/>
                <w:szCs w:val="18"/>
              </w:rPr>
              <w:t>固定污染源排气中石棉尘的测定 镜检法</w:t>
            </w:r>
          </w:p>
        </w:tc>
        <w:tc>
          <w:tcPr>
            <w:tcW w:w="639" w:type="pct"/>
            <w:vAlign w:val="center"/>
          </w:tcPr>
          <w:p>
            <w:pPr>
              <w:snapToGrid w:val="0"/>
              <w:jc w:val="left"/>
              <w:rPr>
                <w:sz w:val="18"/>
                <w:szCs w:val="18"/>
              </w:rPr>
            </w:pPr>
            <w:r>
              <w:rPr>
                <w:kern w:val="0"/>
                <w:sz w:val="18"/>
                <w:szCs w:val="18"/>
                <w:lang w:bidi="en-US"/>
              </w:rPr>
              <w:t>HJ/T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Align w:val="center"/>
          </w:tcPr>
          <w:p>
            <w:pPr>
              <w:widowControl/>
              <w:snapToGrid w:val="0"/>
              <w:jc w:val="center"/>
              <w:rPr>
                <w:sz w:val="18"/>
                <w:szCs w:val="18"/>
              </w:rPr>
            </w:pPr>
            <w:r>
              <w:rPr>
                <w:rFonts w:hint="eastAsia"/>
                <w:sz w:val="18"/>
                <w:szCs w:val="18"/>
              </w:rPr>
              <w:t>3</w:t>
            </w:r>
          </w:p>
        </w:tc>
        <w:tc>
          <w:tcPr>
            <w:tcW w:w="806" w:type="pct"/>
            <w:vAlign w:val="center"/>
          </w:tcPr>
          <w:p>
            <w:pPr>
              <w:widowControl/>
              <w:snapToGrid w:val="0"/>
              <w:jc w:val="center"/>
              <w:rPr>
                <w:sz w:val="18"/>
                <w:szCs w:val="18"/>
              </w:rPr>
            </w:pPr>
            <w:r>
              <w:rPr>
                <w:rFonts w:hint="eastAsia"/>
                <w:sz w:val="18"/>
                <w:szCs w:val="18"/>
              </w:rPr>
              <w:t>沥青烟</w:t>
            </w:r>
          </w:p>
        </w:tc>
        <w:tc>
          <w:tcPr>
            <w:tcW w:w="3190" w:type="pct"/>
            <w:vAlign w:val="center"/>
          </w:tcPr>
          <w:p>
            <w:pPr>
              <w:kinsoku w:val="0"/>
              <w:overflowPunct w:val="0"/>
              <w:autoSpaceDE w:val="0"/>
              <w:autoSpaceDN w:val="0"/>
              <w:adjustRightInd w:val="0"/>
              <w:snapToGrid w:val="0"/>
              <w:jc w:val="left"/>
              <w:rPr>
                <w:kern w:val="0"/>
                <w:position w:val="1"/>
                <w:sz w:val="18"/>
                <w:szCs w:val="18"/>
              </w:rPr>
            </w:pPr>
            <w:r>
              <w:rPr>
                <w:rFonts w:hint="eastAsia"/>
                <w:kern w:val="0"/>
                <w:sz w:val="18"/>
                <w:szCs w:val="18"/>
              </w:rPr>
              <w:t>固定污染源排气中沥青烟的测定 重量法</w:t>
            </w:r>
          </w:p>
        </w:tc>
        <w:tc>
          <w:tcPr>
            <w:tcW w:w="639" w:type="pct"/>
            <w:vAlign w:val="center"/>
          </w:tcPr>
          <w:p>
            <w:pPr>
              <w:snapToGrid w:val="0"/>
              <w:jc w:val="left"/>
              <w:rPr>
                <w:sz w:val="18"/>
                <w:szCs w:val="18"/>
              </w:rPr>
            </w:pPr>
            <w:r>
              <w:rPr>
                <w:kern w:val="0"/>
                <w:sz w:val="18"/>
                <w:szCs w:val="18"/>
                <w:lang w:bidi="en-US"/>
              </w:rPr>
              <w:t>HJ/T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5" w:type="pct"/>
            <w:vMerge w:val="restart"/>
            <w:vAlign w:val="center"/>
          </w:tcPr>
          <w:p>
            <w:pPr>
              <w:snapToGrid w:val="0"/>
              <w:jc w:val="center"/>
              <w:rPr>
                <w:kern w:val="0"/>
                <w:sz w:val="18"/>
                <w:szCs w:val="18"/>
              </w:rPr>
            </w:pPr>
            <w:r>
              <w:rPr>
                <w:kern w:val="0"/>
                <w:sz w:val="18"/>
                <w:szCs w:val="18"/>
                <w:lang w:eastAsia="en-US" w:bidi="en-US"/>
              </w:rPr>
              <w:t>4</w:t>
            </w:r>
          </w:p>
        </w:tc>
        <w:tc>
          <w:tcPr>
            <w:tcW w:w="806" w:type="pct"/>
            <w:vMerge w:val="restart"/>
            <w:vAlign w:val="center"/>
          </w:tcPr>
          <w:p>
            <w:pPr>
              <w:snapToGrid w:val="0"/>
              <w:jc w:val="center"/>
              <w:rPr>
                <w:kern w:val="0"/>
                <w:sz w:val="18"/>
                <w:szCs w:val="18"/>
              </w:rPr>
            </w:pPr>
            <w:r>
              <w:rPr>
                <w:kern w:val="0"/>
                <w:sz w:val="18"/>
                <w:szCs w:val="18"/>
                <w:lang w:eastAsia="en-US" w:bidi="en-US"/>
              </w:rPr>
              <w:t>二氧化硫</w:t>
            </w:r>
          </w:p>
        </w:tc>
        <w:tc>
          <w:tcPr>
            <w:tcW w:w="3190" w:type="pct"/>
            <w:vAlign w:val="center"/>
          </w:tcPr>
          <w:p>
            <w:pPr>
              <w:snapToGrid w:val="0"/>
              <w:jc w:val="left"/>
              <w:rPr>
                <w:kern w:val="0"/>
                <w:sz w:val="18"/>
                <w:szCs w:val="18"/>
              </w:rPr>
            </w:pPr>
            <w:r>
              <w:rPr>
                <w:snapToGrid w:val="0"/>
                <w:kern w:val="0"/>
                <w:sz w:val="18"/>
                <w:szCs w:val="18"/>
                <w:lang w:bidi="en-US"/>
              </w:rPr>
              <w:t>固定污染源排气中二氧化硫的测定</w:t>
            </w:r>
            <w:r>
              <w:rPr>
                <w:rFonts w:hint="eastAsia"/>
                <w:snapToGrid w:val="0"/>
                <w:kern w:val="0"/>
                <w:sz w:val="18"/>
                <w:szCs w:val="18"/>
                <w:lang w:bidi="en-US"/>
              </w:rPr>
              <w:t xml:space="preserve"> </w:t>
            </w:r>
            <w:r>
              <w:rPr>
                <w:snapToGrid w:val="0"/>
                <w:kern w:val="0"/>
                <w:sz w:val="18"/>
                <w:szCs w:val="18"/>
                <w:lang w:bidi="en-US"/>
              </w:rPr>
              <w:t>碘量法</w:t>
            </w:r>
          </w:p>
        </w:tc>
        <w:tc>
          <w:tcPr>
            <w:tcW w:w="639" w:type="pct"/>
            <w:vAlign w:val="center"/>
          </w:tcPr>
          <w:p>
            <w:pPr>
              <w:snapToGrid w:val="0"/>
              <w:jc w:val="left"/>
              <w:rPr>
                <w:kern w:val="0"/>
                <w:sz w:val="18"/>
                <w:szCs w:val="18"/>
              </w:rPr>
            </w:pPr>
            <w:r>
              <w:rPr>
                <w:kern w:val="0"/>
                <w:sz w:val="18"/>
                <w:szCs w:val="18"/>
                <w:lang w:eastAsia="en-US" w:bidi="en-US"/>
              </w:rPr>
              <w:t>HJ/T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kern w:val="0"/>
                <w:sz w:val="18"/>
                <w:szCs w:val="18"/>
              </w:rPr>
            </w:pPr>
          </w:p>
        </w:tc>
        <w:tc>
          <w:tcPr>
            <w:tcW w:w="806" w:type="pct"/>
            <w:vMerge w:val="continue"/>
            <w:vAlign w:val="center"/>
          </w:tcPr>
          <w:p>
            <w:pPr>
              <w:widowControl/>
              <w:snapToGrid w:val="0"/>
              <w:jc w:val="center"/>
              <w:rPr>
                <w:kern w:val="0"/>
                <w:sz w:val="18"/>
                <w:szCs w:val="18"/>
              </w:rPr>
            </w:pPr>
          </w:p>
        </w:tc>
        <w:tc>
          <w:tcPr>
            <w:tcW w:w="3190" w:type="pct"/>
            <w:vAlign w:val="center"/>
          </w:tcPr>
          <w:p>
            <w:pPr>
              <w:snapToGrid w:val="0"/>
              <w:jc w:val="left"/>
              <w:rPr>
                <w:kern w:val="0"/>
                <w:sz w:val="18"/>
                <w:szCs w:val="18"/>
              </w:rPr>
            </w:pPr>
            <w:r>
              <w:rPr>
                <w:kern w:val="0"/>
                <w:sz w:val="18"/>
                <w:szCs w:val="18"/>
                <w:lang w:bidi="en-US"/>
              </w:rPr>
              <w:t>固定污染源废气</w:t>
            </w:r>
            <w:r>
              <w:rPr>
                <w:rFonts w:hint="eastAsia"/>
                <w:kern w:val="0"/>
                <w:sz w:val="18"/>
                <w:szCs w:val="18"/>
                <w:lang w:bidi="en-US"/>
              </w:rPr>
              <w:t xml:space="preserve"> </w:t>
            </w:r>
            <w:r>
              <w:rPr>
                <w:kern w:val="0"/>
                <w:sz w:val="18"/>
                <w:szCs w:val="18"/>
                <w:lang w:bidi="en-US"/>
              </w:rPr>
              <w:t>二氧化硫的测定</w:t>
            </w:r>
            <w:r>
              <w:rPr>
                <w:rFonts w:hint="eastAsia"/>
                <w:kern w:val="0"/>
                <w:sz w:val="18"/>
                <w:szCs w:val="18"/>
                <w:lang w:bidi="en-US"/>
              </w:rPr>
              <w:t xml:space="preserve"> </w:t>
            </w:r>
            <w:r>
              <w:rPr>
                <w:kern w:val="0"/>
                <w:sz w:val="18"/>
                <w:szCs w:val="18"/>
                <w:lang w:bidi="en-US"/>
              </w:rPr>
              <w:t>定电位电解法</w:t>
            </w:r>
          </w:p>
        </w:tc>
        <w:tc>
          <w:tcPr>
            <w:tcW w:w="639" w:type="pct"/>
            <w:vAlign w:val="center"/>
          </w:tcPr>
          <w:p>
            <w:pPr>
              <w:snapToGrid w:val="0"/>
              <w:jc w:val="left"/>
              <w:rPr>
                <w:sz w:val="18"/>
                <w:szCs w:val="18"/>
              </w:rPr>
            </w:pPr>
            <w:r>
              <w:rPr>
                <w:kern w:val="0"/>
                <w:sz w:val="18"/>
                <w:szCs w:val="18"/>
                <w:lang w:eastAsia="en-US" w:bidi="en-US"/>
              </w:rPr>
              <w:t>HJ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kern w:val="0"/>
                <w:sz w:val="18"/>
                <w:szCs w:val="18"/>
              </w:rPr>
            </w:pPr>
          </w:p>
        </w:tc>
        <w:tc>
          <w:tcPr>
            <w:tcW w:w="806" w:type="pct"/>
            <w:vMerge w:val="continue"/>
            <w:vAlign w:val="center"/>
          </w:tcPr>
          <w:p>
            <w:pPr>
              <w:widowControl/>
              <w:snapToGrid w:val="0"/>
              <w:jc w:val="center"/>
              <w:rPr>
                <w:kern w:val="0"/>
                <w:sz w:val="18"/>
                <w:szCs w:val="18"/>
              </w:rPr>
            </w:pPr>
          </w:p>
        </w:tc>
        <w:tc>
          <w:tcPr>
            <w:tcW w:w="3190" w:type="pct"/>
            <w:vAlign w:val="center"/>
          </w:tcPr>
          <w:p>
            <w:pPr>
              <w:snapToGrid w:val="0"/>
              <w:jc w:val="left"/>
              <w:rPr>
                <w:kern w:val="0"/>
                <w:sz w:val="18"/>
                <w:szCs w:val="18"/>
                <w:lang w:bidi="en-US"/>
              </w:rPr>
            </w:pPr>
            <w:r>
              <w:rPr>
                <w:rFonts w:hint="eastAsia"/>
                <w:kern w:val="0"/>
                <w:sz w:val="18"/>
                <w:szCs w:val="18"/>
                <w:lang w:bidi="en-US"/>
              </w:rPr>
              <w:t>固定污染源烟气（</w:t>
            </w:r>
            <w:r>
              <w:rPr>
                <w:kern w:val="0"/>
                <w:sz w:val="18"/>
                <w:szCs w:val="18"/>
                <w:lang w:bidi="en-US"/>
              </w:rPr>
              <w:t>SO</w:t>
            </w:r>
            <w:r>
              <w:rPr>
                <w:kern w:val="0"/>
                <w:sz w:val="18"/>
                <w:szCs w:val="18"/>
                <w:vertAlign w:val="subscript"/>
                <w:lang w:bidi="en-US"/>
              </w:rPr>
              <w:t>2</w:t>
            </w:r>
            <w:r>
              <w:rPr>
                <w:rFonts w:hint="eastAsia"/>
                <w:kern w:val="0"/>
                <w:sz w:val="18"/>
                <w:szCs w:val="18"/>
                <w:lang w:bidi="en-US"/>
              </w:rPr>
              <w:t>、</w:t>
            </w:r>
            <w:r>
              <w:rPr>
                <w:kern w:val="0"/>
                <w:sz w:val="18"/>
                <w:szCs w:val="18"/>
                <w:lang w:bidi="en-US"/>
              </w:rPr>
              <w:t>NO</w:t>
            </w:r>
            <w:r>
              <w:rPr>
                <w:kern w:val="0"/>
                <w:sz w:val="18"/>
                <w:szCs w:val="18"/>
                <w:vertAlign w:val="subscript"/>
                <w:lang w:bidi="en-US"/>
              </w:rPr>
              <w:t>x</w:t>
            </w:r>
            <w:r>
              <w:rPr>
                <w:rFonts w:hint="eastAsia"/>
                <w:kern w:val="0"/>
                <w:sz w:val="18"/>
                <w:szCs w:val="18"/>
                <w:lang w:bidi="en-US"/>
              </w:rPr>
              <w:t>、颗粒物）排放连续监测技术规范</w:t>
            </w:r>
          </w:p>
        </w:tc>
        <w:tc>
          <w:tcPr>
            <w:tcW w:w="639" w:type="pct"/>
            <w:vAlign w:val="center"/>
          </w:tcPr>
          <w:p>
            <w:pPr>
              <w:snapToGrid w:val="0"/>
              <w:jc w:val="left"/>
              <w:rPr>
                <w:kern w:val="0"/>
                <w:sz w:val="18"/>
                <w:szCs w:val="18"/>
                <w:lang w:eastAsia="en-US" w:bidi="en-US"/>
              </w:rPr>
            </w:pPr>
            <w:r>
              <w:rPr>
                <w:kern w:val="0"/>
                <w:sz w:val="18"/>
                <w:szCs w:val="18"/>
                <w:lang w:eastAsia="en-US" w:bidi="en-US"/>
              </w:rPr>
              <w:t>HJ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kern w:val="0"/>
                <w:sz w:val="18"/>
                <w:szCs w:val="18"/>
              </w:rPr>
            </w:pPr>
          </w:p>
        </w:tc>
        <w:tc>
          <w:tcPr>
            <w:tcW w:w="806" w:type="pct"/>
            <w:vMerge w:val="continue"/>
            <w:vAlign w:val="center"/>
          </w:tcPr>
          <w:p>
            <w:pPr>
              <w:widowControl/>
              <w:snapToGrid w:val="0"/>
              <w:jc w:val="center"/>
              <w:rPr>
                <w:kern w:val="0"/>
                <w:sz w:val="18"/>
                <w:szCs w:val="18"/>
              </w:rPr>
            </w:pPr>
          </w:p>
        </w:tc>
        <w:tc>
          <w:tcPr>
            <w:tcW w:w="3190" w:type="pct"/>
            <w:vAlign w:val="center"/>
          </w:tcPr>
          <w:p>
            <w:pPr>
              <w:snapToGrid w:val="0"/>
              <w:jc w:val="left"/>
              <w:rPr>
                <w:snapToGrid w:val="0"/>
                <w:sz w:val="18"/>
                <w:szCs w:val="18"/>
              </w:rPr>
            </w:pPr>
            <w:r>
              <w:rPr>
                <w:kern w:val="0"/>
                <w:sz w:val="18"/>
                <w:szCs w:val="18"/>
                <w:lang w:bidi="en-US"/>
              </w:rPr>
              <w:t>环境空气</w:t>
            </w:r>
            <w:r>
              <w:rPr>
                <w:rFonts w:hint="eastAsia"/>
                <w:kern w:val="0"/>
                <w:sz w:val="18"/>
                <w:szCs w:val="18"/>
                <w:lang w:bidi="en-US"/>
              </w:rPr>
              <w:t xml:space="preserve"> </w:t>
            </w:r>
            <w:r>
              <w:rPr>
                <w:kern w:val="0"/>
                <w:sz w:val="18"/>
                <w:szCs w:val="18"/>
                <w:lang w:bidi="en-US"/>
              </w:rPr>
              <w:t>二氧化硫的测定</w:t>
            </w:r>
            <w:r>
              <w:rPr>
                <w:rFonts w:hint="eastAsia"/>
                <w:kern w:val="0"/>
                <w:sz w:val="18"/>
                <w:szCs w:val="18"/>
                <w:lang w:bidi="en-US"/>
              </w:rPr>
              <w:t xml:space="preserve"> </w:t>
            </w:r>
            <w:r>
              <w:rPr>
                <w:spacing w:val="-3"/>
                <w:kern w:val="0"/>
                <w:sz w:val="18"/>
                <w:szCs w:val="18"/>
                <w:lang w:bidi="en-US"/>
              </w:rPr>
              <w:t>甲</w:t>
            </w:r>
            <w:r>
              <w:rPr>
                <w:kern w:val="0"/>
                <w:sz w:val="18"/>
                <w:szCs w:val="18"/>
                <w:lang w:bidi="en-US"/>
              </w:rPr>
              <w:t>醛吸收-副玫瑰苯胺分光光度法</w:t>
            </w:r>
          </w:p>
        </w:tc>
        <w:tc>
          <w:tcPr>
            <w:tcW w:w="639" w:type="pct"/>
            <w:vAlign w:val="center"/>
          </w:tcPr>
          <w:p>
            <w:pPr>
              <w:snapToGrid w:val="0"/>
              <w:jc w:val="left"/>
              <w:rPr>
                <w:kern w:val="0"/>
                <w:sz w:val="18"/>
                <w:szCs w:val="18"/>
              </w:rPr>
            </w:pPr>
            <w:r>
              <w:rPr>
                <w:kern w:val="0"/>
                <w:sz w:val="18"/>
                <w:szCs w:val="18"/>
                <w:lang w:eastAsia="en-US" w:bidi="en-US"/>
              </w:rPr>
              <w:t xml:space="preserve">HJ </w:t>
            </w:r>
            <w:r>
              <w:rPr>
                <w:spacing w:val="1"/>
                <w:kern w:val="0"/>
                <w:sz w:val="18"/>
                <w:szCs w:val="18"/>
                <w:lang w:eastAsia="en-US" w:bidi="en-US"/>
              </w:rPr>
              <w:t>48</w:t>
            </w:r>
            <w:r>
              <w:rPr>
                <w:kern w:val="0"/>
                <w:sz w:val="18"/>
                <w:szCs w:val="18"/>
                <w:lang w:eastAsia="en-US"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5" w:type="pct"/>
            <w:vMerge w:val="continue"/>
            <w:vAlign w:val="center"/>
          </w:tcPr>
          <w:p>
            <w:pPr>
              <w:widowControl/>
              <w:snapToGrid w:val="0"/>
              <w:jc w:val="center"/>
              <w:rPr>
                <w:kern w:val="0"/>
                <w:sz w:val="18"/>
                <w:szCs w:val="18"/>
              </w:rPr>
            </w:pPr>
          </w:p>
        </w:tc>
        <w:tc>
          <w:tcPr>
            <w:tcW w:w="806" w:type="pct"/>
            <w:vMerge w:val="continue"/>
            <w:vAlign w:val="center"/>
          </w:tcPr>
          <w:p>
            <w:pPr>
              <w:widowControl/>
              <w:snapToGrid w:val="0"/>
              <w:jc w:val="center"/>
              <w:rPr>
                <w:kern w:val="0"/>
                <w:sz w:val="18"/>
                <w:szCs w:val="18"/>
              </w:rPr>
            </w:pPr>
          </w:p>
        </w:tc>
        <w:tc>
          <w:tcPr>
            <w:tcW w:w="3190" w:type="pct"/>
            <w:vAlign w:val="center"/>
          </w:tcPr>
          <w:p>
            <w:pPr>
              <w:snapToGrid w:val="0"/>
              <w:jc w:val="left"/>
              <w:rPr>
                <w:kern w:val="0"/>
                <w:sz w:val="18"/>
                <w:szCs w:val="18"/>
                <w:lang w:bidi="en-US"/>
              </w:rPr>
            </w:pPr>
            <w:r>
              <w:rPr>
                <w:rFonts w:hint="eastAsia"/>
                <w:kern w:val="0"/>
                <w:sz w:val="18"/>
                <w:szCs w:val="18"/>
                <w:lang w:bidi="en-US"/>
              </w:rPr>
              <w:t>环境空气 二氧化硫的测定 四氯汞盐吸收-副玫瑰苯胺分光光度法</w:t>
            </w:r>
          </w:p>
        </w:tc>
        <w:tc>
          <w:tcPr>
            <w:tcW w:w="639" w:type="pct"/>
            <w:vAlign w:val="center"/>
          </w:tcPr>
          <w:p>
            <w:pPr>
              <w:snapToGrid w:val="0"/>
              <w:jc w:val="left"/>
              <w:rPr>
                <w:kern w:val="0"/>
                <w:sz w:val="18"/>
                <w:szCs w:val="18"/>
                <w:lang w:bidi="en-US"/>
              </w:rPr>
            </w:pPr>
            <w:r>
              <w:rPr>
                <w:kern w:val="0"/>
                <w:sz w:val="18"/>
                <w:szCs w:val="18"/>
                <w:lang w:eastAsia="en-US" w:bidi="en-US"/>
              </w:rPr>
              <w:t xml:space="preserve">HJ </w:t>
            </w:r>
            <w:r>
              <w:rPr>
                <w:spacing w:val="1"/>
                <w:kern w:val="0"/>
                <w:sz w:val="18"/>
                <w:szCs w:val="18"/>
                <w:lang w:eastAsia="en-US" w:bidi="en-US"/>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kern w:val="0"/>
                <w:sz w:val="18"/>
                <w:szCs w:val="18"/>
              </w:rPr>
            </w:pPr>
          </w:p>
        </w:tc>
        <w:tc>
          <w:tcPr>
            <w:tcW w:w="806" w:type="pct"/>
            <w:vMerge w:val="continue"/>
            <w:vAlign w:val="center"/>
          </w:tcPr>
          <w:p>
            <w:pPr>
              <w:widowControl/>
              <w:snapToGrid w:val="0"/>
              <w:jc w:val="center"/>
              <w:rPr>
                <w:kern w:val="0"/>
                <w:sz w:val="18"/>
                <w:szCs w:val="18"/>
              </w:rPr>
            </w:pPr>
          </w:p>
        </w:tc>
        <w:tc>
          <w:tcPr>
            <w:tcW w:w="3190" w:type="pct"/>
            <w:vAlign w:val="center"/>
          </w:tcPr>
          <w:p>
            <w:pPr>
              <w:snapToGrid w:val="0"/>
              <w:jc w:val="left"/>
              <w:rPr>
                <w:sz w:val="18"/>
                <w:szCs w:val="18"/>
              </w:rPr>
            </w:pPr>
            <w:r>
              <w:rPr>
                <w:kern w:val="0"/>
                <w:sz w:val="18"/>
                <w:szCs w:val="18"/>
                <w:lang w:bidi="en-US"/>
              </w:rPr>
              <w:t>固定污染源废气</w:t>
            </w:r>
            <w:r>
              <w:rPr>
                <w:rFonts w:hint="eastAsia"/>
                <w:kern w:val="0"/>
                <w:sz w:val="18"/>
                <w:szCs w:val="18"/>
                <w:lang w:bidi="en-US"/>
              </w:rPr>
              <w:t xml:space="preserve"> </w:t>
            </w:r>
            <w:r>
              <w:rPr>
                <w:kern w:val="0"/>
                <w:sz w:val="18"/>
                <w:szCs w:val="18"/>
                <w:lang w:bidi="en-US"/>
              </w:rPr>
              <w:t>二氧化硫的测定</w:t>
            </w:r>
            <w:r>
              <w:rPr>
                <w:rFonts w:hint="eastAsia"/>
                <w:kern w:val="0"/>
                <w:sz w:val="18"/>
                <w:szCs w:val="18"/>
                <w:lang w:bidi="en-US"/>
              </w:rPr>
              <w:t xml:space="preserve"> </w:t>
            </w:r>
            <w:r>
              <w:rPr>
                <w:kern w:val="0"/>
                <w:sz w:val="18"/>
                <w:szCs w:val="18"/>
                <w:lang w:bidi="en-US"/>
              </w:rPr>
              <w:t>非分散红外吸收法</w:t>
            </w:r>
          </w:p>
        </w:tc>
        <w:tc>
          <w:tcPr>
            <w:tcW w:w="639" w:type="pct"/>
            <w:vAlign w:val="center"/>
          </w:tcPr>
          <w:p>
            <w:pPr>
              <w:snapToGrid w:val="0"/>
              <w:jc w:val="left"/>
              <w:rPr>
                <w:sz w:val="18"/>
                <w:szCs w:val="18"/>
              </w:rPr>
            </w:pPr>
            <w:r>
              <w:rPr>
                <w:kern w:val="0"/>
                <w:sz w:val="18"/>
                <w:szCs w:val="18"/>
                <w:lang w:eastAsia="en-US" w:bidi="en-US"/>
              </w:rPr>
              <w:t>HJ 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kern w:val="0"/>
                <w:sz w:val="18"/>
                <w:szCs w:val="18"/>
              </w:rPr>
            </w:pPr>
          </w:p>
        </w:tc>
        <w:tc>
          <w:tcPr>
            <w:tcW w:w="806" w:type="pct"/>
            <w:vMerge w:val="continue"/>
            <w:vAlign w:val="center"/>
          </w:tcPr>
          <w:p>
            <w:pPr>
              <w:widowControl/>
              <w:snapToGrid w:val="0"/>
              <w:jc w:val="center"/>
              <w:rPr>
                <w:kern w:val="0"/>
                <w:sz w:val="18"/>
                <w:szCs w:val="18"/>
              </w:rPr>
            </w:pPr>
          </w:p>
        </w:tc>
        <w:tc>
          <w:tcPr>
            <w:tcW w:w="3190" w:type="pct"/>
            <w:vAlign w:val="center"/>
          </w:tcPr>
          <w:p>
            <w:pPr>
              <w:snapToGrid w:val="0"/>
              <w:jc w:val="left"/>
              <w:rPr>
                <w:sz w:val="18"/>
                <w:szCs w:val="18"/>
              </w:rPr>
            </w:pPr>
            <w:r>
              <w:rPr>
                <w:rFonts w:hint="eastAsia"/>
                <w:kern w:val="0"/>
                <w:sz w:val="18"/>
                <w:szCs w:val="18"/>
                <w:lang w:bidi="en-US"/>
              </w:rPr>
              <w:t>环境空气 二氧化硫的自动测定 紫外荧光法</w:t>
            </w:r>
          </w:p>
        </w:tc>
        <w:tc>
          <w:tcPr>
            <w:tcW w:w="639" w:type="pct"/>
            <w:vAlign w:val="center"/>
          </w:tcPr>
          <w:p>
            <w:pPr>
              <w:snapToGrid w:val="0"/>
              <w:jc w:val="left"/>
              <w:rPr>
                <w:kern w:val="0"/>
                <w:sz w:val="18"/>
                <w:szCs w:val="18"/>
              </w:rPr>
            </w:pPr>
            <w:r>
              <w:rPr>
                <w:rFonts w:hint="eastAsia"/>
                <w:kern w:val="0"/>
                <w:sz w:val="18"/>
                <w:szCs w:val="18"/>
                <w:lang w:eastAsia="en-US" w:bidi="en-US"/>
              </w:rPr>
              <w:t>HJ</w:t>
            </w:r>
            <w:r>
              <w:rPr>
                <w:kern w:val="0"/>
                <w:sz w:val="18"/>
                <w:szCs w:val="18"/>
                <w:lang w:eastAsia="en-US" w:bidi="en-US"/>
              </w:rPr>
              <w:t xml:space="preserve"> </w:t>
            </w:r>
            <w:r>
              <w:rPr>
                <w:rFonts w:hint="eastAsia"/>
                <w:kern w:val="0"/>
                <w:sz w:val="18"/>
                <w:szCs w:val="18"/>
                <w:lang w:eastAsia="en-US" w:bidi="en-US"/>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vAlign w:val="center"/>
          </w:tcPr>
          <w:p>
            <w:pPr>
              <w:widowControl/>
              <w:snapToGrid w:val="0"/>
              <w:jc w:val="center"/>
              <w:rPr>
                <w:kern w:val="0"/>
                <w:sz w:val="18"/>
                <w:szCs w:val="18"/>
              </w:rPr>
            </w:pPr>
          </w:p>
        </w:tc>
        <w:tc>
          <w:tcPr>
            <w:tcW w:w="806" w:type="pct"/>
            <w:vMerge w:val="continue"/>
            <w:vAlign w:val="center"/>
          </w:tcPr>
          <w:p>
            <w:pPr>
              <w:widowControl/>
              <w:snapToGrid w:val="0"/>
              <w:jc w:val="center"/>
              <w:rPr>
                <w:kern w:val="0"/>
                <w:sz w:val="18"/>
                <w:szCs w:val="18"/>
              </w:rPr>
            </w:pPr>
          </w:p>
        </w:tc>
        <w:tc>
          <w:tcPr>
            <w:tcW w:w="3190" w:type="pct"/>
            <w:tcBorders>
              <w:top w:val="single" w:color="auto" w:sz="4" w:space="0"/>
              <w:bottom w:val="single" w:color="auto" w:sz="4" w:space="0"/>
              <w:right w:val="single" w:color="auto" w:sz="4" w:space="0"/>
            </w:tcBorders>
            <w:vAlign w:val="center"/>
          </w:tcPr>
          <w:p>
            <w:pPr>
              <w:snapToGrid w:val="0"/>
              <w:rPr>
                <w:sz w:val="18"/>
                <w:szCs w:val="18"/>
              </w:rPr>
            </w:pPr>
            <w:r>
              <w:rPr>
                <w:kern w:val="0"/>
                <w:sz w:val="18"/>
                <w:szCs w:val="18"/>
                <w:lang w:bidi="en-US"/>
              </w:rPr>
              <w:t>固定污染源废气 二氧化硫的测定 便携式紫外吸收法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kern w:val="0"/>
                <w:sz w:val="18"/>
                <w:szCs w:val="18"/>
                <w:lang w:eastAsia="en-US" w:bidi="en-US"/>
              </w:rPr>
              <w:t>HJ 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5</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氮氧化物</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固定污染源排气中氮氧化物的测定 紫外分光光度法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固定污染源排气中氮氧化物的测定 盐酸萘乙二胺分光光度法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固定污染源烟气（SO</w:t>
            </w:r>
            <w:r>
              <w:rPr>
                <w:sz w:val="18"/>
                <w:szCs w:val="18"/>
                <w:vertAlign w:val="subscript"/>
              </w:rPr>
              <w:t>2</w:t>
            </w:r>
            <w:r>
              <w:rPr>
                <w:sz w:val="18"/>
                <w:szCs w:val="18"/>
              </w:rPr>
              <w:t>、NO</w:t>
            </w:r>
            <w:r>
              <w:rPr>
                <w:sz w:val="18"/>
                <w:szCs w:val="18"/>
                <w:vertAlign w:val="subscript"/>
              </w:rPr>
              <w:t>x</w:t>
            </w:r>
            <w:r>
              <w:rPr>
                <w:sz w:val="18"/>
                <w:szCs w:val="18"/>
              </w:rPr>
              <w:t>、颗粒物）排放连续监测技术规范</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w:t>
            </w:r>
            <w:r>
              <w:rPr>
                <w:rFonts w:hint="eastAsia"/>
                <w:sz w:val="18"/>
                <w:szCs w:val="18"/>
              </w:rPr>
              <w:t xml:space="preserve"> </w:t>
            </w:r>
            <w:r>
              <w:rPr>
                <w:sz w:val="18"/>
                <w:szCs w:val="18"/>
              </w:rPr>
              <w:t>氮氧化物</w:t>
            </w:r>
            <w:r>
              <w:rPr>
                <w:rFonts w:hint="eastAsia"/>
                <w:sz w:val="18"/>
                <w:szCs w:val="18"/>
              </w:rPr>
              <w:t>（</w:t>
            </w:r>
            <w:r>
              <w:rPr>
                <w:sz w:val="18"/>
                <w:szCs w:val="18"/>
              </w:rPr>
              <w:t>一氧化氮和二氧化氮</w:t>
            </w:r>
            <w:r>
              <w:rPr>
                <w:rFonts w:hint="eastAsia"/>
                <w:sz w:val="18"/>
                <w:szCs w:val="18"/>
              </w:rPr>
              <w:t>）</w:t>
            </w:r>
            <w:r>
              <w:rPr>
                <w:sz w:val="18"/>
                <w:szCs w:val="18"/>
              </w:rPr>
              <w:t>的测定</w:t>
            </w:r>
            <w:r>
              <w:rPr>
                <w:rFonts w:hint="eastAsia"/>
                <w:sz w:val="18"/>
                <w:szCs w:val="18"/>
              </w:rPr>
              <w:t xml:space="preserve"> </w:t>
            </w:r>
            <w:r>
              <w:rPr>
                <w:sz w:val="18"/>
                <w:szCs w:val="18"/>
              </w:rPr>
              <w:t>盐酸萘乙二胺分光光度法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固定污染源排气 氮氧化物的测定 酸碱滴定法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固定污染源废气 氮氧化物的测定 非分散红外吸收法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固定污染源废气 氮氧化物的测定 定电位电解法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固定污染源废气 氮氧化物的测定 便携式紫外吸收法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 氮氧化物的自动测定 化学发光法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1043</w:t>
            </w:r>
          </w:p>
        </w:tc>
      </w:tr>
    </w:tbl>
    <w:p>
      <w:pPr>
        <w:pStyle w:val="28"/>
        <w:overflowPunct w:val="0"/>
        <w:autoSpaceDE/>
        <w:autoSpaceDN/>
        <w:spacing w:before="156" w:beforeLines="50" w:after="156" w:afterLines="50"/>
        <w:ind w:firstLine="0" w:firstLineChars="0"/>
        <w:jc w:val="center"/>
        <w:rPr>
          <w:rFonts w:ascii="黑体" w:hAnsi="黑体" w:eastAsia="黑体"/>
          <w:szCs w:val="21"/>
        </w:rPr>
      </w:pPr>
    </w:p>
    <w:p>
      <w:pPr>
        <w:pStyle w:val="28"/>
        <w:overflowPunct w:val="0"/>
        <w:autoSpaceDE/>
        <w:autoSpaceDN/>
        <w:spacing w:before="156" w:beforeLines="50" w:after="156" w:afterLines="50"/>
        <w:ind w:firstLine="0" w:firstLineChars="0"/>
        <w:jc w:val="center"/>
      </w:pPr>
      <w:r>
        <w:rPr>
          <w:rFonts w:hint="eastAsia" w:ascii="黑体" w:hAnsi="黑体" w:eastAsia="黑体"/>
          <w:szCs w:val="21"/>
        </w:rPr>
        <w:t>表</w:t>
      </w:r>
      <w:r>
        <w:rPr>
          <w:rFonts w:ascii="黑体" w:hAnsi="黑体" w:eastAsia="黑体"/>
          <w:szCs w:val="21"/>
        </w:rPr>
        <w:t xml:space="preserve">4  </w:t>
      </w:r>
      <w:r>
        <w:rPr>
          <w:rFonts w:hint="eastAsia" w:ascii="黑体" w:hAnsi="黑体" w:eastAsia="黑体"/>
          <w:szCs w:val="21"/>
        </w:rPr>
        <w:t>大气污染物浓度测定方法标准（续）</w:t>
      </w:r>
    </w:p>
    <w:tbl>
      <w:tblPr>
        <w:tblStyle w:val="38"/>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539"/>
        <w:gridCol w:w="609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序号</w:t>
            </w:r>
          </w:p>
        </w:tc>
        <w:tc>
          <w:tcPr>
            <w:tcW w:w="806" w:type="pc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污染物项目</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kern w:val="0"/>
                <w:sz w:val="18"/>
                <w:szCs w:val="18"/>
                <w:lang w:eastAsia="en-US" w:bidi="en-US"/>
              </w:rPr>
              <w:t>方法标准名称</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kern w:val="0"/>
                <w:sz w:val="18"/>
                <w:szCs w:val="18"/>
                <w:lang w:eastAsia="en-US" w:bidi="en-US"/>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6</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color w:val="333333"/>
                <w:sz w:val="18"/>
                <w:szCs w:val="18"/>
                <w:shd w:val="clear" w:color="auto" w:fill="FFFFFF"/>
              </w:rPr>
              <w:t>NMHC</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固定污染源废气 总烃、甲烷和非甲烷总烃的测定 气相色谱法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 总烃、甲烷和非甲烷总烃的测定 直接进样-气相色谱法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7</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苯</w:t>
            </w:r>
            <w:r>
              <w:rPr>
                <w:rFonts w:hint="eastAsia"/>
                <w:kern w:val="0"/>
                <w:sz w:val="18"/>
                <w:szCs w:val="18"/>
                <w:lang w:eastAsia="en-US" w:bidi="en-US"/>
              </w:rPr>
              <w:t>、</w:t>
            </w:r>
          </w:p>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甲苯</w:t>
            </w:r>
            <w:r>
              <w:rPr>
                <w:rFonts w:hint="eastAsia"/>
                <w:kern w:val="0"/>
                <w:sz w:val="18"/>
                <w:szCs w:val="18"/>
                <w:lang w:eastAsia="en-US" w:bidi="en-US"/>
              </w:rPr>
              <w:t>、</w:t>
            </w:r>
          </w:p>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二甲苯</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 苯系物的测定 固体吸附/热脱附-气相色谱法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 苯系物的测定 活性炭吸附/二硫化碳解吸-气相色谱法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 挥发性有机物的测定 吸附管采样-热脱附/气相色谱-质谱法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固定污染源废气 挥发性有机物的测定 固相吸附-热脱附/气相色谱-质谱法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 挥发性有机物的测定 罐采样/气相色谱-质谱法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8</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苯系物</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环境空气 挥发性有机物的测定 吸附管采样</w:t>
            </w:r>
            <w:r>
              <w:rPr>
                <w:sz w:val="18"/>
                <w:szCs w:val="18"/>
              </w:rPr>
              <w:t>-</w:t>
            </w:r>
            <w:r>
              <w:rPr>
                <w:rFonts w:hint="eastAsia"/>
                <w:sz w:val="18"/>
                <w:szCs w:val="18"/>
              </w:rPr>
              <w:t>热脱附</w:t>
            </w:r>
            <w:r>
              <w:rPr>
                <w:sz w:val="18"/>
                <w:szCs w:val="18"/>
              </w:rPr>
              <w:t>/</w:t>
            </w:r>
            <w:r>
              <w:rPr>
                <w:rFonts w:hint="eastAsia"/>
                <w:sz w:val="18"/>
                <w:szCs w:val="18"/>
              </w:rPr>
              <w:t>气相色谱</w:t>
            </w:r>
            <w:r>
              <w:rPr>
                <w:sz w:val="18"/>
                <w:szCs w:val="18"/>
              </w:rPr>
              <w:t>-</w:t>
            </w:r>
            <w:r>
              <w:rPr>
                <w:rFonts w:hint="eastAsia"/>
                <w:sz w:val="18"/>
                <w:szCs w:val="18"/>
              </w:rPr>
              <w:t>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固定污染源废气 挥发性有机物的测定 固相吸附</w:t>
            </w:r>
            <w:r>
              <w:rPr>
                <w:sz w:val="18"/>
                <w:szCs w:val="18"/>
              </w:rPr>
              <w:t>-</w:t>
            </w:r>
            <w:r>
              <w:rPr>
                <w:rFonts w:hint="eastAsia"/>
                <w:sz w:val="18"/>
                <w:szCs w:val="18"/>
              </w:rPr>
              <w:t>热脱附/气相色谱</w:t>
            </w:r>
            <w:r>
              <w:rPr>
                <w:sz w:val="18"/>
                <w:szCs w:val="18"/>
              </w:rPr>
              <w:t>-</w:t>
            </w:r>
            <w:r>
              <w:rPr>
                <w:rFonts w:hint="eastAsia"/>
                <w:sz w:val="18"/>
                <w:szCs w:val="18"/>
              </w:rPr>
              <w:t>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环境空气 挥发性有机物的测定 罐采样</w:t>
            </w:r>
            <w:r>
              <w:rPr>
                <w:sz w:val="18"/>
                <w:szCs w:val="18"/>
              </w:rPr>
              <w:t>/</w:t>
            </w:r>
            <w:r>
              <w:rPr>
                <w:rFonts w:hint="eastAsia"/>
                <w:sz w:val="18"/>
                <w:szCs w:val="18"/>
              </w:rPr>
              <w:t>气相色谱</w:t>
            </w:r>
            <w:r>
              <w:rPr>
                <w:sz w:val="18"/>
                <w:szCs w:val="18"/>
              </w:rPr>
              <w:t>-</w:t>
            </w:r>
            <w:r>
              <w:rPr>
                <w:rFonts w:hint="eastAsia"/>
                <w:sz w:val="18"/>
                <w:szCs w:val="18"/>
              </w:rPr>
              <w:t>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9</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一氧化碳</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空气质量</w:t>
            </w:r>
            <w:r>
              <w:rPr>
                <w:rFonts w:hint="eastAsia"/>
                <w:sz w:val="18"/>
                <w:szCs w:val="18"/>
              </w:rPr>
              <w:t xml:space="preserve"> </w:t>
            </w:r>
            <w:r>
              <w:rPr>
                <w:sz w:val="18"/>
                <w:szCs w:val="18"/>
              </w:rPr>
              <w:t>一氧化碳的测定</w:t>
            </w:r>
            <w:r>
              <w:rPr>
                <w:rFonts w:hint="eastAsia"/>
                <w:sz w:val="18"/>
                <w:szCs w:val="18"/>
              </w:rPr>
              <w:t xml:space="preserve"> </w:t>
            </w:r>
            <w:r>
              <w:rPr>
                <w:sz w:val="18"/>
                <w:szCs w:val="18"/>
              </w:rPr>
              <w:t>非分散红外法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GB 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固定污染源排气中一氧化碳的测定</w:t>
            </w:r>
            <w:r>
              <w:rPr>
                <w:rFonts w:hint="eastAsia"/>
                <w:sz w:val="18"/>
                <w:szCs w:val="18"/>
              </w:rPr>
              <w:t xml:space="preserve"> </w:t>
            </w:r>
            <w:r>
              <w:rPr>
                <w:sz w:val="18"/>
                <w:szCs w:val="18"/>
              </w:rPr>
              <w:t>非色散红外吸收法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环境空气 一氧化碳的自动测定 非分散红外法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HJ</w:t>
            </w:r>
            <w:r>
              <w:rPr>
                <w:sz w:val="18"/>
                <w:szCs w:val="18"/>
              </w:rPr>
              <w:t xml:space="preserve"> </w:t>
            </w:r>
            <w:r>
              <w:rPr>
                <w:rFonts w:hint="eastAsia"/>
                <w:sz w:val="18"/>
                <w:szCs w:val="18"/>
              </w:rPr>
              <w:t>9</w:t>
            </w:r>
            <w:r>
              <w:rPr>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固定污染源废气 一氧化碳的测定 定电位电解法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HJ</w:t>
            </w:r>
            <w:r>
              <w:rPr>
                <w:sz w:val="18"/>
                <w:szCs w:val="18"/>
              </w:rPr>
              <w:t xml:space="preserve"> </w:t>
            </w:r>
            <w:r>
              <w:rPr>
                <w:rFonts w:hint="eastAsia"/>
                <w:sz w:val="18"/>
                <w:szCs w:val="18"/>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1</w:t>
            </w:r>
            <w:r>
              <w:rPr>
                <w:kern w:val="0"/>
                <w:sz w:val="18"/>
                <w:szCs w:val="18"/>
                <w:lang w:eastAsia="en-US" w:bidi="en-US"/>
              </w:rPr>
              <w:t>0</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氯化氢</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固定污染源排气中氯化氢的测定</w:t>
            </w:r>
            <w:r>
              <w:rPr>
                <w:rFonts w:hint="eastAsia"/>
                <w:sz w:val="18"/>
                <w:szCs w:val="18"/>
              </w:rPr>
              <w:t xml:space="preserve"> </w:t>
            </w:r>
            <w:r>
              <w:rPr>
                <w:sz w:val="18"/>
                <w:szCs w:val="18"/>
              </w:rPr>
              <w:t>硫氰酸汞分光光度法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固定污染源废气</w:t>
            </w:r>
            <w:r>
              <w:rPr>
                <w:rFonts w:hint="eastAsia"/>
                <w:sz w:val="18"/>
                <w:szCs w:val="18"/>
              </w:rPr>
              <w:t xml:space="preserve"> </w:t>
            </w:r>
            <w:r>
              <w:rPr>
                <w:sz w:val="18"/>
                <w:szCs w:val="18"/>
              </w:rPr>
              <w:t>氯化氢的测定</w:t>
            </w:r>
            <w:r>
              <w:rPr>
                <w:rFonts w:hint="eastAsia"/>
                <w:sz w:val="18"/>
                <w:szCs w:val="18"/>
              </w:rPr>
              <w:t xml:space="preserve"> </w:t>
            </w:r>
            <w:r>
              <w:rPr>
                <w:sz w:val="18"/>
                <w:szCs w:val="18"/>
              </w:rPr>
              <w:t>硝酸银容量法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环境空气和废气</w:t>
            </w:r>
            <w:r>
              <w:rPr>
                <w:rFonts w:hint="eastAsia"/>
                <w:sz w:val="18"/>
                <w:szCs w:val="18"/>
              </w:rPr>
              <w:t xml:space="preserve"> </w:t>
            </w:r>
            <w:r>
              <w:rPr>
                <w:sz w:val="18"/>
                <w:szCs w:val="18"/>
              </w:rPr>
              <w:t>氯化氢的测定</w:t>
            </w:r>
            <w:r>
              <w:rPr>
                <w:rFonts w:hint="eastAsia"/>
                <w:sz w:val="18"/>
                <w:szCs w:val="18"/>
              </w:rPr>
              <w:t xml:space="preserve"> </w:t>
            </w:r>
            <w:r>
              <w:rPr>
                <w:sz w:val="18"/>
                <w:szCs w:val="18"/>
              </w:rPr>
              <w:t>离子色谱法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11</w:t>
            </w:r>
          </w:p>
        </w:tc>
        <w:tc>
          <w:tcPr>
            <w:tcW w:w="806"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氯气</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固定污染源排气中氯气的测定</w:t>
            </w:r>
            <w:r>
              <w:rPr>
                <w:rFonts w:hint="eastAsia"/>
                <w:sz w:val="18"/>
                <w:szCs w:val="18"/>
              </w:rPr>
              <w:t xml:space="preserve"> </w:t>
            </w:r>
            <w:r>
              <w:rPr>
                <w:sz w:val="18"/>
                <w:szCs w:val="18"/>
              </w:rPr>
              <w:t>甲基橙分光光度法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1</w:t>
            </w:r>
            <w:r>
              <w:rPr>
                <w:kern w:val="0"/>
                <w:sz w:val="18"/>
                <w:szCs w:val="18"/>
                <w:lang w:eastAsia="en-US" w:bidi="en-US"/>
              </w:rPr>
              <w:t>2</w:t>
            </w:r>
          </w:p>
        </w:tc>
        <w:tc>
          <w:tcPr>
            <w:tcW w:w="806"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光气</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固定污染源排气中光气的测定 苯胺紫外分光光度法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HJ/T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1</w:t>
            </w:r>
            <w:r>
              <w:rPr>
                <w:kern w:val="0"/>
                <w:sz w:val="18"/>
                <w:szCs w:val="18"/>
                <w:lang w:eastAsia="en-US" w:bidi="en-US"/>
              </w:rPr>
              <w:t>3</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氟化物</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大气固定污染源</w:t>
            </w:r>
            <w:r>
              <w:rPr>
                <w:rFonts w:hint="eastAsia"/>
                <w:sz w:val="18"/>
                <w:szCs w:val="18"/>
              </w:rPr>
              <w:t xml:space="preserve"> </w:t>
            </w:r>
            <w:r>
              <w:rPr>
                <w:sz w:val="18"/>
                <w:szCs w:val="18"/>
              </w:rPr>
              <w:t>氟化物的测定</w:t>
            </w:r>
            <w:r>
              <w:rPr>
                <w:rFonts w:hint="eastAsia"/>
                <w:sz w:val="18"/>
                <w:szCs w:val="18"/>
              </w:rPr>
              <w:t xml:space="preserve"> </w:t>
            </w:r>
            <w:r>
              <w:rPr>
                <w:sz w:val="18"/>
                <w:szCs w:val="18"/>
              </w:rPr>
              <w:t>离子选择电极法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环境空气 氟化物的测定 滤膜采样/氟离子选择电极法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 xml:space="preserve">HJ </w:t>
            </w:r>
            <w:r>
              <w:rPr>
                <w:rFonts w:hint="eastAsia"/>
                <w:sz w:val="18"/>
                <w:szCs w:val="18"/>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14</w:t>
            </w:r>
          </w:p>
        </w:tc>
        <w:tc>
          <w:tcPr>
            <w:tcW w:w="806"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氰化氢</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固定污染源排气中氰化氢的测定 异烟酸-吡唑啉酮分光光度法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HJ/T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1</w:t>
            </w:r>
            <w:r>
              <w:rPr>
                <w:kern w:val="0"/>
                <w:sz w:val="18"/>
                <w:szCs w:val="18"/>
                <w:lang w:eastAsia="en-US" w:bidi="en-US"/>
              </w:rPr>
              <w:t>5</w:t>
            </w:r>
          </w:p>
        </w:tc>
        <w:tc>
          <w:tcPr>
            <w:tcW w:w="806"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硫酸雾</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固定污染源废气</w:t>
            </w:r>
            <w:r>
              <w:rPr>
                <w:rFonts w:hint="eastAsia"/>
                <w:sz w:val="18"/>
                <w:szCs w:val="18"/>
              </w:rPr>
              <w:t xml:space="preserve"> </w:t>
            </w:r>
            <w:r>
              <w:rPr>
                <w:sz w:val="18"/>
                <w:szCs w:val="18"/>
              </w:rPr>
              <w:t>硫酸雾的测定离子色谱法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1</w:t>
            </w:r>
            <w:r>
              <w:rPr>
                <w:kern w:val="0"/>
                <w:sz w:val="18"/>
                <w:szCs w:val="18"/>
                <w:lang w:eastAsia="en-US" w:bidi="en-US"/>
              </w:rPr>
              <w:t>6</w:t>
            </w:r>
          </w:p>
        </w:tc>
        <w:tc>
          <w:tcPr>
            <w:tcW w:w="806" w:type="pct"/>
            <w:tcBorders>
              <w:top w:val="single" w:color="auto" w:sz="4" w:space="0"/>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铬酸雾</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固定污染源排气中铬酸雾的测定 二苯基碳酰二肼分光光度法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HJ/T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17</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汞及其化合物</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固定污染源废气 汞的测定 冷原子荧光分光光度法（暂行）</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环境空气 汞的测定 巯基棉富集</w:t>
            </w:r>
            <w:r>
              <w:rPr>
                <w:sz w:val="18"/>
                <w:szCs w:val="18"/>
              </w:rPr>
              <w:t>-</w:t>
            </w:r>
            <w:r>
              <w:rPr>
                <w:rFonts w:hint="eastAsia"/>
                <w:sz w:val="18"/>
                <w:szCs w:val="18"/>
              </w:rPr>
              <w:t>冷原子荧光分光光度法（暂行）</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18</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铅及其化合物</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环境空气</w:t>
            </w:r>
            <w:r>
              <w:rPr>
                <w:sz w:val="18"/>
                <w:szCs w:val="18"/>
              </w:rPr>
              <w:t xml:space="preserve"> </w:t>
            </w:r>
            <w:r>
              <w:rPr>
                <w:rFonts w:hint="eastAsia"/>
                <w:sz w:val="18"/>
                <w:szCs w:val="18"/>
              </w:rPr>
              <w:t>铅的测定</w:t>
            </w:r>
            <w:r>
              <w:rPr>
                <w:sz w:val="18"/>
                <w:szCs w:val="18"/>
              </w:rPr>
              <w:t xml:space="preserve"> </w:t>
            </w:r>
            <w:r>
              <w:rPr>
                <w:rFonts w:hint="eastAsia"/>
                <w:sz w:val="18"/>
                <w:szCs w:val="18"/>
              </w:rPr>
              <w:t>石墨炉原子吸收分光光度法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空气和废气</w:t>
            </w:r>
            <w:r>
              <w:rPr>
                <w:sz w:val="18"/>
                <w:szCs w:val="18"/>
              </w:rPr>
              <w:t xml:space="preserve"> </w:t>
            </w:r>
            <w:r>
              <w:rPr>
                <w:rFonts w:hint="eastAsia"/>
                <w:sz w:val="18"/>
                <w:szCs w:val="18"/>
              </w:rPr>
              <w:t>颗粒物中铅等金属元素的测定</w:t>
            </w:r>
            <w:r>
              <w:rPr>
                <w:sz w:val="18"/>
                <w:szCs w:val="18"/>
              </w:rPr>
              <w:t xml:space="preserve"> </w:t>
            </w:r>
            <w:r>
              <w:rPr>
                <w:rFonts w:hint="eastAsia"/>
                <w:sz w:val="18"/>
                <w:szCs w:val="18"/>
              </w:rPr>
              <w:t>电感耦合等离子体质谱法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固定污染源废气 铅的测定 火焰原子吸收分光光度法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空气和废气 颗粒物中金属元素的测定 电感耦合等离子体发射光谱法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19</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镉及其化合物</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大气固定污染源</w:t>
            </w:r>
            <w:r>
              <w:rPr>
                <w:sz w:val="18"/>
                <w:szCs w:val="18"/>
              </w:rPr>
              <w:t xml:space="preserve"> </w:t>
            </w:r>
            <w:r>
              <w:rPr>
                <w:rFonts w:hint="eastAsia"/>
                <w:sz w:val="18"/>
                <w:szCs w:val="18"/>
              </w:rPr>
              <w:t>镉的测定</w:t>
            </w:r>
            <w:r>
              <w:rPr>
                <w:sz w:val="18"/>
                <w:szCs w:val="18"/>
              </w:rPr>
              <w:t xml:space="preserve"> </w:t>
            </w:r>
            <w:r>
              <w:rPr>
                <w:rFonts w:hint="eastAsia"/>
                <w:sz w:val="18"/>
                <w:szCs w:val="18"/>
              </w:rPr>
              <w:t>火焰原子吸收分光光度法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大气固定污染源</w:t>
            </w:r>
            <w:r>
              <w:rPr>
                <w:sz w:val="18"/>
                <w:szCs w:val="18"/>
              </w:rPr>
              <w:t xml:space="preserve"> </w:t>
            </w:r>
            <w:r>
              <w:rPr>
                <w:rFonts w:hint="eastAsia"/>
                <w:sz w:val="18"/>
                <w:szCs w:val="18"/>
              </w:rPr>
              <w:t>镉的测定</w:t>
            </w:r>
            <w:r>
              <w:rPr>
                <w:sz w:val="18"/>
                <w:szCs w:val="18"/>
              </w:rPr>
              <w:t xml:space="preserve"> </w:t>
            </w:r>
            <w:r>
              <w:rPr>
                <w:rFonts w:hint="eastAsia"/>
                <w:sz w:val="18"/>
                <w:szCs w:val="18"/>
              </w:rPr>
              <w:t>石墨炉原子吸收分光光度法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大气固定污染源</w:t>
            </w:r>
            <w:r>
              <w:rPr>
                <w:sz w:val="18"/>
                <w:szCs w:val="18"/>
              </w:rPr>
              <w:t xml:space="preserve"> </w:t>
            </w:r>
            <w:r>
              <w:rPr>
                <w:rFonts w:hint="eastAsia"/>
                <w:sz w:val="18"/>
                <w:szCs w:val="18"/>
              </w:rPr>
              <w:t>镉的测定</w:t>
            </w:r>
            <w:r>
              <w:rPr>
                <w:sz w:val="18"/>
                <w:szCs w:val="18"/>
              </w:rPr>
              <w:t xml:space="preserve"> </w:t>
            </w:r>
            <w:r>
              <w:rPr>
                <w:rFonts w:hint="eastAsia"/>
                <w:sz w:val="18"/>
                <w:szCs w:val="18"/>
              </w:rPr>
              <w:t>对</w:t>
            </w:r>
            <w:r>
              <w:rPr>
                <w:sz w:val="18"/>
                <w:szCs w:val="18"/>
              </w:rPr>
              <w:t>-</w:t>
            </w:r>
            <w:r>
              <w:rPr>
                <w:rFonts w:hint="eastAsia"/>
                <w:sz w:val="18"/>
                <w:szCs w:val="18"/>
              </w:rPr>
              <w:t>偶氮苯重氮氨基偶氮苯磺酸分光光度法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HJ/T 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空气和废气</w:t>
            </w:r>
            <w:r>
              <w:rPr>
                <w:sz w:val="18"/>
                <w:szCs w:val="18"/>
              </w:rPr>
              <w:t xml:space="preserve"> </w:t>
            </w:r>
            <w:r>
              <w:rPr>
                <w:rFonts w:hint="eastAsia"/>
                <w:sz w:val="18"/>
                <w:szCs w:val="18"/>
              </w:rPr>
              <w:t>颗粒物中铅等金属元素的测定</w:t>
            </w:r>
            <w:r>
              <w:rPr>
                <w:sz w:val="18"/>
                <w:szCs w:val="18"/>
              </w:rPr>
              <w:t xml:space="preserve"> </w:t>
            </w:r>
            <w:r>
              <w:rPr>
                <w:rFonts w:hint="eastAsia"/>
                <w:sz w:val="18"/>
                <w:szCs w:val="18"/>
              </w:rPr>
              <w:t>电感耦合等离子体质谱法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空气和废气 颗粒物中金属元素的测定 电感耦合等离子体发射光谱法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2</w:t>
            </w:r>
            <w:r>
              <w:rPr>
                <w:kern w:val="0"/>
                <w:sz w:val="18"/>
                <w:szCs w:val="18"/>
                <w:lang w:eastAsia="en-US" w:bidi="en-US"/>
              </w:rPr>
              <w:t>0</w:t>
            </w:r>
          </w:p>
        </w:tc>
        <w:tc>
          <w:tcPr>
            <w:tcW w:w="806" w:type="pct"/>
            <w:vMerge w:val="restar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rFonts w:hint="eastAsia"/>
                <w:kern w:val="0"/>
                <w:sz w:val="18"/>
                <w:szCs w:val="18"/>
                <w:lang w:eastAsia="en-US" w:bidi="en-US"/>
              </w:rPr>
              <w:t>铍及其化合物</w:t>
            </w: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空气和废气</w:t>
            </w:r>
            <w:r>
              <w:rPr>
                <w:sz w:val="18"/>
                <w:szCs w:val="18"/>
              </w:rPr>
              <w:t xml:space="preserve"> </w:t>
            </w:r>
            <w:r>
              <w:rPr>
                <w:rFonts w:hint="eastAsia"/>
                <w:sz w:val="18"/>
                <w:szCs w:val="18"/>
              </w:rPr>
              <w:t>颗粒物中铅等金属元素的测定</w:t>
            </w:r>
            <w:r>
              <w:rPr>
                <w:sz w:val="18"/>
                <w:szCs w:val="18"/>
              </w:rPr>
              <w:t xml:space="preserve"> </w:t>
            </w:r>
            <w:r>
              <w:rPr>
                <w:rFonts w:hint="eastAsia"/>
                <w:sz w:val="18"/>
                <w:szCs w:val="18"/>
              </w:rPr>
              <w:t>电感耦合等离子体质谱法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固定污染源废气 铍的测定 石墨炉原子吸收分光光度法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68</w:t>
            </w: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p>
        </w:tc>
        <w:tc>
          <w:tcPr>
            <w:tcW w:w="3190"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空气和废气 颗粒物中金属元素的测定 电感耦合等离子体发射光谱法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HJ 777</w:t>
            </w:r>
          </w:p>
        </w:tc>
      </w:tr>
    </w:tbl>
    <w:p>
      <w:pPr>
        <w:pStyle w:val="28"/>
        <w:overflowPunct w:val="0"/>
        <w:autoSpaceDE/>
        <w:autoSpaceDN/>
        <w:spacing w:before="156" w:beforeLines="50" w:after="156" w:afterLines="50"/>
        <w:ind w:firstLine="0" w:firstLineChars="0"/>
        <w:jc w:val="center"/>
        <w:rPr>
          <w:rFonts w:ascii="黑体" w:hAnsi="黑体" w:eastAsia="黑体"/>
          <w:szCs w:val="21"/>
        </w:rPr>
      </w:pPr>
    </w:p>
    <w:p>
      <w:pPr>
        <w:pStyle w:val="28"/>
        <w:overflowPunct w:val="0"/>
        <w:autoSpaceDE/>
        <w:autoSpaceDN/>
        <w:spacing w:before="156" w:beforeLines="50" w:after="156" w:afterLines="50"/>
        <w:ind w:firstLine="0" w:firstLineChars="0"/>
        <w:jc w:val="center"/>
      </w:pPr>
      <w:r>
        <w:rPr>
          <w:rFonts w:hint="eastAsia" w:ascii="黑体" w:hAnsi="黑体" w:eastAsia="黑体"/>
          <w:szCs w:val="21"/>
        </w:rPr>
        <w:t>表</w:t>
      </w:r>
      <w:r>
        <w:rPr>
          <w:rFonts w:ascii="黑体" w:hAnsi="黑体" w:eastAsia="黑体"/>
          <w:szCs w:val="21"/>
        </w:rPr>
        <w:t xml:space="preserve">4  </w:t>
      </w:r>
      <w:r>
        <w:rPr>
          <w:rFonts w:hint="eastAsia" w:ascii="黑体" w:hAnsi="黑体" w:eastAsia="黑体"/>
          <w:szCs w:val="21"/>
        </w:rPr>
        <w:t>大气污染物浓度测定方法标准（续）</w:t>
      </w:r>
    </w:p>
    <w:tbl>
      <w:tblPr>
        <w:tblStyle w:val="38"/>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539"/>
        <w:gridCol w:w="6092"/>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序号</w:t>
            </w:r>
          </w:p>
        </w:tc>
        <w:tc>
          <w:tcPr>
            <w:tcW w:w="806" w:type="pct"/>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between w:val="none" w:color="000000" w:sz="0" w:space="0"/>
              </w:pBdr>
              <w:snapToGrid w:val="0"/>
              <w:jc w:val="center"/>
              <w:rPr>
                <w:kern w:val="0"/>
                <w:sz w:val="18"/>
                <w:szCs w:val="18"/>
                <w:lang w:eastAsia="en-US" w:bidi="en-US"/>
              </w:rPr>
            </w:pPr>
            <w:r>
              <w:rPr>
                <w:kern w:val="0"/>
                <w:sz w:val="18"/>
                <w:szCs w:val="18"/>
                <w:lang w:eastAsia="en-US" w:bidi="en-US"/>
              </w:rPr>
              <w:t>污染物项目</w:t>
            </w:r>
          </w:p>
        </w:tc>
        <w:tc>
          <w:tcPr>
            <w:tcW w:w="3191"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kern w:val="0"/>
                <w:sz w:val="18"/>
                <w:szCs w:val="18"/>
                <w:lang w:eastAsia="en-US" w:bidi="en-US"/>
              </w:rPr>
              <w:t>方法标准名称</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kern w:val="0"/>
                <w:sz w:val="18"/>
                <w:szCs w:val="18"/>
                <w:lang w:eastAsia="en-US" w:bidi="en-US"/>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tcBorders>
              <w:top w:val="single" w:color="auto" w:sz="4" w:space="0"/>
              <w:left w:val="single" w:color="auto" w:sz="4" w:space="0"/>
              <w:right w:val="single" w:color="auto" w:sz="4" w:space="0"/>
            </w:tcBorders>
            <w:vAlign w:val="center"/>
          </w:tcPr>
          <w:p>
            <w:pPr>
              <w:widowControl/>
              <w:snapToGrid w:val="0"/>
              <w:jc w:val="center"/>
              <w:rPr>
                <w:kern w:val="0"/>
                <w:sz w:val="18"/>
                <w:szCs w:val="18"/>
              </w:rPr>
            </w:pPr>
            <w:r>
              <w:rPr>
                <w:rFonts w:hint="eastAsia"/>
                <w:kern w:val="0"/>
                <w:sz w:val="18"/>
                <w:szCs w:val="18"/>
              </w:rPr>
              <w:t>2</w:t>
            </w:r>
            <w:r>
              <w:rPr>
                <w:kern w:val="0"/>
                <w:sz w:val="18"/>
                <w:szCs w:val="18"/>
              </w:rPr>
              <w:t>1</w:t>
            </w:r>
          </w:p>
        </w:tc>
        <w:tc>
          <w:tcPr>
            <w:tcW w:w="806" w:type="pct"/>
            <w:vMerge w:val="restart"/>
            <w:tcBorders>
              <w:top w:val="single" w:color="auto" w:sz="4" w:space="0"/>
              <w:left w:val="single" w:color="auto" w:sz="4" w:space="0"/>
              <w:right w:val="single" w:color="auto" w:sz="4" w:space="0"/>
            </w:tcBorders>
            <w:vAlign w:val="center"/>
          </w:tcPr>
          <w:p>
            <w:pPr>
              <w:widowControl/>
              <w:snapToGrid w:val="0"/>
              <w:jc w:val="center"/>
              <w:rPr>
                <w:kern w:val="0"/>
                <w:sz w:val="18"/>
                <w:szCs w:val="18"/>
              </w:rPr>
            </w:pPr>
            <w:r>
              <w:rPr>
                <w:rFonts w:hint="eastAsia"/>
                <w:kern w:val="0"/>
                <w:sz w:val="18"/>
                <w:szCs w:val="18"/>
              </w:rPr>
              <w:t>镍及其化合物</w:t>
            </w:r>
          </w:p>
        </w:tc>
        <w:tc>
          <w:tcPr>
            <w:tcW w:w="3191"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kern w:val="0"/>
                <w:sz w:val="18"/>
                <w:szCs w:val="18"/>
                <w:lang w:bidi="en-US"/>
              </w:rPr>
              <w:t>大气固定污染源</w:t>
            </w:r>
            <w:r>
              <w:rPr>
                <w:kern w:val="0"/>
                <w:sz w:val="18"/>
                <w:szCs w:val="18"/>
                <w:lang w:bidi="en-US"/>
              </w:rPr>
              <w:t xml:space="preserve"> </w:t>
            </w:r>
            <w:r>
              <w:rPr>
                <w:rFonts w:hint="eastAsia"/>
                <w:kern w:val="0"/>
                <w:sz w:val="18"/>
                <w:szCs w:val="18"/>
                <w:lang w:bidi="en-US"/>
              </w:rPr>
              <w:t>镍的测定</w:t>
            </w:r>
            <w:r>
              <w:rPr>
                <w:kern w:val="0"/>
                <w:sz w:val="18"/>
                <w:szCs w:val="18"/>
                <w:lang w:bidi="en-US"/>
              </w:rPr>
              <w:t xml:space="preserve"> </w:t>
            </w:r>
            <w:r>
              <w:rPr>
                <w:rFonts w:hint="eastAsia"/>
                <w:kern w:val="0"/>
                <w:sz w:val="18"/>
                <w:szCs w:val="18"/>
                <w:lang w:bidi="en-US"/>
              </w:rPr>
              <w:t>火焰原子吸收分光光度法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kern w:val="0"/>
                <w:sz w:val="18"/>
                <w:szCs w:val="18"/>
                <w:lang w:eastAsia="en-US" w:bidi="en-US"/>
              </w:rPr>
              <w:t>HJ/T 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4" w:type="pct"/>
            <w:vMerge w:val="continue"/>
            <w:tcBorders>
              <w:left w:val="single" w:color="auto" w:sz="4" w:space="0"/>
              <w:right w:val="single" w:color="auto" w:sz="4" w:space="0"/>
            </w:tcBorders>
            <w:vAlign w:val="center"/>
          </w:tcPr>
          <w:p>
            <w:pPr>
              <w:widowControl/>
              <w:snapToGrid w:val="0"/>
              <w:jc w:val="center"/>
              <w:rPr>
                <w:kern w:val="0"/>
                <w:sz w:val="18"/>
                <w:szCs w:val="18"/>
              </w:rPr>
            </w:pPr>
          </w:p>
        </w:tc>
        <w:tc>
          <w:tcPr>
            <w:tcW w:w="806" w:type="pct"/>
            <w:vMerge w:val="continue"/>
            <w:tcBorders>
              <w:left w:val="single" w:color="auto" w:sz="4" w:space="0"/>
              <w:right w:val="single" w:color="auto" w:sz="4" w:space="0"/>
            </w:tcBorders>
            <w:vAlign w:val="center"/>
          </w:tcPr>
          <w:p>
            <w:pPr>
              <w:widowControl/>
              <w:snapToGrid w:val="0"/>
              <w:jc w:val="center"/>
              <w:rPr>
                <w:kern w:val="0"/>
                <w:sz w:val="18"/>
                <w:szCs w:val="18"/>
              </w:rPr>
            </w:pPr>
          </w:p>
        </w:tc>
        <w:tc>
          <w:tcPr>
            <w:tcW w:w="3191"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kern w:val="0"/>
                <w:sz w:val="18"/>
                <w:szCs w:val="18"/>
                <w:lang w:bidi="en-US"/>
              </w:rPr>
              <w:t>大气固定污染源</w:t>
            </w:r>
            <w:r>
              <w:rPr>
                <w:kern w:val="0"/>
                <w:sz w:val="18"/>
                <w:szCs w:val="18"/>
                <w:lang w:bidi="en-US"/>
              </w:rPr>
              <w:t xml:space="preserve"> </w:t>
            </w:r>
            <w:r>
              <w:rPr>
                <w:rFonts w:hint="eastAsia"/>
                <w:kern w:val="0"/>
                <w:sz w:val="18"/>
                <w:szCs w:val="18"/>
                <w:lang w:bidi="en-US"/>
              </w:rPr>
              <w:t>镍的测定</w:t>
            </w:r>
            <w:r>
              <w:rPr>
                <w:kern w:val="0"/>
                <w:sz w:val="18"/>
                <w:szCs w:val="18"/>
                <w:lang w:bidi="en-US"/>
              </w:rPr>
              <w:t xml:space="preserve"> </w:t>
            </w:r>
            <w:r>
              <w:rPr>
                <w:rFonts w:hint="eastAsia"/>
                <w:kern w:val="0"/>
                <w:sz w:val="18"/>
                <w:szCs w:val="18"/>
                <w:lang w:bidi="en-US"/>
              </w:rPr>
              <w:t>石墨炉原子吸收分光光度法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kern w:val="0"/>
                <w:sz w:val="18"/>
                <w:szCs w:val="18"/>
                <w:lang w:eastAsia="en-US" w:bidi="en-US"/>
              </w:rPr>
              <w:t>HJ/T 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left w:val="single" w:color="auto" w:sz="4" w:space="0"/>
              <w:right w:val="single" w:color="auto" w:sz="4" w:space="0"/>
            </w:tcBorders>
            <w:vAlign w:val="center"/>
          </w:tcPr>
          <w:p>
            <w:pPr>
              <w:widowControl/>
              <w:snapToGrid w:val="0"/>
              <w:jc w:val="center"/>
              <w:rPr>
                <w:kern w:val="0"/>
                <w:sz w:val="18"/>
                <w:szCs w:val="18"/>
              </w:rPr>
            </w:pPr>
          </w:p>
        </w:tc>
        <w:tc>
          <w:tcPr>
            <w:tcW w:w="806" w:type="pct"/>
            <w:vMerge w:val="continue"/>
            <w:tcBorders>
              <w:left w:val="single" w:color="auto" w:sz="4" w:space="0"/>
              <w:right w:val="single" w:color="auto" w:sz="4" w:space="0"/>
            </w:tcBorders>
            <w:vAlign w:val="center"/>
          </w:tcPr>
          <w:p>
            <w:pPr>
              <w:widowControl/>
              <w:snapToGrid w:val="0"/>
              <w:jc w:val="center"/>
              <w:rPr>
                <w:kern w:val="0"/>
                <w:sz w:val="18"/>
                <w:szCs w:val="18"/>
              </w:rPr>
            </w:pPr>
          </w:p>
        </w:tc>
        <w:tc>
          <w:tcPr>
            <w:tcW w:w="3191"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kern w:val="0"/>
                <w:sz w:val="18"/>
                <w:szCs w:val="18"/>
                <w:lang w:bidi="en-US"/>
              </w:rPr>
              <w:t>大气固定污染源</w:t>
            </w:r>
            <w:r>
              <w:rPr>
                <w:kern w:val="0"/>
                <w:sz w:val="18"/>
                <w:szCs w:val="18"/>
                <w:lang w:bidi="en-US"/>
              </w:rPr>
              <w:t xml:space="preserve"> </w:t>
            </w:r>
            <w:r>
              <w:rPr>
                <w:rFonts w:hint="eastAsia"/>
                <w:kern w:val="0"/>
                <w:sz w:val="18"/>
                <w:szCs w:val="18"/>
                <w:lang w:bidi="en-US"/>
              </w:rPr>
              <w:t>镍的测定</w:t>
            </w:r>
            <w:r>
              <w:rPr>
                <w:kern w:val="0"/>
                <w:sz w:val="18"/>
                <w:szCs w:val="18"/>
                <w:lang w:bidi="en-US"/>
              </w:rPr>
              <w:t xml:space="preserve"> </w:t>
            </w:r>
            <w:r>
              <w:rPr>
                <w:rFonts w:hint="eastAsia"/>
                <w:kern w:val="0"/>
                <w:sz w:val="18"/>
                <w:szCs w:val="18"/>
                <w:lang w:bidi="en-US"/>
              </w:rPr>
              <w:t>丁二酮肟</w:t>
            </w:r>
            <w:r>
              <w:rPr>
                <w:kern w:val="0"/>
                <w:sz w:val="18"/>
                <w:szCs w:val="18"/>
                <w:lang w:bidi="en-US"/>
              </w:rPr>
              <w:t>-</w:t>
            </w:r>
            <w:r>
              <w:rPr>
                <w:rFonts w:hint="eastAsia"/>
                <w:kern w:val="0"/>
                <w:sz w:val="18"/>
                <w:szCs w:val="18"/>
                <w:lang w:bidi="en-US"/>
              </w:rPr>
              <w:t>正丁醇萃取分光光度法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kern w:val="0"/>
                <w:sz w:val="18"/>
                <w:szCs w:val="18"/>
                <w:lang w:eastAsia="en-US" w:bidi="en-US"/>
              </w:rPr>
              <w:t>HJ/T 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left w:val="single" w:color="auto" w:sz="4" w:space="0"/>
              <w:right w:val="single" w:color="auto" w:sz="4" w:space="0"/>
            </w:tcBorders>
            <w:vAlign w:val="center"/>
          </w:tcPr>
          <w:p>
            <w:pPr>
              <w:widowControl/>
              <w:snapToGrid w:val="0"/>
              <w:jc w:val="center"/>
              <w:rPr>
                <w:kern w:val="0"/>
                <w:sz w:val="18"/>
                <w:szCs w:val="18"/>
              </w:rPr>
            </w:pPr>
          </w:p>
        </w:tc>
        <w:tc>
          <w:tcPr>
            <w:tcW w:w="806" w:type="pct"/>
            <w:vMerge w:val="continue"/>
            <w:tcBorders>
              <w:left w:val="single" w:color="auto" w:sz="4" w:space="0"/>
              <w:right w:val="single" w:color="auto" w:sz="4" w:space="0"/>
            </w:tcBorders>
            <w:vAlign w:val="center"/>
          </w:tcPr>
          <w:p>
            <w:pPr>
              <w:widowControl/>
              <w:snapToGrid w:val="0"/>
              <w:jc w:val="center"/>
              <w:rPr>
                <w:kern w:val="0"/>
                <w:sz w:val="18"/>
                <w:szCs w:val="18"/>
              </w:rPr>
            </w:pPr>
          </w:p>
        </w:tc>
        <w:tc>
          <w:tcPr>
            <w:tcW w:w="3191"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kern w:val="0"/>
                <w:sz w:val="18"/>
                <w:szCs w:val="18"/>
                <w:lang w:bidi="en-US"/>
              </w:rPr>
              <w:t>空气和废气</w:t>
            </w:r>
            <w:r>
              <w:rPr>
                <w:kern w:val="0"/>
                <w:sz w:val="18"/>
                <w:szCs w:val="18"/>
                <w:lang w:bidi="en-US"/>
              </w:rPr>
              <w:t xml:space="preserve"> </w:t>
            </w:r>
            <w:r>
              <w:rPr>
                <w:rFonts w:hint="eastAsia"/>
                <w:kern w:val="0"/>
                <w:sz w:val="18"/>
                <w:szCs w:val="18"/>
                <w:lang w:bidi="en-US"/>
              </w:rPr>
              <w:t>颗粒物中铅等金属元素的测定</w:t>
            </w:r>
            <w:r>
              <w:rPr>
                <w:kern w:val="0"/>
                <w:sz w:val="18"/>
                <w:szCs w:val="18"/>
                <w:lang w:bidi="en-US"/>
              </w:rPr>
              <w:t xml:space="preserve"> </w:t>
            </w:r>
            <w:r>
              <w:rPr>
                <w:rFonts w:hint="eastAsia"/>
                <w:kern w:val="0"/>
                <w:sz w:val="18"/>
                <w:szCs w:val="18"/>
                <w:lang w:bidi="en-US"/>
              </w:rPr>
              <w:t>电感耦合等离子体质谱法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kern w:val="0"/>
                <w:sz w:val="18"/>
                <w:szCs w:val="18"/>
                <w:lang w:eastAsia="en-US" w:bidi="en-US"/>
              </w:rPr>
              <w:t>HJ 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left w:val="single" w:color="auto" w:sz="4" w:space="0"/>
              <w:bottom w:val="single" w:color="auto" w:sz="4" w:space="0"/>
              <w:right w:val="single" w:color="auto" w:sz="4" w:space="0"/>
            </w:tcBorders>
            <w:vAlign w:val="center"/>
          </w:tcPr>
          <w:p>
            <w:pPr>
              <w:widowControl/>
              <w:snapToGrid w:val="0"/>
              <w:jc w:val="center"/>
              <w:rPr>
                <w:kern w:val="0"/>
                <w:sz w:val="18"/>
                <w:szCs w:val="18"/>
              </w:rPr>
            </w:pPr>
          </w:p>
        </w:tc>
        <w:tc>
          <w:tcPr>
            <w:tcW w:w="806" w:type="pct"/>
            <w:vMerge w:val="continue"/>
            <w:tcBorders>
              <w:left w:val="single" w:color="auto" w:sz="4" w:space="0"/>
              <w:bottom w:val="single" w:color="auto" w:sz="4" w:space="0"/>
              <w:right w:val="single" w:color="auto" w:sz="4" w:space="0"/>
            </w:tcBorders>
            <w:vAlign w:val="center"/>
          </w:tcPr>
          <w:p>
            <w:pPr>
              <w:widowControl/>
              <w:snapToGrid w:val="0"/>
              <w:jc w:val="center"/>
              <w:rPr>
                <w:kern w:val="0"/>
                <w:sz w:val="18"/>
                <w:szCs w:val="18"/>
              </w:rPr>
            </w:pPr>
          </w:p>
        </w:tc>
        <w:tc>
          <w:tcPr>
            <w:tcW w:w="3191" w:type="pct"/>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kern w:val="0"/>
                <w:sz w:val="18"/>
                <w:szCs w:val="18"/>
                <w:lang w:bidi="en-US"/>
              </w:rPr>
              <w:t>空气和废气 颗粒物中金属元素的测定 电感耦合等离子体发射光谱法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kern w:val="0"/>
                <w:sz w:val="18"/>
                <w:szCs w:val="18"/>
                <w:lang w:eastAsia="en-US" w:bidi="en-US"/>
              </w:rPr>
              <w:t>HJ 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shd w:val="clear" w:color="auto" w:fill="auto"/>
            <w:vAlign w:val="center"/>
          </w:tcPr>
          <w:p>
            <w:pPr>
              <w:widowControl/>
              <w:snapToGrid w:val="0"/>
              <w:jc w:val="center"/>
              <w:rPr>
                <w:kern w:val="0"/>
                <w:sz w:val="18"/>
                <w:szCs w:val="18"/>
              </w:rPr>
            </w:pPr>
            <w:r>
              <w:rPr>
                <w:rFonts w:hint="eastAsia"/>
                <w:kern w:val="0"/>
                <w:sz w:val="18"/>
                <w:szCs w:val="18"/>
              </w:rPr>
              <w:t>2</w:t>
            </w:r>
            <w:r>
              <w:rPr>
                <w:kern w:val="0"/>
                <w:sz w:val="18"/>
                <w:szCs w:val="18"/>
              </w:rPr>
              <w:t>2</w:t>
            </w:r>
          </w:p>
        </w:tc>
        <w:tc>
          <w:tcPr>
            <w:tcW w:w="806" w:type="pct"/>
            <w:vMerge w:val="restart"/>
            <w:shd w:val="clear" w:color="auto" w:fill="auto"/>
            <w:vAlign w:val="center"/>
          </w:tcPr>
          <w:p>
            <w:pPr>
              <w:snapToGrid w:val="0"/>
              <w:jc w:val="center"/>
              <w:rPr>
                <w:kern w:val="0"/>
                <w:sz w:val="18"/>
                <w:szCs w:val="18"/>
              </w:rPr>
            </w:pPr>
            <w:r>
              <w:rPr>
                <w:rFonts w:hint="eastAsia"/>
                <w:kern w:val="0"/>
                <w:sz w:val="18"/>
                <w:szCs w:val="18"/>
              </w:rPr>
              <w:t>锡及其化合物</w:t>
            </w: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大气固定污染源</w:t>
            </w:r>
            <w:r>
              <w:rPr>
                <w:kern w:val="0"/>
                <w:sz w:val="18"/>
                <w:szCs w:val="18"/>
              </w:rPr>
              <w:t xml:space="preserve"> </w:t>
            </w:r>
            <w:r>
              <w:rPr>
                <w:rFonts w:hint="eastAsia"/>
                <w:kern w:val="0"/>
                <w:sz w:val="18"/>
                <w:szCs w:val="18"/>
              </w:rPr>
              <w:t>锡的测定</w:t>
            </w:r>
            <w:r>
              <w:rPr>
                <w:kern w:val="0"/>
                <w:sz w:val="18"/>
                <w:szCs w:val="18"/>
              </w:rPr>
              <w:t xml:space="preserve"> </w:t>
            </w:r>
            <w:r>
              <w:rPr>
                <w:rFonts w:hint="eastAsia"/>
                <w:kern w:val="0"/>
                <w:sz w:val="18"/>
                <w:szCs w:val="18"/>
              </w:rPr>
              <w:t>石墨炉原子吸收分光光度法</w:t>
            </w:r>
          </w:p>
        </w:tc>
        <w:tc>
          <w:tcPr>
            <w:tcW w:w="639" w:type="pct"/>
            <w:shd w:val="clear" w:color="auto" w:fill="auto"/>
            <w:vAlign w:val="center"/>
          </w:tcPr>
          <w:p>
            <w:pPr>
              <w:snapToGrid w:val="0"/>
              <w:jc w:val="left"/>
              <w:rPr>
                <w:sz w:val="18"/>
                <w:szCs w:val="18"/>
              </w:rPr>
            </w:pPr>
            <w:r>
              <w:rPr>
                <w:kern w:val="0"/>
                <w:sz w:val="18"/>
                <w:szCs w:val="18"/>
                <w:lang w:eastAsia="en-US" w:bidi="en-US"/>
              </w:rPr>
              <w:t>HJ/T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空气和废气</w:t>
            </w:r>
            <w:r>
              <w:rPr>
                <w:kern w:val="0"/>
                <w:sz w:val="18"/>
                <w:szCs w:val="18"/>
              </w:rPr>
              <w:t xml:space="preserve"> </w:t>
            </w:r>
            <w:r>
              <w:rPr>
                <w:rFonts w:hint="eastAsia"/>
                <w:kern w:val="0"/>
                <w:sz w:val="18"/>
                <w:szCs w:val="18"/>
              </w:rPr>
              <w:t>颗粒物中铅等金属元素的测定</w:t>
            </w:r>
            <w:r>
              <w:rPr>
                <w:kern w:val="0"/>
                <w:sz w:val="18"/>
                <w:szCs w:val="18"/>
              </w:rPr>
              <w:t xml:space="preserve"> </w:t>
            </w:r>
            <w:r>
              <w:rPr>
                <w:rFonts w:hint="eastAsia"/>
                <w:kern w:val="0"/>
                <w:sz w:val="18"/>
                <w:szCs w:val="18"/>
              </w:rPr>
              <w:t>电感耦合等离子体质谱法</w:t>
            </w:r>
          </w:p>
        </w:tc>
        <w:tc>
          <w:tcPr>
            <w:tcW w:w="639" w:type="pct"/>
            <w:shd w:val="clear" w:color="auto" w:fill="auto"/>
            <w:vAlign w:val="center"/>
          </w:tcPr>
          <w:p>
            <w:pPr>
              <w:snapToGrid w:val="0"/>
              <w:jc w:val="left"/>
              <w:rPr>
                <w:sz w:val="18"/>
                <w:szCs w:val="18"/>
              </w:rPr>
            </w:pPr>
            <w:r>
              <w:rPr>
                <w:kern w:val="0"/>
                <w:sz w:val="18"/>
                <w:szCs w:val="18"/>
                <w:lang w:eastAsia="en-US" w:bidi="en-US"/>
              </w:rPr>
              <w:t>HJ 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空气和废气 颗粒物中金属元素的测定 电感耦合等离子体发射光谱法</w:t>
            </w:r>
          </w:p>
        </w:tc>
        <w:tc>
          <w:tcPr>
            <w:tcW w:w="639" w:type="pct"/>
            <w:shd w:val="clear" w:color="auto" w:fill="auto"/>
            <w:vAlign w:val="center"/>
          </w:tcPr>
          <w:p>
            <w:pPr>
              <w:snapToGrid w:val="0"/>
              <w:jc w:val="left"/>
              <w:rPr>
                <w:sz w:val="18"/>
                <w:szCs w:val="18"/>
              </w:rPr>
            </w:pPr>
            <w:r>
              <w:rPr>
                <w:kern w:val="0"/>
                <w:sz w:val="18"/>
                <w:szCs w:val="18"/>
                <w:lang w:eastAsia="en-US" w:bidi="en-US"/>
              </w:rPr>
              <w:t>HJ 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shd w:val="clear" w:color="auto" w:fill="auto"/>
            <w:vAlign w:val="center"/>
          </w:tcPr>
          <w:p>
            <w:pPr>
              <w:widowControl/>
              <w:snapToGrid w:val="0"/>
              <w:jc w:val="center"/>
              <w:rPr>
                <w:kern w:val="0"/>
                <w:sz w:val="18"/>
                <w:szCs w:val="18"/>
              </w:rPr>
            </w:pPr>
            <w:r>
              <w:rPr>
                <w:rFonts w:hint="eastAsia"/>
                <w:kern w:val="0"/>
                <w:sz w:val="18"/>
                <w:szCs w:val="18"/>
              </w:rPr>
              <w:t>2</w:t>
            </w:r>
            <w:r>
              <w:rPr>
                <w:kern w:val="0"/>
                <w:sz w:val="18"/>
                <w:szCs w:val="18"/>
              </w:rPr>
              <w:t>3</w:t>
            </w:r>
          </w:p>
        </w:tc>
        <w:tc>
          <w:tcPr>
            <w:tcW w:w="806" w:type="pct"/>
            <w:vMerge w:val="restart"/>
            <w:shd w:val="clear" w:color="auto" w:fill="auto"/>
            <w:vAlign w:val="center"/>
          </w:tcPr>
          <w:p>
            <w:pPr>
              <w:snapToGrid w:val="0"/>
              <w:jc w:val="center"/>
              <w:rPr>
                <w:kern w:val="0"/>
                <w:sz w:val="18"/>
                <w:szCs w:val="18"/>
              </w:rPr>
            </w:pPr>
            <w:r>
              <w:rPr>
                <w:rFonts w:hint="eastAsia"/>
                <w:kern w:val="0"/>
                <w:sz w:val="18"/>
                <w:szCs w:val="18"/>
              </w:rPr>
              <w:t>砷及其化合物</w:t>
            </w: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固定污染源废气 砷的测定 二乙基二硫代氨基甲酸银分光光度法</w:t>
            </w:r>
          </w:p>
        </w:tc>
        <w:tc>
          <w:tcPr>
            <w:tcW w:w="639" w:type="pct"/>
            <w:shd w:val="clear" w:color="auto" w:fill="auto"/>
            <w:vAlign w:val="center"/>
          </w:tcPr>
          <w:p>
            <w:pPr>
              <w:snapToGrid w:val="0"/>
              <w:jc w:val="left"/>
              <w:rPr>
                <w:sz w:val="18"/>
                <w:szCs w:val="18"/>
              </w:rPr>
            </w:pPr>
            <w:r>
              <w:rPr>
                <w:rFonts w:hint="eastAsia"/>
                <w:kern w:val="0"/>
                <w:sz w:val="18"/>
                <w:szCs w:val="18"/>
                <w:lang w:eastAsia="en-US" w:bidi="en-US"/>
              </w:rPr>
              <w:t>HJ</w:t>
            </w:r>
            <w:r>
              <w:rPr>
                <w:kern w:val="0"/>
                <w:sz w:val="18"/>
                <w:szCs w:val="18"/>
                <w:lang w:eastAsia="en-US" w:bidi="en-US"/>
              </w:rPr>
              <w:t xml:space="preserve"> </w:t>
            </w:r>
            <w:r>
              <w:rPr>
                <w:rFonts w:hint="eastAsia"/>
                <w:kern w:val="0"/>
                <w:sz w:val="18"/>
                <w:szCs w:val="18"/>
                <w:lang w:eastAsia="en-US" w:bidi="en-US"/>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空气和废气</w:t>
            </w:r>
            <w:r>
              <w:rPr>
                <w:kern w:val="0"/>
                <w:sz w:val="18"/>
                <w:szCs w:val="18"/>
              </w:rPr>
              <w:t xml:space="preserve"> </w:t>
            </w:r>
            <w:r>
              <w:rPr>
                <w:rFonts w:hint="eastAsia"/>
                <w:kern w:val="0"/>
                <w:sz w:val="18"/>
                <w:szCs w:val="18"/>
              </w:rPr>
              <w:t>颗粒物中铅等金属元素的测定</w:t>
            </w:r>
            <w:r>
              <w:rPr>
                <w:kern w:val="0"/>
                <w:sz w:val="18"/>
                <w:szCs w:val="18"/>
              </w:rPr>
              <w:t xml:space="preserve"> </w:t>
            </w:r>
            <w:r>
              <w:rPr>
                <w:rFonts w:hint="eastAsia"/>
                <w:kern w:val="0"/>
                <w:sz w:val="18"/>
                <w:szCs w:val="18"/>
              </w:rPr>
              <w:t>电感耦合等离子体质谱法</w:t>
            </w:r>
          </w:p>
        </w:tc>
        <w:tc>
          <w:tcPr>
            <w:tcW w:w="639" w:type="pct"/>
            <w:shd w:val="clear" w:color="auto" w:fill="auto"/>
            <w:vAlign w:val="center"/>
          </w:tcPr>
          <w:p>
            <w:pPr>
              <w:snapToGrid w:val="0"/>
              <w:jc w:val="left"/>
              <w:rPr>
                <w:sz w:val="18"/>
                <w:szCs w:val="18"/>
              </w:rPr>
            </w:pPr>
            <w:r>
              <w:rPr>
                <w:kern w:val="0"/>
                <w:sz w:val="18"/>
                <w:szCs w:val="18"/>
                <w:lang w:eastAsia="en-US" w:bidi="en-US"/>
              </w:rPr>
              <w:t>HJ 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空气和废气</w:t>
            </w:r>
            <w:r>
              <w:rPr>
                <w:kern w:val="0"/>
                <w:sz w:val="18"/>
                <w:szCs w:val="18"/>
              </w:rPr>
              <w:t xml:space="preserve"> </w:t>
            </w:r>
            <w:r>
              <w:rPr>
                <w:rFonts w:hint="eastAsia"/>
                <w:kern w:val="0"/>
                <w:sz w:val="18"/>
                <w:szCs w:val="18"/>
              </w:rPr>
              <w:t>颗粒物中金属元素的测定</w:t>
            </w:r>
            <w:r>
              <w:rPr>
                <w:kern w:val="0"/>
                <w:sz w:val="18"/>
                <w:szCs w:val="18"/>
              </w:rPr>
              <w:t xml:space="preserve"> </w:t>
            </w:r>
            <w:r>
              <w:rPr>
                <w:rFonts w:hint="eastAsia"/>
                <w:kern w:val="0"/>
                <w:sz w:val="18"/>
                <w:szCs w:val="18"/>
              </w:rPr>
              <w:t>电感耦合等离子体发射光谱法</w:t>
            </w:r>
          </w:p>
        </w:tc>
        <w:tc>
          <w:tcPr>
            <w:tcW w:w="639" w:type="pct"/>
            <w:shd w:val="clear" w:color="auto" w:fill="auto"/>
            <w:vAlign w:val="center"/>
          </w:tcPr>
          <w:p>
            <w:pPr>
              <w:snapToGrid w:val="0"/>
              <w:jc w:val="left"/>
              <w:rPr>
                <w:sz w:val="18"/>
                <w:szCs w:val="18"/>
              </w:rPr>
            </w:pPr>
            <w:r>
              <w:rPr>
                <w:kern w:val="0"/>
                <w:sz w:val="18"/>
                <w:szCs w:val="18"/>
                <w:lang w:eastAsia="en-US" w:bidi="en-US"/>
              </w:rPr>
              <w:t>HJ 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环境空气和废气 颗粒物中砷、硒、铋、锑的测定原子荧光法</w:t>
            </w:r>
          </w:p>
        </w:tc>
        <w:tc>
          <w:tcPr>
            <w:tcW w:w="639" w:type="pct"/>
            <w:shd w:val="clear" w:color="auto" w:fill="auto"/>
            <w:vAlign w:val="center"/>
          </w:tcPr>
          <w:p>
            <w:pPr>
              <w:snapToGrid w:val="0"/>
              <w:jc w:val="left"/>
              <w:rPr>
                <w:sz w:val="18"/>
                <w:szCs w:val="18"/>
              </w:rPr>
            </w:pPr>
            <w:r>
              <w:rPr>
                <w:rFonts w:hint="eastAsia"/>
                <w:kern w:val="0"/>
                <w:sz w:val="18"/>
                <w:szCs w:val="18"/>
                <w:lang w:eastAsia="en-US" w:bidi="en-US"/>
              </w:rPr>
              <w:t>HJ 113</w:t>
            </w:r>
            <w:r>
              <w:rPr>
                <w:kern w:val="0"/>
                <w:sz w:val="18"/>
                <w:szCs w:val="18"/>
                <w:lang w:eastAsia="en-US"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shd w:val="clear" w:color="auto" w:fill="auto"/>
            <w:vAlign w:val="center"/>
          </w:tcPr>
          <w:p>
            <w:pPr>
              <w:widowControl/>
              <w:snapToGrid w:val="0"/>
              <w:jc w:val="center"/>
              <w:rPr>
                <w:kern w:val="0"/>
                <w:sz w:val="18"/>
                <w:szCs w:val="18"/>
              </w:rPr>
            </w:pPr>
            <w:r>
              <w:rPr>
                <w:rFonts w:hint="eastAsia"/>
                <w:kern w:val="0"/>
                <w:sz w:val="18"/>
                <w:szCs w:val="18"/>
              </w:rPr>
              <w:t>2</w:t>
            </w:r>
            <w:r>
              <w:rPr>
                <w:kern w:val="0"/>
                <w:sz w:val="18"/>
                <w:szCs w:val="18"/>
              </w:rPr>
              <w:t>4</w:t>
            </w:r>
          </w:p>
        </w:tc>
        <w:tc>
          <w:tcPr>
            <w:tcW w:w="806" w:type="pct"/>
            <w:vMerge w:val="restart"/>
            <w:shd w:val="clear" w:color="auto" w:fill="auto"/>
            <w:vAlign w:val="center"/>
          </w:tcPr>
          <w:p>
            <w:pPr>
              <w:snapToGrid w:val="0"/>
              <w:jc w:val="center"/>
              <w:rPr>
                <w:kern w:val="0"/>
                <w:sz w:val="18"/>
                <w:szCs w:val="18"/>
              </w:rPr>
            </w:pPr>
            <w:r>
              <w:rPr>
                <w:rFonts w:hint="eastAsia"/>
                <w:kern w:val="0"/>
                <w:sz w:val="18"/>
                <w:szCs w:val="18"/>
              </w:rPr>
              <w:t>铬及其化合物</w:t>
            </w: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空气和废气</w:t>
            </w:r>
            <w:r>
              <w:rPr>
                <w:kern w:val="0"/>
                <w:sz w:val="18"/>
                <w:szCs w:val="18"/>
              </w:rPr>
              <w:t xml:space="preserve"> </w:t>
            </w:r>
            <w:r>
              <w:rPr>
                <w:rFonts w:hint="eastAsia"/>
                <w:kern w:val="0"/>
                <w:sz w:val="18"/>
                <w:szCs w:val="18"/>
              </w:rPr>
              <w:t>颗粒物中铅等金属元素的测定</w:t>
            </w:r>
            <w:r>
              <w:rPr>
                <w:kern w:val="0"/>
                <w:sz w:val="18"/>
                <w:szCs w:val="18"/>
              </w:rPr>
              <w:t xml:space="preserve"> </w:t>
            </w:r>
            <w:r>
              <w:rPr>
                <w:rFonts w:hint="eastAsia"/>
                <w:kern w:val="0"/>
                <w:sz w:val="18"/>
                <w:szCs w:val="18"/>
              </w:rPr>
              <w:t>电感耦合等离子体质谱法</w:t>
            </w:r>
          </w:p>
        </w:tc>
        <w:tc>
          <w:tcPr>
            <w:tcW w:w="639" w:type="pct"/>
            <w:shd w:val="clear" w:color="auto" w:fill="auto"/>
            <w:vAlign w:val="center"/>
          </w:tcPr>
          <w:p>
            <w:pPr>
              <w:snapToGrid w:val="0"/>
              <w:jc w:val="left"/>
              <w:rPr>
                <w:sz w:val="18"/>
                <w:szCs w:val="18"/>
              </w:rPr>
            </w:pPr>
            <w:r>
              <w:rPr>
                <w:kern w:val="0"/>
                <w:sz w:val="18"/>
                <w:szCs w:val="18"/>
                <w:lang w:eastAsia="en-US" w:bidi="en-US"/>
              </w:rPr>
              <w:t>HJ 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空气和废气 颗粒物中金属元素的测定 电感耦合等离子体发射光谱法</w:t>
            </w:r>
          </w:p>
        </w:tc>
        <w:tc>
          <w:tcPr>
            <w:tcW w:w="639" w:type="pct"/>
            <w:shd w:val="clear" w:color="auto" w:fill="auto"/>
            <w:vAlign w:val="center"/>
          </w:tcPr>
          <w:p>
            <w:pPr>
              <w:snapToGrid w:val="0"/>
              <w:jc w:val="left"/>
              <w:rPr>
                <w:kern w:val="0"/>
                <w:sz w:val="18"/>
                <w:szCs w:val="18"/>
                <w:lang w:eastAsia="en-US" w:bidi="en-US"/>
              </w:rPr>
            </w:pPr>
            <w:r>
              <w:rPr>
                <w:kern w:val="0"/>
                <w:sz w:val="18"/>
                <w:szCs w:val="18"/>
                <w:lang w:eastAsia="en-US" w:bidi="en-US"/>
              </w:rPr>
              <w:t>HJ 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shd w:val="clear" w:color="auto" w:fill="auto"/>
            <w:vAlign w:val="center"/>
          </w:tcPr>
          <w:p>
            <w:pPr>
              <w:widowControl/>
              <w:snapToGrid w:val="0"/>
              <w:jc w:val="center"/>
              <w:rPr>
                <w:kern w:val="0"/>
                <w:sz w:val="18"/>
                <w:szCs w:val="18"/>
              </w:rPr>
            </w:pPr>
            <w:r>
              <w:rPr>
                <w:rFonts w:hint="eastAsia"/>
                <w:kern w:val="0"/>
                <w:sz w:val="18"/>
                <w:szCs w:val="18"/>
              </w:rPr>
              <w:t>2</w:t>
            </w:r>
            <w:r>
              <w:rPr>
                <w:kern w:val="0"/>
                <w:sz w:val="18"/>
                <w:szCs w:val="18"/>
              </w:rPr>
              <w:t>5</w:t>
            </w:r>
          </w:p>
        </w:tc>
        <w:tc>
          <w:tcPr>
            <w:tcW w:w="806" w:type="pct"/>
            <w:vMerge w:val="restart"/>
            <w:shd w:val="clear" w:color="auto" w:fill="auto"/>
            <w:vAlign w:val="center"/>
          </w:tcPr>
          <w:p>
            <w:pPr>
              <w:snapToGrid w:val="0"/>
              <w:jc w:val="center"/>
              <w:rPr>
                <w:kern w:val="0"/>
                <w:sz w:val="18"/>
                <w:szCs w:val="18"/>
              </w:rPr>
            </w:pPr>
            <w:r>
              <w:rPr>
                <w:kern w:val="0"/>
                <w:sz w:val="18"/>
                <w:szCs w:val="18"/>
                <w:lang w:eastAsia="en-US" w:bidi="en-US"/>
              </w:rPr>
              <w:t>甲醛</w:t>
            </w:r>
          </w:p>
        </w:tc>
        <w:tc>
          <w:tcPr>
            <w:tcW w:w="3191" w:type="pct"/>
            <w:shd w:val="clear" w:color="auto" w:fill="auto"/>
            <w:vAlign w:val="center"/>
          </w:tcPr>
          <w:p>
            <w:pPr>
              <w:autoSpaceDE w:val="0"/>
              <w:autoSpaceDN w:val="0"/>
              <w:adjustRightInd w:val="0"/>
              <w:snapToGrid w:val="0"/>
              <w:jc w:val="left"/>
              <w:rPr>
                <w:kern w:val="0"/>
                <w:sz w:val="18"/>
                <w:szCs w:val="18"/>
              </w:rPr>
            </w:pPr>
            <w:r>
              <w:rPr>
                <w:sz w:val="18"/>
                <w:szCs w:val="18"/>
              </w:rPr>
              <w:t>空气质量</w:t>
            </w:r>
            <w:r>
              <w:rPr>
                <w:rFonts w:hint="eastAsia"/>
                <w:sz w:val="18"/>
                <w:szCs w:val="18"/>
              </w:rPr>
              <w:t xml:space="preserve"> </w:t>
            </w:r>
            <w:r>
              <w:rPr>
                <w:sz w:val="18"/>
                <w:szCs w:val="18"/>
              </w:rPr>
              <w:t>甲醛的测定</w:t>
            </w:r>
            <w:r>
              <w:rPr>
                <w:rFonts w:hint="eastAsia"/>
                <w:sz w:val="18"/>
                <w:szCs w:val="18"/>
              </w:rPr>
              <w:t xml:space="preserve"> </w:t>
            </w:r>
            <w:r>
              <w:rPr>
                <w:sz w:val="18"/>
                <w:szCs w:val="18"/>
              </w:rPr>
              <w:t>乙酰丙酮分光光度法</w:t>
            </w:r>
          </w:p>
        </w:tc>
        <w:tc>
          <w:tcPr>
            <w:tcW w:w="639" w:type="pct"/>
            <w:shd w:val="clear" w:color="auto" w:fill="auto"/>
            <w:vAlign w:val="center"/>
          </w:tcPr>
          <w:p>
            <w:pPr>
              <w:snapToGrid w:val="0"/>
              <w:jc w:val="left"/>
              <w:rPr>
                <w:kern w:val="0"/>
                <w:sz w:val="18"/>
                <w:szCs w:val="18"/>
                <w:lang w:eastAsia="en-US" w:bidi="en-US"/>
              </w:rPr>
            </w:pPr>
            <w:r>
              <w:rPr>
                <w:sz w:val="18"/>
                <w:szCs w:val="18"/>
              </w:rPr>
              <w:t>GB/T 15516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环境</w:t>
            </w:r>
            <w:r>
              <w:rPr>
                <w:sz w:val="18"/>
                <w:szCs w:val="18"/>
              </w:rPr>
              <w:t>空气</w:t>
            </w:r>
            <w:r>
              <w:rPr>
                <w:rFonts w:hint="eastAsia"/>
                <w:sz w:val="18"/>
                <w:szCs w:val="18"/>
              </w:rPr>
              <w:t xml:space="preserve"> </w:t>
            </w:r>
            <w:r>
              <w:rPr>
                <w:sz w:val="18"/>
                <w:szCs w:val="18"/>
              </w:rPr>
              <w:t>醛、酮类化合物的测定</w:t>
            </w:r>
            <w:r>
              <w:rPr>
                <w:rFonts w:hint="eastAsia"/>
                <w:sz w:val="18"/>
                <w:szCs w:val="18"/>
              </w:rPr>
              <w:t xml:space="preserve"> </w:t>
            </w:r>
            <w:r>
              <w:rPr>
                <w:sz w:val="18"/>
                <w:szCs w:val="18"/>
              </w:rPr>
              <w:t>高效液相色谱法</w:t>
            </w:r>
          </w:p>
        </w:tc>
        <w:tc>
          <w:tcPr>
            <w:tcW w:w="639" w:type="pct"/>
            <w:shd w:val="clear" w:color="auto" w:fill="auto"/>
            <w:vAlign w:val="center"/>
          </w:tcPr>
          <w:p>
            <w:pPr>
              <w:snapToGrid w:val="0"/>
              <w:jc w:val="left"/>
              <w:rPr>
                <w:kern w:val="0"/>
                <w:sz w:val="18"/>
                <w:szCs w:val="18"/>
                <w:lang w:eastAsia="en-US" w:bidi="en-US"/>
              </w:rPr>
            </w:pPr>
            <w:r>
              <w:rPr>
                <w:sz w:val="18"/>
                <w:szCs w:val="18"/>
              </w:rPr>
              <w:t>HJ 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固定污染源废气 醛、酮类化合物的测定 溶液吸收-高效液相色谱法</w:t>
            </w:r>
          </w:p>
        </w:tc>
        <w:tc>
          <w:tcPr>
            <w:tcW w:w="639" w:type="pct"/>
            <w:shd w:val="clear" w:color="auto" w:fill="auto"/>
            <w:vAlign w:val="center"/>
          </w:tcPr>
          <w:p>
            <w:pPr>
              <w:snapToGrid w:val="0"/>
              <w:jc w:val="left"/>
              <w:rPr>
                <w:kern w:val="0"/>
                <w:sz w:val="18"/>
                <w:szCs w:val="18"/>
                <w:lang w:eastAsia="en-US" w:bidi="en-US"/>
              </w:rPr>
            </w:pPr>
            <w:r>
              <w:rPr>
                <w:rFonts w:hint="eastAsia"/>
                <w:sz w:val="18"/>
                <w:szCs w:val="18"/>
              </w:rPr>
              <w:t>HJ 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环境空气 醛、酮类化合物的测定 溶液吸收-高效液相色谱法</w:t>
            </w:r>
          </w:p>
        </w:tc>
        <w:tc>
          <w:tcPr>
            <w:tcW w:w="639" w:type="pct"/>
            <w:shd w:val="clear" w:color="auto" w:fill="auto"/>
            <w:vAlign w:val="center"/>
          </w:tcPr>
          <w:p>
            <w:pPr>
              <w:snapToGrid w:val="0"/>
              <w:jc w:val="left"/>
              <w:rPr>
                <w:kern w:val="0"/>
                <w:sz w:val="18"/>
                <w:szCs w:val="18"/>
                <w:lang w:eastAsia="en-US" w:bidi="en-US"/>
              </w:rPr>
            </w:pPr>
            <w:r>
              <w:rPr>
                <w:rFonts w:hint="eastAsia"/>
                <w:sz w:val="18"/>
                <w:szCs w:val="18"/>
              </w:rPr>
              <w:t>HJ 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shd w:val="clear" w:color="auto" w:fill="auto"/>
            <w:vAlign w:val="center"/>
          </w:tcPr>
          <w:p>
            <w:pPr>
              <w:widowControl/>
              <w:snapToGrid w:val="0"/>
              <w:jc w:val="center"/>
              <w:rPr>
                <w:kern w:val="0"/>
                <w:sz w:val="18"/>
                <w:szCs w:val="18"/>
              </w:rPr>
            </w:pPr>
            <w:r>
              <w:rPr>
                <w:kern w:val="0"/>
                <w:sz w:val="18"/>
                <w:szCs w:val="18"/>
              </w:rPr>
              <w:t>26</w:t>
            </w:r>
          </w:p>
        </w:tc>
        <w:tc>
          <w:tcPr>
            <w:tcW w:w="806" w:type="pct"/>
            <w:vMerge w:val="restart"/>
            <w:shd w:val="clear" w:color="auto" w:fill="auto"/>
            <w:vAlign w:val="center"/>
          </w:tcPr>
          <w:p>
            <w:pPr>
              <w:snapToGrid w:val="0"/>
              <w:jc w:val="center"/>
              <w:rPr>
                <w:kern w:val="0"/>
                <w:sz w:val="18"/>
                <w:szCs w:val="18"/>
              </w:rPr>
            </w:pPr>
            <w:r>
              <w:rPr>
                <w:kern w:val="0"/>
                <w:sz w:val="18"/>
                <w:szCs w:val="18"/>
                <w:lang w:eastAsia="en-US" w:bidi="en-US"/>
              </w:rPr>
              <w:t>乙醛</w:t>
            </w:r>
          </w:p>
        </w:tc>
        <w:tc>
          <w:tcPr>
            <w:tcW w:w="3191" w:type="pct"/>
            <w:shd w:val="clear" w:color="auto" w:fill="auto"/>
            <w:vAlign w:val="center"/>
          </w:tcPr>
          <w:p>
            <w:pPr>
              <w:autoSpaceDE w:val="0"/>
              <w:autoSpaceDN w:val="0"/>
              <w:adjustRightInd w:val="0"/>
              <w:snapToGrid w:val="0"/>
              <w:jc w:val="left"/>
              <w:rPr>
                <w:kern w:val="0"/>
                <w:sz w:val="18"/>
                <w:szCs w:val="18"/>
              </w:rPr>
            </w:pPr>
            <w:r>
              <w:rPr>
                <w:sz w:val="18"/>
                <w:szCs w:val="18"/>
              </w:rPr>
              <w:t>固定污染源排气中乙醛的测定</w:t>
            </w:r>
            <w:r>
              <w:rPr>
                <w:rFonts w:hint="eastAsia"/>
                <w:sz w:val="18"/>
                <w:szCs w:val="18"/>
              </w:rPr>
              <w:t xml:space="preserve"> </w:t>
            </w:r>
            <w:r>
              <w:rPr>
                <w:sz w:val="18"/>
                <w:szCs w:val="18"/>
              </w:rPr>
              <w:t>气相色谱法</w:t>
            </w:r>
          </w:p>
        </w:tc>
        <w:tc>
          <w:tcPr>
            <w:tcW w:w="639" w:type="pct"/>
            <w:shd w:val="clear" w:color="auto" w:fill="auto"/>
            <w:vAlign w:val="center"/>
          </w:tcPr>
          <w:p>
            <w:pPr>
              <w:snapToGrid w:val="0"/>
              <w:jc w:val="left"/>
              <w:rPr>
                <w:kern w:val="0"/>
                <w:sz w:val="18"/>
                <w:szCs w:val="18"/>
                <w:lang w:eastAsia="en-US" w:bidi="en-US"/>
              </w:rPr>
            </w:pPr>
            <w:r>
              <w:rPr>
                <w:sz w:val="18"/>
                <w:szCs w:val="18"/>
              </w:rPr>
              <w:t>HJ/T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环境</w:t>
            </w:r>
            <w:r>
              <w:rPr>
                <w:sz w:val="18"/>
                <w:szCs w:val="18"/>
              </w:rPr>
              <w:t>空气</w:t>
            </w:r>
            <w:r>
              <w:rPr>
                <w:rFonts w:hint="eastAsia"/>
                <w:sz w:val="18"/>
                <w:szCs w:val="18"/>
              </w:rPr>
              <w:t xml:space="preserve"> </w:t>
            </w:r>
            <w:r>
              <w:rPr>
                <w:sz w:val="18"/>
                <w:szCs w:val="18"/>
              </w:rPr>
              <w:t>醛、酮类化合物的测定</w:t>
            </w:r>
            <w:r>
              <w:rPr>
                <w:rFonts w:hint="eastAsia"/>
                <w:sz w:val="18"/>
                <w:szCs w:val="18"/>
              </w:rPr>
              <w:t xml:space="preserve"> </w:t>
            </w:r>
            <w:r>
              <w:rPr>
                <w:sz w:val="18"/>
                <w:szCs w:val="18"/>
              </w:rPr>
              <w:t>高效液相色谱法</w:t>
            </w:r>
          </w:p>
        </w:tc>
        <w:tc>
          <w:tcPr>
            <w:tcW w:w="639" w:type="pct"/>
            <w:shd w:val="clear" w:color="auto" w:fill="auto"/>
            <w:vAlign w:val="center"/>
          </w:tcPr>
          <w:p>
            <w:pPr>
              <w:snapToGrid w:val="0"/>
              <w:jc w:val="left"/>
              <w:rPr>
                <w:kern w:val="0"/>
                <w:sz w:val="18"/>
                <w:szCs w:val="18"/>
                <w:lang w:eastAsia="en-US" w:bidi="en-US"/>
              </w:rPr>
            </w:pPr>
            <w:r>
              <w:rPr>
                <w:sz w:val="18"/>
                <w:szCs w:val="18"/>
              </w:rPr>
              <w:t>HJ 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固定污染源废气 醛、酮类化合物的测定 溶液吸收-高效液相色谱法</w:t>
            </w:r>
          </w:p>
        </w:tc>
        <w:tc>
          <w:tcPr>
            <w:tcW w:w="639" w:type="pct"/>
            <w:shd w:val="clear" w:color="auto" w:fill="auto"/>
            <w:vAlign w:val="center"/>
          </w:tcPr>
          <w:p>
            <w:pPr>
              <w:snapToGrid w:val="0"/>
              <w:jc w:val="left"/>
              <w:rPr>
                <w:kern w:val="0"/>
                <w:sz w:val="18"/>
                <w:szCs w:val="18"/>
                <w:lang w:eastAsia="en-US" w:bidi="en-US"/>
              </w:rPr>
            </w:pPr>
            <w:r>
              <w:rPr>
                <w:rFonts w:hint="eastAsia"/>
                <w:sz w:val="18"/>
                <w:szCs w:val="18"/>
              </w:rPr>
              <w:t>HJ 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环境空气 醛、酮类化合物的测定 溶液吸收-高效液相色谱法</w:t>
            </w:r>
          </w:p>
        </w:tc>
        <w:tc>
          <w:tcPr>
            <w:tcW w:w="639" w:type="pct"/>
            <w:shd w:val="clear" w:color="auto" w:fill="auto"/>
            <w:vAlign w:val="center"/>
          </w:tcPr>
          <w:p>
            <w:pPr>
              <w:snapToGrid w:val="0"/>
              <w:jc w:val="left"/>
              <w:rPr>
                <w:kern w:val="0"/>
                <w:sz w:val="18"/>
                <w:szCs w:val="18"/>
                <w:lang w:eastAsia="en-US" w:bidi="en-US"/>
              </w:rPr>
            </w:pPr>
            <w:r>
              <w:rPr>
                <w:rFonts w:hint="eastAsia"/>
                <w:sz w:val="18"/>
                <w:szCs w:val="18"/>
              </w:rPr>
              <w:t>HJ 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shd w:val="clear" w:color="auto" w:fill="auto"/>
            <w:vAlign w:val="center"/>
          </w:tcPr>
          <w:p>
            <w:pPr>
              <w:widowControl/>
              <w:snapToGrid w:val="0"/>
              <w:jc w:val="center"/>
              <w:rPr>
                <w:kern w:val="0"/>
                <w:sz w:val="18"/>
                <w:szCs w:val="18"/>
              </w:rPr>
            </w:pPr>
            <w:r>
              <w:rPr>
                <w:rFonts w:hint="eastAsia"/>
                <w:kern w:val="0"/>
                <w:sz w:val="18"/>
                <w:szCs w:val="18"/>
              </w:rPr>
              <w:t>2</w:t>
            </w:r>
            <w:r>
              <w:rPr>
                <w:kern w:val="0"/>
                <w:sz w:val="18"/>
                <w:szCs w:val="18"/>
              </w:rPr>
              <w:t>7</w:t>
            </w:r>
          </w:p>
        </w:tc>
        <w:tc>
          <w:tcPr>
            <w:tcW w:w="806" w:type="pct"/>
            <w:vMerge w:val="restart"/>
            <w:shd w:val="clear" w:color="auto" w:fill="auto"/>
            <w:vAlign w:val="center"/>
          </w:tcPr>
          <w:p>
            <w:pPr>
              <w:snapToGrid w:val="0"/>
              <w:jc w:val="center"/>
              <w:rPr>
                <w:kern w:val="0"/>
                <w:sz w:val="18"/>
                <w:szCs w:val="18"/>
              </w:rPr>
            </w:pPr>
            <w:r>
              <w:rPr>
                <w:kern w:val="0"/>
                <w:sz w:val="18"/>
                <w:szCs w:val="18"/>
                <w:lang w:eastAsia="en-US" w:bidi="en-US"/>
              </w:rPr>
              <w:t>丙烯醛</w:t>
            </w:r>
          </w:p>
        </w:tc>
        <w:tc>
          <w:tcPr>
            <w:tcW w:w="3191" w:type="pct"/>
            <w:shd w:val="clear" w:color="auto" w:fill="auto"/>
            <w:vAlign w:val="center"/>
          </w:tcPr>
          <w:p>
            <w:pPr>
              <w:autoSpaceDE w:val="0"/>
              <w:autoSpaceDN w:val="0"/>
              <w:adjustRightInd w:val="0"/>
              <w:snapToGrid w:val="0"/>
              <w:jc w:val="left"/>
              <w:rPr>
                <w:kern w:val="0"/>
                <w:sz w:val="18"/>
                <w:szCs w:val="18"/>
              </w:rPr>
            </w:pPr>
            <w:r>
              <w:rPr>
                <w:sz w:val="18"/>
                <w:szCs w:val="18"/>
              </w:rPr>
              <w:t>固定污染源排气中</w:t>
            </w:r>
            <w:r>
              <w:rPr>
                <w:rFonts w:hint="eastAsia"/>
                <w:sz w:val="18"/>
                <w:szCs w:val="18"/>
              </w:rPr>
              <w:t>丙烯醛</w:t>
            </w:r>
            <w:r>
              <w:rPr>
                <w:sz w:val="18"/>
                <w:szCs w:val="18"/>
              </w:rPr>
              <w:t>的测定</w:t>
            </w:r>
            <w:r>
              <w:rPr>
                <w:rFonts w:hint="eastAsia"/>
                <w:sz w:val="18"/>
                <w:szCs w:val="18"/>
              </w:rPr>
              <w:t xml:space="preserve"> </w:t>
            </w:r>
            <w:r>
              <w:rPr>
                <w:sz w:val="18"/>
                <w:szCs w:val="18"/>
              </w:rPr>
              <w:t>气相色谱法</w:t>
            </w:r>
          </w:p>
        </w:tc>
        <w:tc>
          <w:tcPr>
            <w:tcW w:w="639" w:type="pct"/>
            <w:shd w:val="clear" w:color="auto" w:fill="auto"/>
            <w:vAlign w:val="center"/>
          </w:tcPr>
          <w:p>
            <w:pPr>
              <w:snapToGrid w:val="0"/>
              <w:jc w:val="left"/>
              <w:rPr>
                <w:kern w:val="0"/>
                <w:sz w:val="18"/>
                <w:szCs w:val="18"/>
                <w:lang w:eastAsia="en-US" w:bidi="en-US"/>
              </w:rPr>
            </w:pPr>
            <w:r>
              <w:rPr>
                <w:sz w:val="18"/>
                <w:szCs w:val="18"/>
              </w:rPr>
              <w:t>HJ/T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环境</w:t>
            </w:r>
            <w:r>
              <w:rPr>
                <w:sz w:val="18"/>
                <w:szCs w:val="18"/>
              </w:rPr>
              <w:t>空气</w:t>
            </w:r>
            <w:r>
              <w:rPr>
                <w:rFonts w:hint="eastAsia"/>
                <w:sz w:val="18"/>
                <w:szCs w:val="18"/>
              </w:rPr>
              <w:t xml:space="preserve"> </w:t>
            </w:r>
            <w:r>
              <w:rPr>
                <w:sz w:val="18"/>
                <w:szCs w:val="18"/>
              </w:rPr>
              <w:t>醛、酮类化合物的测定</w:t>
            </w:r>
            <w:r>
              <w:rPr>
                <w:rFonts w:hint="eastAsia"/>
                <w:sz w:val="18"/>
                <w:szCs w:val="18"/>
              </w:rPr>
              <w:t xml:space="preserve"> </w:t>
            </w:r>
            <w:r>
              <w:rPr>
                <w:sz w:val="18"/>
                <w:szCs w:val="18"/>
              </w:rPr>
              <w:t>高效液相色谱法</w:t>
            </w:r>
          </w:p>
        </w:tc>
        <w:tc>
          <w:tcPr>
            <w:tcW w:w="639" w:type="pct"/>
            <w:shd w:val="clear" w:color="auto" w:fill="auto"/>
            <w:vAlign w:val="center"/>
          </w:tcPr>
          <w:p>
            <w:pPr>
              <w:snapToGrid w:val="0"/>
              <w:jc w:val="left"/>
              <w:rPr>
                <w:kern w:val="0"/>
                <w:sz w:val="18"/>
                <w:szCs w:val="18"/>
                <w:lang w:eastAsia="en-US" w:bidi="en-US"/>
              </w:rPr>
            </w:pPr>
            <w:r>
              <w:rPr>
                <w:sz w:val="18"/>
                <w:szCs w:val="18"/>
              </w:rPr>
              <w:t>HJ 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sz w:val="18"/>
                <w:szCs w:val="18"/>
              </w:rPr>
              <w:t>环境空气</w:t>
            </w:r>
            <w:r>
              <w:rPr>
                <w:rFonts w:hint="eastAsia"/>
                <w:sz w:val="18"/>
                <w:szCs w:val="18"/>
              </w:rPr>
              <w:t xml:space="preserve"> </w:t>
            </w:r>
            <w:r>
              <w:rPr>
                <w:sz w:val="18"/>
                <w:szCs w:val="18"/>
              </w:rPr>
              <w:t>挥发性有机物的测定</w:t>
            </w:r>
            <w:r>
              <w:rPr>
                <w:rFonts w:hint="eastAsia"/>
                <w:sz w:val="18"/>
                <w:szCs w:val="18"/>
              </w:rPr>
              <w:t xml:space="preserve"> </w:t>
            </w:r>
            <w:r>
              <w:rPr>
                <w:sz w:val="18"/>
                <w:szCs w:val="18"/>
              </w:rPr>
              <w:t>罐采样/气相色谱-质谱法</w:t>
            </w:r>
          </w:p>
        </w:tc>
        <w:tc>
          <w:tcPr>
            <w:tcW w:w="639" w:type="pct"/>
            <w:shd w:val="clear" w:color="auto" w:fill="auto"/>
            <w:vAlign w:val="center"/>
          </w:tcPr>
          <w:p>
            <w:pPr>
              <w:snapToGrid w:val="0"/>
              <w:jc w:val="left"/>
              <w:rPr>
                <w:kern w:val="0"/>
                <w:sz w:val="18"/>
                <w:szCs w:val="18"/>
                <w:lang w:eastAsia="en-US" w:bidi="en-US"/>
              </w:rPr>
            </w:pPr>
            <w:r>
              <w:rPr>
                <w:sz w:val="18"/>
                <w:szCs w:val="18"/>
              </w:rPr>
              <w:t>HJ 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固定污染源废气 醛、酮类化合物的测定 溶液吸收-高效液相色谱法</w:t>
            </w:r>
          </w:p>
        </w:tc>
        <w:tc>
          <w:tcPr>
            <w:tcW w:w="639" w:type="pct"/>
            <w:shd w:val="clear" w:color="auto" w:fill="auto"/>
            <w:vAlign w:val="center"/>
          </w:tcPr>
          <w:p>
            <w:pPr>
              <w:snapToGrid w:val="0"/>
              <w:jc w:val="left"/>
              <w:rPr>
                <w:kern w:val="0"/>
                <w:sz w:val="18"/>
                <w:szCs w:val="18"/>
                <w:lang w:eastAsia="en-US" w:bidi="en-US"/>
              </w:rPr>
            </w:pPr>
            <w:r>
              <w:rPr>
                <w:rFonts w:hint="eastAsia"/>
                <w:sz w:val="18"/>
                <w:szCs w:val="18"/>
              </w:rPr>
              <w:t>HJ 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rPr>
            </w:pPr>
          </w:p>
        </w:tc>
        <w:tc>
          <w:tcPr>
            <w:tcW w:w="806" w:type="pct"/>
            <w:vMerge w:val="continue"/>
            <w:shd w:val="clear" w:color="auto" w:fill="auto"/>
            <w:vAlign w:val="center"/>
          </w:tcPr>
          <w:p>
            <w:pPr>
              <w:snapToGrid w:val="0"/>
              <w:jc w:val="center"/>
              <w:rPr>
                <w:kern w:val="0"/>
                <w:sz w:val="18"/>
                <w:szCs w:val="18"/>
              </w:rPr>
            </w:pP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sz w:val="18"/>
                <w:szCs w:val="18"/>
              </w:rPr>
              <w:t>环境空气 醛、酮类化合物的测定 溶液吸收-高效液相色谱法</w:t>
            </w:r>
          </w:p>
        </w:tc>
        <w:tc>
          <w:tcPr>
            <w:tcW w:w="639" w:type="pct"/>
            <w:shd w:val="clear" w:color="auto" w:fill="auto"/>
            <w:vAlign w:val="center"/>
          </w:tcPr>
          <w:p>
            <w:pPr>
              <w:snapToGrid w:val="0"/>
              <w:jc w:val="left"/>
              <w:rPr>
                <w:kern w:val="0"/>
                <w:sz w:val="18"/>
                <w:szCs w:val="18"/>
                <w:lang w:eastAsia="en-US" w:bidi="en-US"/>
              </w:rPr>
            </w:pPr>
            <w:r>
              <w:rPr>
                <w:rFonts w:hint="eastAsia"/>
                <w:sz w:val="18"/>
                <w:szCs w:val="18"/>
              </w:rPr>
              <w:t>HJ 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shd w:val="clear" w:color="auto" w:fill="auto"/>
            <w:vAlign w:val="center"/>
          </w:tcPr>
          <w:p>
            <w:pPr>
              <w:widowControl/>
              <w:snapToGrid w:val="0"/>
              <w:jc w:val="center"/>
              <w:rPr>
                <w:kern w:val="0"/>
                <w:sz w:val="18"/>
                <w:szCs w:val="18"/>
              </w:rPr>
            </w:pPr>
            <w:r>
              <w:rPr>
                <w:rFonts w:hint="eastAsia"/>
                <w:kern w:val="0"/>
                <w:sz w:val="18"/>
                <w:szCs w:val="18"/>
              </w:rPr>
              <w:t>2</w:t>
            </w:r>
            <w:r>
              <w:rPr>
                <w:kern w:val="0"/>
                <w:sz w:val="18"/>
                <w:szCs w:val="18"/>
              </w:rPr>
              <w:t>8</w:t>
            </w:r>
          </w:p>
        </w:tc>
        <w:tc>
          <w:tcPr>
            <w:tcW w:w="806" w:type="pct"/>
            <w:shd w:val="clear" w:color="auto" w:fill="auto"/>
            <w:vAlign w:val="center"/>
          </w:tcPr>
          <w:p>
            <w:pPr>
              <w:snapToGrid w:val="0"/>
              <w:jc w:val="center"/>
              <w:rPr>
                <w:kern w:val="0"/>
                <w:sz w:val="18"/>
                <w:szCs w:val="18"/>
              </w:rPr>
            </w:pPr>
            <w:r>
              <w:rPr>
                <w:rFonts w:hint="eastAsia"/>
                <w:kern w:val="0"/>
                <w:sz w:val="18"/>
                <w:szCs w:val="18"/>
              </w:rPr>
              <w:t>丙烯腈</w:t>
            </w:r>
          </w:p>
        </w:tc>
        <w:tc>
          <w:tcPr>
            <w:tcW w:w="3191" w:type="pct"/>
            <w:shd w:val="clear" w:color="auto" w:fill="auto"/>
            <w:vAlign w:val="center"/>
          </w:tcPr>
          <w:p>
            <w:pPr>
              <w:autoSpaceDE w:val="0"/>
              <w:autoSpaceDN w:val="0"/>
              <w:adjustRightInd w:val="0"/>
              <w:snapToGrid w:val="0"/>
              <w:jc w:val="left"/>
              <w:rPr>
                <w:kern w:val="0"/>
                <w:sz w:val="18"/>
                <w:szCs w:val="18"/>
              </w:rPr>
            </w:pPr>
            <w:r>
              <w:rPr>
                <w:rFonts w:hint="eastAsia"/>
                <w:kern w:val="0"/>
                <w:sz w:val="18"/>
                <w:szCs w:val="18"/>
              </w:rPr>
              <w:t>固定污染源排气中丙烯腈的测定 气相色谱法</w:t>
            </w:r>
          </w:p>
        </w:tc>
        <w:tc>
          <w:tcPr>
            <w:tcW w:w="639" w:type="pct"/>
            <w:shd w:val="clear" w:color="auto" w:fill="auto"/>
            <w:vAlign w:val="center"/>
          </w:tcPr>
          <w:p>
            <w:pPr>
              <w:snapToGrid w:val="0"/>
              <w:jc w:val="left"/>
              <w:rPr>
                <w:sz w:val="18"/>
                <w:szCs w:val="18"/>
              </w:rPr>
            </w:pPr>
            <w:r>
              <w:rPr>
                <w:rFonts w:hint="eastAsia"/>
                <w:kern w:val="0"/>
                <w:sz w:val="18"/>
                <w:szCs w:val="18"/>
                <w:lang w:eastAsia="en-US" w:bidi="en-US"/>
              </w:rPr>
              <w:t>HJ/T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shd w:val="clear" w:color="auto" w:fill="auto"/>
            <w:vAlign w:val="center"/>
          </w:tcPr>
          <w:p>
            <w:pPr>
              <w:widowControl/>
              <w:snapToGrid w:val="0"/>
              <w:jc w:val="center"/>
              <w:rPr>
                <w:kern w:val="0"/>
                <w:sz w:val="18"/>
                <w:szCs w:val="18"/>
              </w:rPr>
            </w:pPr>
            <w:r>
              <w:rPr>
                <w:rFonts w:hint="eastAsia"/>
                <w:kern w:val="0"/>
                <w:sz w:val="18"/>
                <w:szCs w:val="18"/>
                <w:lang w:eastAsia="en-US" w:bidi="en-US"/>
              </w:rPr>
              <w:t>2</w:t>
            </w:r>
            <w:r>
              <w:rPr>
                <w:kern w:val="0"/>
                <w:sz w:val="18"/>
                <w:szCs w:val="18"/>
                <w:lang w:eastAsia="en-US" w:bidi="en-US"/>
              </w:rPr>
              <w:t>9</w:t>
            </w:r>
          </w:p>
        </w:tc>
        <w:tc>
          <w:tcPr>
            <w:tcW w:w="806" w:type="pct"/>
            <w:vMerge w:val="restart"/>
            <w:shd w:val="clear" w:color="auto" w:fill="auto"/>
            <w:vAlign w:val="center"/>
          </w:tcPr>
          <w:p>
            <w:pPr>
              <w:snapToGrid w:val="0"/>
              <w:jc w:val="center"/>
              <w:rPr>
                <w:kern w:val="0"/>
                <w:sz w:val="18"/>
                <w:szCs w:val="18"/>
              </w:rPr>
            </w:pPr>
            <w:r>
              <w:rPr>
                <w:kern w:val="0"/>
                <w:sz w:val="18"/>
                <w:szCs w:val="18"/>
                <w:lang w:eastAsia="en-US" w:bidi="en-US"/>
              </w:rPr>
              <w:t>氯苯类</w:t>
            </w:r>
          </w:p>
        </w:tc>
        <w:tc>
          <w:tcPr>
            <w:tcW w:w="3191" w:type="pct"/>
            <w:shd w:val="clear" w:color="auto" w:fill="auto"/>
            <w:vAlign w:val="center"/>
          </w:tcPr>
          <w:p>
            <w:pPr>
              <w:autoSpaceDE w:val="0"/>
              <w:autoSpaceDN w:val="0"/>
              <w:adjustRightInd w:val="0"/>
              <w:snapToGrid w:val="0"/>
              <w:jc w:val="left"/>
              <w:rPr>
                <w:spacing w:val="2"/>
                <w:kern w:val="0"/>
                <w:sz w:val="18"/>
                <w:szCs w:val="18"/>
              </w:rPr>
            </w:pPr>
            <w:r>
              <w:rPr>
                <w:rFonts w:hint="eastAsia"/>
                <w:spacing w:val="2"/>
                <w:kern w:val="0"/>
                <w:sz w:val="18"/>
                <w:szCs w:val="18"/>
                <w:lang w:bidi="en-US"/>
              </w:rPr>
              <w:t>环境空气 挥发性有机物的测定 吸附管采样</w:t>
            </w:r>
            <w:r>
              <w:rPr>
                <w:spacing w:val="2"/>
                <w:kern w:val="0"/>
                <w:sz w:val="18"/>
                <w:szCs w:val="18"/>
                <w:lang w:bidi="en-US"/>
              </w:rPr>
              <w:t>-</w:t>
            </w:r>
            <w:r>
              <w:rPr>
                <w:rFonts w:hint="eastAsia"/>
                <w:spacing w:val="2"/>
                <w:kern w:val="0"/>
                <w:sz w:val="18"/>
                <w:szCs w:val="18"/>
                <w:lang w:bidi="en-US"/>
              </w:rPr>
              <w:t>热脱附</w:t>
            </w:r>
            <w:r>
              <w:rPr>
                <w:spacing w:val="2"/>
                <w:kern w:val="0"/>
                <w:sz w:val="18"/>
                <w:szCs w:val="18"/>
                <w:lang w:bidi="en-US"/>
              </w:rPr>
              <w:t>/</w:t>
            </w:r>
            <w:r>
              <w:rPr>
                <w:rFonts w:hint="eastAsia"/>
                <w:spacing w:val="2"/>
                <w:kern w:val="0"/>
                <w:sz w:val="18"/>
                <w:szCs w:val="18"/>
                <w:lang w:bidi="en-US"/>
              </w:rPr>
              <w:t>气相色谱</w:t>
            </w:r>
            <w:r>
              <w:rPr>
                <w:spacing w:val="2"/>
                <w:kern w:val="0"/>
                <w:sz w:val="18"/>
                <w:szCs w:val="18"/>
                <w:lang w:bidi="en-US"/>
              </w:rPr>
              <w:t>-</w:t>
            </w:r>
            <w:r>
              <w:rPr>
                <w:rFonts w:hint="eastAsia"/>
                <w:spacing w:val="2"/>
                <w:kern w:val="0"/>
                <w:sz w:val="18"/>
                <w:szCs w:val="18"/>
                <w:lang w:bidi="en-US"/>
              </w:rPr>
              <w:t>质谱法</w:t>
            </w:r>
          </w:p>
        </w:tc>
        <w:tc>
          <w:tcPr>
            <w:tcW w:w="639" w:type="pct"/>
            <w:shd w:val="clear" w:color="auto" w:fill="auto"/>
            <w:vAlign w:val="center"/>
          </w:tcPr>
          <w:p>
            <w:pPr>
              <w:snapToGrid w:val="0"/>
              <w:jc w:val="left"/>
              <w:rPr>
                <w:spacing w:val="2"/>
                <w:kern w:val="0"/>
                <w:sz w:val="18"/>
                <w:szCs w:val="18"/>
              </w:rPr>
            </w:pPr>
            <w:r>
              <w:rPr>
                <w:rFonts w:eastAsia="方正仿宋_GBK"/>
                <w:kern w:val="0"/>
                <w:sz w:val="18"/>
                <w:szCs w:val="18"/>
                <w:lang w:eastAsia="en-US" w:bidi="en-US"/>
              </w:rPr>
              <w:t>HJ 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shd w:val="clear" w:color="auto" w:fill="auto"/>
            <w:vAlign w:val="center"/>
          </w:tcPr>
          <w:p>
            <w:pPr>
              <w:widowControl/>
              <w:snapToGrid w:val="0"/>
              <w:jc w:val="center"/>
              <w:rPr>
                <w:kern w:val="0"/>
                <w:sz w:val="18"/>
                <w:szCs w:val="18"/>
                <w:lang w:eastAsia="en-US" w:bidi="en-US"/>
              </w:rPr>
            </w:pPr>
          </w:p>
        </w:tc>
        <w:tc>
          <w:tcPr>
            <w:tcW w:w="806" w:type="pct"/>
            <w:vMerge w:val="continue"/>
            <w:shd w:val="clear" w:color="auto" w:fill="auto"/>
            <w:vAlign w:val="center"/>
          </w:tcPr>
          <w:p>
            <w:pPr>
              <w:snapToGrid w:val="0"/>
              <w:jc w:val="center"/>
              <w:rPr>
                <w:kern w:val="0"/>
                <w:sz w:val="18"/>
                <w:szCs w:val="18"/>
                <w:lang w:eastAsia="en-US" w:bidi="en-US"/>
              </w:rPr>
            </w:pPr>
          </w:p>
        </w:tc>
        <w:tc>
          <w:tcPr>
            <w:tcW w:w="319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spacing w:val="2"/>
                <w:kern w:val="0"/>
                <w:sz w:val="18"/>
                <w:szCs w:val="18"/>
                <w:lang w:bidi="en-US"/>
              </w:rPr>
            </w:pPr>
            <w:r>
              <w:rPr>
                <w:spacing w:val="2"/>
                <w:kern w:val="0"/>
                <w:sz w:val="18"/>
                <w:szCs w:val="18"/>
                <w:lang w:bidi="en-US"/>
              </w:rPr>
              <w:t>环境空气</w:t>
            </w:r>
            <w:r>
              <w:rPr>
                <w:rFonts w:hint="eastAsia"/>
                <w:spacing w:val="2"/>
                <w:kern w:val="0"/>
                <w:sz w:val="18"/>
                <w:szCs w:val="18"/>
                <w:lang w:bidi="en-US"/>
              </w:rPr>
              <w:t xml:space="preserve"> </w:t>
            </w:r>
            <w:r>
              <w:rPr>
                <w:spacing w:val="2"/>
                <w:kern w:val="0"/>
                <w:sz w:val="18"/>
                <w:szCs w:val="18"/>
                <w:lang w:bidi="en-US"/>
              </w:rPr>
              <w:t>挥发性有机物的测定</w:t>
            </w:r>
            <w:r>
              <w:rPr>
                <w:rFonts w:hint="eastAsia"/>
                <w:spacing w:val="2"/>
                <w:kern w:val="0"/>
                <w:sz w:val="18"/>
                <w:szCs w:val="18"/>
                <w:lang w:bidi="en-US"/>
              </w:rPr>
              <w:t xml:space="preserve"> </w:t>
            </w:r>
            <w:r>
              <w:rPr>
                <w:spacing w:val="2"/>
                <w:kern w:val="0"/>
                <w:sz w:val="18"/>
                <w:szCs w:val="18"/>
                <w:lang w:bidi="en-US"/>
              </w:rPr>
              <w:t>罐采样/气相色谱-质谱法</w:t>
            </w:r>
          </w:p>
        </w:tc>
        <w:tc>
          <w:tcPr>
            <w:tcW w:w="639" w:type="pct"/>
            <w:tcBorders>
              <w:top w:val="single" w:color="auto" w:sz="4" w:space="0"/>
              <w:left w:val="single" w:color="auto" w:sz="4" w:space="0"/>
              <w:bottom w:val="single" w:color="auto" w:sz="4" w:space="0"/>
              <w:right w:val="single" w:color="auto" w:sz="4" w:space="0"/>
            </w:tcBorders>
            <w:vAlign w:val="center"/>
          </w:tcPr>
          <w:p>
            <w:pPr>
              <w:snapToGrid w:val="0"/>
              <w:jc w:val="left"/>
              <w:rPr>
                <w:spacing w:val="2"/>
                <w:kern w:val="0"/>
                <w:sz w:val="18"/>
                <w:szCs w:val="18"/>
                <w:lang w:eastAsia="en-US" w:bidi="en-US"/>
              </w:rPr>
            </w:pPr>
            <w:r>
              <w:rPr>
                <w:spacing w:val="2"/>
                <w:kern w:val="0"/>
                <w:sz w:val="18"/>
                <w:szCs w:val="18"/>
                <w:lang w:eastAsia="en-US" w:bidi="en-US"/>
              </w:rPr>
              <w:t>HJ 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bottom w:val="single" w:color="auto" w:sz="4" w:space="0"/>
            </w:tcBorders>
            <w:shd w:val="clear" w:color="auto" w:fill="auto"/>
            <w:vAlign w:val="center"/>
          </w:tcPr>
          <w:p>
            <w:pPr>
              <w:widowControl/>
              <w:snapToGrid w:val="0"/>
              <w:jc w:val="center"/>
              <w:rPr>
                <w:kern w:val="0"/>
                <w:sz w:val="18"/>
                <w:szCs w:val="18"/>
                <w:lang w:eastAsia="en-US" w:bidi="en-US"/>
              </w:rPr>
            </w:pPr>
          </w:p>
        </w:tc>
        <w:tc>
          <w:tcPr>
            <w:tcW w:w="806" w:type="pct"/>
            <w:vMerge w:val="continue"/>
            <w:tcBorders>
              <w:bottom w:val="single" w:color="auto" w:sz="4" w:space="0"/>
            </w:tcBorders>
            <w:shd w:val="clear" w:color="auto" w:fill="auto"/>
            <w:vAlign w:val="center"/>
          </w:tcPr>
          <w:p>
            <w:pPr>
              <w:snapToGrid w:val="0"/>
              <w:jc w:val="center"/>
              <w:rPr>
                <w:kern w:val="0"/>
                <w:sz w:val="18"/>
                <w:szCs w:val="18"/>
                <w:lang w:eastAsia="en-US" w:bidi="en-US"/>
              </w:rPr>
            </w:pPr>
          </w:p>
        </w:tc>
        <w:tc>
          <w:tcPr>
            <w:tcW w:w="3191"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固定污染源废气 氯苯类化合物的测定 气相色谱法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 xml:space="preserve">HJ </w:t>
            </w:r>
            <w:r>
              <w:rPr>
                <w:rFonts w:hint="eastAsia"/>
                <w:spacing w:val="2"/>
                <w:kern w:val="0"/>
                <w:sz w:val="18"/>
                <w:szCs w:val="18"/>
                <w:lang w:eastAsia="en-US" w:bidi="en-US"/>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4" w:type="pct"/>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r>
              <w:rPr>
                <w:kern w:val="0"/>
                <w:sz w:val="18"/>
                <w:szCs w:val="18"/>
                <w:lang w:eastAsia="en-US" w:bidi="en-US"/>
              </w:rPr>
              <w:t>30</w:t>
            </w:r>
          </w:p>
        </w:tc>
        <w:tc>
          <w:tcPr>
            <w:tcW w:w="806" w:type="pct"/>
            <w:vMerge w:val="restart"/>
            <w:tcBorders>
              <w:top w:val="single" w:color="auto" w:sz="4" w:space="0"/>
              <w:left w:val="single" w:color="auto" w:sz="4" w:space="0"/>
              <w:right w:val="single" w:color="auto" w:sz="4" w:space="0"/>
            </w:tcBorders>
            <w:shd w:val="clear" w:color="auto" w:fill="auto"/>
            <w:vAlign w:val="center"/>
          </w:tcPr>
          <w:p>
            <w:pPr>
              <w:snapToGrid w:val="0"/>
              <w:jc w:val="center"/>
              <w:rPr>
                <w:kern w:val="0"/>
                <w:sz w:val="18"/>
                <w:szCs w:val="18"/>
                <w:lang w:eastAsia="en-US" w:bidi="en-US"/>
              </w:rPr>
            </w:pPr>
            <w:r>
              <w:rPr>
                <w:rFonts w:hint="eastAsia"/>
                <w:kern w:val="0"/>
                <w:sz w:val="18"/>
                <w:szCs w:val="18"/>
                <w:lang w:eastAsia="en-US" w:bidi="en-US"/>
              </w:rPr>
              <w:t>硝基苯类</w:t>
            </w: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空气质量</w:t>
            </w:r>
            <w:r>
              <w:rPr>
                <w:spacing w:val="2"/>
                <w:kern w:val="0"/>
                <w:sz w:val="18"/>
                <w:szCs w:val="18"/>
                <w:lang w:bidi="en-US"/>
              </w:rPr>
              <w:t xml:space="preserve"> </w:t>
            </w:r>
            <w:r>
              <w:rPr>
                <w:rFonts w:hint="eastAsia"/>
                <w:spacing w:val="2"/>
                <w:kern w:val="0"/>
                <w:sz w:val="18"/>
                <w:szCs w:val="18"/>
                <w:lang w:bidi="en-US"/>
              </w:rPr>
              <w:t>硝基苯类（一硝基和二硝基化合物）的测定</w:t>
            </w:r>
            <w:r>
              <w:rPr>
                <w:spacing w:val="2"/>
                <w:kern w:val="0"/>
                <w:sz w:val="18"/>
                <w:szCs w:val="18"/>
                <w:lang w:bidi="en-US"/>
              </w:rPr>
              <w:t xml:space="preserve"> </w:t>
            </w:r>
            <w:r>
              <w:rPr>
                <w:rFonts w:hint="eastAsia"/>
                <w:spacing w:val="2"/>
                <w:kern w:val="0"/>
                <w:sz w:val="18"/>
                <w:szCs w:val="18"/>
                <w:lang w:bidi="en-US"/>
              </w:rPr>
              <w:t>锌还原</w:t>
            </w:r>
            <w:r>
              <w:rPr>
                <w:spacing w:val="2"/>
                <w:kern w:val="0"/>
                <w:sz w:val="18"/>
                <w:szCs w:val="18"/>
                <w:lang w:bidi="en-US"/>
              </w:rPr>
              <w:t>-</w:t>
            </w:r>
            <w:r>
              <w:rPr>
                <w:rFonts w:hint="eastAsia"/>
                <w:spacing w:val="2"/>
                <w:kern w:val="0"/>
                <w:sz w:val="18"/>
                <w:szCs w:val="18"/>
                <w:lang w:bidi="en-US"/>
              </w:rPr>
              <w:t>盐酸萘乙二胺分光光度法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GB/T 15501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left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p>
        </w:tc>
        <w:tc>
          <w:tcPr>
            <w:tcW w:w="806" w:type="pct"/>
            <w:vMerge w:val="continue"/>
            <w:tcBorders>
              <w:left w:val="single" w:color="auto" w:sz="4" w:space="0"/>
              <w:right w:val="single" w:color="auto" w:sz="4" w:space="0"/>
            </w:tcBorders>
            <w:shd w:val="clear" w:color="auto" w:fill="auto"/>
            <w:vAlign w:val="center"/>
          </w:tcPr>
          <w:p>
            <w:pPr>
              <w:snapToGrid w:val="0"/>
              <w:jc w:val="center"/>
              <w:rPr>
                <w:kern w:val="0"/>
                <w:sz w:val="18"/>
                <w:szCs w:val="18"/>
                <w:lang w:eastAsia="en-US" w:bidi="en-US"/>
              </w:rPr>
            </w:pP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w:t>
            </w:r>
            <w:r>
              <w:rPr>
                <w:spacing w:val="2"/>
                <w:kern w:val="0"/>
                <w:sz w:val="18"/>
                <w:szCs w:val="18"/>
                <w:lang w:bidi="en-US"/>
              </w:rPr>
              <w:t xml:space="preserve"> </w:t>
            </w:r>
            <w:r>
              <w:rPr>
                <w:rFonts w:hint="eastAsia"/>
                <w:spacing w:val="2"/>
                <w:kern w:val="0"/>
                <w:sz w:val="18"/>
                <w:szCs w:val="18"/>
                <w:lang w:bidi="en-US"/>
              </w:rPr>
              <w:t>硝基苯类化合物的测定</w:t>
            </w:r>
            <w:r>
              <w:rPr>
                <w:spacing w:val="2"/>
                <w:kern w:val="0"/>
                <w:sz w:val="18"/>
                <w:szCs w:val="18"/>
                <w:lang w:bidi="en-US"/>
              </w:rPr>
              <w:t xml:space="preserve"> </w:t>
            </w:r>
            <w:r>
              <w:rPr>
                <w:rFonts w:hint="eastAsia"/>
                <w:spacing w:val="2"/>
                <w:kern w:val="0"/>
                <w:sz w:val="18"/>
                <w:szCs w:val="18"/>
                <w:lang w:bidi="en-US"/>
              </w:rPr>
              <w:t>气相色谱法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HJ 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left w:val="single" w:color="auto" w:sz="4" w:space="0"/>
              <w:bottom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shd w:val="clear" w:color="auto" w:fill="auto"/>
            <w:vAlign w:val="center"/>
          </w:tcPr>
          <w:p>
            <w:pPr>
              <w:snapToGrid w:val="0"/>
              <w:jc w:val="center"/>
              <w:rPr>
                <w:kern w:val="0"/>
                <w:sz w:val="18"/>
                <w:szCs w:val="18"/>
                <w:lang w:eastAsia="en-US" w:bidi="en-US"/>
              </w:rPr>
            </w:pP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 硝基苯类化合物的测定 气相色谱-质谱法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HJ 7</w:t>
            </w:r>
            <w:r>
              <w:rPr>
                <w:rFonts w:hint="eastAsia"/>
                <w:spacing w:val="2"/>
                <w:kern w:val="0"/>
                <w:sz w:val="18"/>
                <w:szCs w:val="18"/>
                <w:lang w:eastAsia="en-US" w:bidi="en-US"/>
              </w:rPr>
              <w:t>3</w:t>
            </w:r>
            <w:r>
              <w:rPr>
                <w:spacing w:val="2"/>
                <w:kern w:val="0"/>
                <w:sz w:val="18"/>
                <w:szCs w:val="18"/>
                <w:lang w:eastAsia="en-US" w:bidi="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r>
              <w:rPr>
                <w:kern w:val="0"/>
                <w:sz w:val="18"/>
                <w:szCs w:val="18"/>
                <w:lang w:eastAsia="en-US" w:bidi="en-US"/>
              </w:rPr>
              <w:t>31</w:t>
            </w:r>
          </w:p>
        </w:tc>
        <w:tc>
          <w:tcPr>
            <w:tcW w:w="806" w:type="pct"/>
            <w:vMerge w:val="restart"/>
            <w:tcBorders>
              <w:top w:val="single" w:color="auto" w:sz="4" w:space="0"/>
              <w:left w:val="single" w:color="auto" w:sz="4" w:space="0"/>
              <w:right w:val="single" w:color="auto" w:sz="4" w:space="0"/>
            </w:tcBorders>
            <w:shd w:val="clear" w:color="auto" w:fill="auto"/>
            <w:vAlign w:val="center"/>
          </w:tcPr>
          <w:p>
            <w:pPr>
              <w:snapToGrid w:val="0"/>
              <w:jc w:val="center"/>
              <w:rPr>
                <w:kern w:val="0"/>
                <w:sz w:val="18"/>
                <w:szCs w:val="18"/>
                <w:lang w:eastAsia="en-US" w:bidi="en-US"/>
              </w:rPr>
            </w:pPr>
            <w:r>
              <w:rPr>
                <w:rFonts w:hint="eastAsia"/>
                <w:kern w:val="0"/>
                <w:sz w:val="18"/>
                <w:szCs w:val="18"/>
                <w:lang w:eastAsia="en-US" w:bidi="en-US"/>
              </w:rPr>
              <w:t>苯胺类</w:t>
            </w: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空气质量 苯胺类的测定 盐酸萘乙二胺分光光度法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GB/T 15502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left w:val="single" w:color="auto" w:sz="4" w:space="0"/>
              <w:bottom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shd w:val="clear" w:color="auto" w:fill="auto"/>
            <w:vAlign w:val="center"/>
          </w:tcPr>
          <w:p>
            <w:pPr>
              <w:snapToGrid w:val="0"/>
              <w:jc w:val="center"/>
              <w:rPr>
                <w:kern w:val="0"/>
                <w:sz w:val="18"/>
                <w:szCs w:val="18"/>
                <w:lang w:eastAsia="en-US" w:bidi="en-US"/>
              </w:rPr>
            </w:pP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大气固定污染源 苯胺类的测定 气相色谱法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rFonts w:hint="eastAsia"/>
                <w:spacing w:val="2"/>
                <w:kern w:val="0"/>
                <w:sz w:val="18"/>
                <w:szCs w:val="18"/>
                <w:lang w:eastAsia="en-US" w:bidi="en-US"/>
              </w:rPr>
              <w:t>HJ/T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364" w:type="pct"/>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r>
              <w:rPr>
                <w:kern w:val="0"/>
                <w:sz w:val="18"/>
                <w:szCs w:val="18"/>
                <w:lang w:eastAsia="en-US" w:bidi="en-US"/>
              </w:rPr>
              <w:t>32</w:t>
            </w:r>
          </w:p>
        </w:tc>
        <w:tc>
          <w:tcPr>
            <w:tcW w:w="806" w:type="pct"/>
            <w:vMerge w:val="restart"/>
            <w:tcBorders>
              <w:top w:val="single" w:color="auto" w:sz="4" w:space="0"/>
              <w:left w:val="single" w:color="auto" w:sz="4" w:space="0"/>
              <w:right w:val="single" w:color="auto" w:sz="4" w:space="0"/>
            </w:tcBorders>
            <w:shd w:val="clear" w:color="auto" w:fill="auto"/>
            <w:vAlign w:val="center"/>
          </w:tcPr>
          <w:p>
            <w:pPr>
              <w:snapToGrid w:val="0"/>
              <w:jc w:val="center"/>
              <w:rPr>
                <w:kern w:val="0"/>
                <w:sz w:val="18"/>
                <w:szCs w:val="18"/>
                <w:lang w:eastAsia="en-US" w:bidi="en-US"/>
              </w:rPr>
            </w:pPr>
            <w:r>
              <w:rPr>
                <w:rFonts w:hint="eastAsia"/>
                <w:kern w:val="0"/>
                <w:sz w:val="18"/>
                <w:szCs w:val="18"/>
                <w:lang w:eastAsia="en-US" w:bidi="en-US"/>
              </w:rPr>
              <w:t>酚类</w:t>
            </w: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固定污染源排气中酚类化合物的测定 4-氨基安替比林分光光度法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HJ/T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vMerge w:val="continue"/>
            <w:tcBorders>
              <w:left w:val="single" w:color="auto" w:sz="4" w:space="0"/>
              <w:bottom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p>
        </w:tc>
        <w:tc>
          <w:tcPr>
            <w:tcW w:w="806" w:type="pct"/>
            <w:vMerge w:val="continue"/>
            <w:tcBorders>
              <w:left w:val="single" w:color="auto" w:sz="4" w:space="0"/>
              <w:bottom w:val="single" w:color="auto" w:sz="4" w:space="0"/>
              <w:right w:val="single" w:color="auto" w:sz="4" w:space="0"/>
            </w:tcBorders>
            <w:shd w:val="clear" w:color="auto" w:fill="auto"/>
            <w:vAlign w:val="center"/>
          </w:tcPr>
          <w:p>
            <w:pPr>
              <w:snapToGrid w:val="0"/>
              <w:jc w:val="center"/>
              <w:rPr>
                <w:kern w:val="0"/>
                <w:sz w:val="18"/>
                <w:szCs w:val="18"/>
                <w:lang w:eastAsia="en-US" w:bidi="en-US"/>
              </w:rPr>
            </w:pP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 酚类化合物的测定 高效液相色谱法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HJ 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kern w:val="0"/>
                <w:sz w:val="18"/>
                <w:szCs w:val="18"/>
                <w:lang w:eastAsia="en-US" w:bidi="en-US"/>
              </w:rPr>
            </w:pPr>
            <w:r>
              <w:rPr>
                <w:rFonts w:hint="eastAsia"/>
                <w:kern w:val="0"/>
                <w:sz w:val="18"/>
                <w:szCs w:val="18"/>
                <w:lang w:eastAsia="en-US" w:bidi="en-US"/>
              </w:rPr>
              <w:t>3</w:t>
            </w:r>
            <w:r>
              <w:rPr>
                <w:kern w:val="0"/>
                <w:sz w:val="18"/>
                <w:szCs w:val="18"/>
                <w:lang w:eastAsia="en-US" w:bidi="en-US"/>
              </w:rPr>
              <w:t>3</w:t>
            </w:r>
          </w:p>
        </w:tc>
        <w:tc>
          <w:tcPr>
            <w:tcW w:w="80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kern w:val="0"/>
                <w:sz w:val="18"/>
                <w:szCs w:val="18"/>
                <w:lang w:eastAsia="en-US" w:bidi="en-US"/>
              </w:rPr>
            </w:pPr>
            <w:r>
              <w:rPr>
                <w:rFonts w:hint="eastAsia"/>
                <w:kern w:val="0"/>
                <w:sz w:val="18"/>
                <w:szCs w:val="18"/>
                <w:lang w:eastAsia="en-US" w:bidi="en-US"/>
              </w:rPr>
              <w:t>甲醇</w:t>
            </w: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固定污染源排气中甲醇的测定 气相色谱法</w:t>
            </w:r>
          </w:p>
        </w:tc>
        <w:tc>
          <w:tcPr>
            <w:tcW w:w="63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spacing w:val="2"/>
                <w:kern w:val="0"/>
                <w:sz w:val="18"/>
                <w:szCs w:val="18"/>
                <w:lang w:eastAsia="en-US" w:bidi="en-US"/>
              </w:rPr>
              <w:t>HJ/T 33</w:t>
            </w:r>
          </w:p>
        </w:tc>
      </w:tr>
    </w:tbl>
    <w:p>
      <w:pPr>
        <w:pStyle w:val="28"/>
        <w:overflowPunct w:val="0"/>
        <w:autoSpaceDE/>
        <w:autoSpaceDN/>
        <w:spacing w:before="156" w:beforeLines="50" w:after="156" w:afterLines="50"/>
        <w:ind w:firstLine="0" w:firstLineChars="0"/>
        <w:jc w:val="center"/>
        <w:rPr>
          <w:rFonts w:ascii="黑体" w:hAnsi="黑体" w:eastAsia="黑体"/>
          <w:szCs w:val="21"/>
        </w:rPr>
      </w:pPr>
    </w:p>
    <w:p>
      <w:pPr>
        <w:pStyle w:val="28"/>
        <w:overflowPunct w:val="0"/>
        <w:autoSpaceDE/>
        <w:autoSpaceDN/>
        <w:spacing w:before="156" w:beforeLines="50" w:after="156" w:afterLines="50"/>
        <w:ind w:firstLine="0" w:firstLineChars="0"/>
        <w:jc w:val="center"/>
        <w:rPr>
          <w:rFonts w:ascii="Times New Roman"/>
        </w:rPr>
      </w:pPr>
      <w:r>
        <w:rPr>
          <w:rFonts w:hint="eastAsia" w:ascii="黑体" w:hAnsi="黑体" w:eastAsia="黑体"/>
          <w:szCs w:val="21"/>
        </w:rPr>
        <w:t>表</w:t>
      </w:r>
      <w:r>
        <w:rPr>
          <w:rFonts w:ascii="黑体" w:hAnsi="黑体" w:eastAsia="黑体"/>
          <w:szCs w:val="21"/>
        </w:rPr>
        <w:t xml:space="preserve">4  </w:t>
      </w:r>
      <w:r>
        <w:rPr>
          <w:rFonts w:hint="eastAsia" w:ascii="黑体" w:hAnsi="黑体" w:eastAsia="黑体"/>
          <w:szCs w:val="21"/>
        </w:rPr>
        <w:t>大气污染物浓度测定方法标准（续）</w:t>
      </w:r>
    </w:p>
    <w:tbl>
      <w:tblPr>
        <w:tblStyle w:val="38"/>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539"/>
        <w:gridCol w:w="6093"/>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shd w:val="clear" w:color="auto" w:fill="auto"/>
            <w:vAlign w:val="center"/>
          </w:tcPr>
          <w:p>
            <w:pPr>
              <w:widowControl/>
              <w:snapToGrid w:val="0"/>
              <w:jc w:val="center"/>
              <w:rPr>
                <w:kern w:val="0"/>
                <w:sz w:val="18"/>
                <w:szCs w:val="18"/>
                <w:lang w:bidi="en-US"/>
              </w:rPr>
            </w:pPr>
            <w:r>
              <w:rPr>
                <w:kern w:val="0"/>
                <w:sz w:val="18"/>
                <w:szCs w:val="18"/>
                <w:lang w:eastAsia="en-US" w:bidi="en-US"/>
              </w:rPr>
              <w:t>序号</w:t>
            </w:r>
          </w:p>
        </w:tc>
        <w:tc>
          <w:tcPr>
            <w:tcW w:w="806" w:type="pct"/>
            <w:shd w:val="clear" w:color="auto" w:fill="auto"/>
            <w:vAlign w:val="center"/>
          </w:tcPr>
          <w:p>
            <w:pPr>
              <w:autoSpaceDE w:val="0"/>
              <w:autoSpaceDN w:val="0"/>
              <w:adjustRightInd w:val="0"/>
              <w:snapToGrid w:val="0"/>
              <w:jc w:val="center"/>
              <w:rPr>
                <w:spacing w:val="2"/>
                <w:kern w:val="0"/>
                <w:sz w:val="18"/>
                <w:szCs w:val="18"/>
                <w:lang w:bidi="en-US"/>
              </w:rPr>
            </w:pPr>
            <w:r>
              <w:rPr>
                <w:kern w:val="0"/>
                <w:sz w:val="18"/>
                <w:szCs w:val="18"/>
                <w:lang w:eastAsia="en-US" w:bidi="en-US"/>
              </w:rPr>
              <w:t>污染物项目</w:t>
            </w:r>
          </w:p>
        </w:tc>
        <w:tc>
          <w:tcPr>
            <w:tcW w:w="3191" w:type="pct"/>
            <w:shd w:val="clear" w:color="auto" w:fill="auto"/>
            <w:vAlign w:val="center"/>
          </w:tcPr>
          <w:p>
            <w:pPr>
              <w:autoSpaceDE w:val="0"/>
              <w:autoSpaceDN w:val="0"/>
              <w:adjustRightInd w:val="0"/>
              <w:snapToGrid w:val="0"/>
              <w:jc w:val="center"/>
              <w:rPr>
                <w:spacing w:val="2"/>
                <w:kern w:val="0"/>
                <w:sz w:val="18"/>
                <w:szCs w:val="18"/>
                <w:lang w:bidi="en-US"/>
              </w:rPr>
            </w:pPr>
            <w:r>
              <w:rPr>
                <w:kern w:val="0"/>
                <w:sz w:val="18"/>
                <w:szCs w:val="18"/>
                <w:lang w:eastAsia="en-US" w:bidi="en-US"/>
              </w:rPr>
              <w:t>方法标准名称</w:t>
            </w:r>
          </w:p>
        </w:tc>
        <w:tc>
          <w:tcPr>
            <w:tcW w:w="638" w:type="pct"/>
            <w:shd w:val="clear" w:color="auto" w:fill="auto"/>
            <w:vAlign w:val="center"/>
          </w:tcPr>
          <w:p>
            <w:pPr>
              <w:snapToGrid w:val="0"/>
              <w:jc w:val="center"/>
              <w:rPr>
                <w:rFonts w:eastAsia="方正仿宋_GBK"/>
                <w:kern w:val="0"/>
                <w:sz w:val="18"/>
                <w:szCs w:val="18"/>
                <w:lang w:bidi="en-US"/>
              </w:rPr>
            </w:pPr>
            <w:r>
              <w:rPr>
                <w:kern w:val="0"/>
                <w:sz w:val="18"/>
                <w:szCs w:val="18"/>
                <w:lang w:eastAsia="en-US" w:bidi="en-US"/>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shd w:val="clear" w:color="auto" w:fill="auto"/>
            <w:vAlign w:val="center"/>
          </w:tcPr>
          <w:p>
            <w:pPr>
              <w:widowControl/>
              <w:snapToGrid w:val="0"/>
              <w:jc w:val="center"/>
              <w:rPr>
                <w:kern w:val="0"/>
                <w:sz w:val="18"/>
                <w:szCs w:val="18"/>
                <w:lang w:eastAsia="en-US" w:bidi="en-US"/>
              </w:rPr>
            </w:pPr>
            <w:r>
              <w:rPr>
                <w:rFonts w:hint="eastAsia"/>
                <w:kern w:val="0"/>
                <w:sz w:val="18"/>
                <w:szCs w:val="18"/>
                <w:lang w:eastAsia="en-US" w:bidi="en-US"/>
              </w:rPr>
              <w:t>3</w:t>
            </w:r>
            <w:r>
              <w:rPr>
                <w:kern w:val="0"/>
                <w:sz w:val="18"/>
                <w:szCs w:val="18"/>
                <w:lang w:eastAsia="en-US" w:bidi="en-US"/>
              </w:rPr>
              <w:t>4</w:t>
            </w:r>
          </w:p>
        </w:tc>
        <w:tc>
          <w:tcPr>
            <w:tcW w:w="806" w:type="pct"/>
            <w:vMerge w:val="restart"/>
            <w:shd w:val="clear" w:color="auto" w:fill="auto"/>
            <w:vAlign w:val="center"/>
          </w:tcPr>
          <w:p>
            <w:pPr>
              <w:autoSpaceDE w:val="0"/>
              <w:autoSpaceDN w:val="0"/>
              <w:adjustRightInd w:val="0"/>
              <w:snapToGrid w:val="0"/>
              <w:jc w:val="center"/>
              <w:rPr>
                <w:kern w:val="0"/>
                <w:sz w:val="18"/>
                <w:szCs w:val="18"/>
                <w:lang w:eastAsia="en-US" w:bidi="en-US"/>
              </w:rPr>
            </w:pPr>
            <w:r>
              <w:rPr>
                <w:rFonts w:hint="eastAsia"/>
                <w:kern w:val="0"/>
                <w:sz w:val="18"/>
                <w:szCs w:val="18"/>
                <w:lang w:eastAsia="en-US" w:bidi="en-US"/>
              </w:rPr>
              <w:t>二氯甲烷</w:t>
            </w:r>
          </w:p>
        </w:tc>
        <w:tc>
          <w:tcPr>
            <w:tcW w:w="3191" w:type="pct"/>
            <w:shd w:val="clear" w:color="auto" w:fill="auto"/>
            <w:vAlign w:val="center"/>
          </w:tcPr>
          <w:p>
            <w:pPr>
              <w:autoSpaceDE w:val="0"/>
              <w:autoSpaceDN w:val="0"/>
              <w:adjustRightInd w:val="0"/>
              <w:snapToGrid w:val="0"/>
              <w:jc w:val="left"/>
              <w:rPr>
                <w:kern w:val="0"/>
                <w:sz w:val="18"/>
                <w:szCs w:val="18"/>
                <w:lang w:bidi="en-US"/>
              </w:rPr>
            </w:pPr>
            <w:r>
              <w:rPr>
                <w:rFonts w:hint="eastAsia"/>
                <w:spacing w:val="2"/>
                <w:kern w:val="0"/>
                <w:sz w:val="18"/>
                <w:szCs w:val="18"/>
                <w:lang w:bidi="en-US"/>
              </w:rPr>
              <w:t>环境空气 挥发性有机物的测定 吸附管采样</w:t>
            </w:r>
            <w:r>
              <w:rPr>
                <w:spacing w:val="2"/>
                <w:kern w:val="0"/>
                <w:sz w:val="18"/>
                <w:szCs w:val="18"/>
                <w:lang w:bidi="en-US"/>
              </w:rPr>
              <w:t>-</w:t>
            </w:r>
            <w:r>
              <w:rPr>
                <w:rFonts w:hint="eastAsia"/>
                <w:spacing w:val="2"/>
                <w:kern w:val="0"/>
                <w:sz w:val="18"/>
                <w:szCs w:val="18"/>
                <w:lang w:bidi="en-US"/>
              </w:rPr>
              <w:t>热脱附</w:t>
            </w:r>
            <w:r>
              <w:rPr>
                <w:spacing w:val="2"/>
                <w:kern w:val="0"/>
                <w:sz w:val="18"/>
                <w:szCs w:val="18"/>
                <w:lang w:bidi="en-US"/>
              </w:rPr>
              <w:t>/</w:t>
            </w:r>
            <w:r>
              <w:rPr>
                <w:rFonts w:hint="eastAsia"/>
                <w:spacing w:val="2"/>
                <w:kern w:val="0"/>
                <w:sz w:val="18"/>
                <w:szCs w:val="18"/>
                <w:lang w:bidi="en-US"/>
              </w:rPr>
              <w:t>气相色谱</w:t>
            </w:r>
            <w:r>
              <w:rPr>
                <w:spacing w:val="2"/>
                <w:kern w:val="0"/>
                <w:sz w:val="18"/>
                <w:szCs w:val="18"/>
                <w:lang w:bidi="en-US"/>
              </w:rPr>
              <w:t>-</w:t>
            </w:r>
            <w:r>
              <w:rPr>
                <w:rFonts w:hint="eastAsia"/>
                <w:spacing w:val="2"/>
                <w:kern w:val="0"/>
                <w:sz w:val="18"/>
                <w:szCs w:val="18"/>
                <w:lang w:bidi="en-US"/>
              </w:rPr>
              <w:t>质谱法</w:t>
            </w:r>
          </w:p>
        </w:tc>
        <w:tc>
          <w:tcPr>
            <w:tcW w:w="638" w:type="pct"/>
            <w:shd w:val="clear" w:color="auto" w:fill="auto"/>
            <w:vAlign w:val="center"/>
          </w:tcPr>
          <w:p>
            <w:pPr>
              <w:snapToGrid w:val="0"/>
              <w:jc w:val="left"/>
              <w:rPr>
                <w:kern w:val="0"/>
                <w:sz w:val="18"/>
                <w:szCs w:val="18"/>
                <w:lang w:eastAsia="en-US" w:bidi="en-US"/>
              </w:rPr>
            </w:pPr>
            <w:r>
              <w:rPr>
                <w:spacing w:val="2"/>
                <w:kern w:val="0"/>
                <w:sz w:val="18"/>
                <w:szCs w:val="18"/>
                <w:lang w:eastAsia="en-US" w:bidi="en-US"/>
              </w:rPr>
              <w:t>HJ 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eastAsia="en-US" w:bidi="en-US"/>
              </w:rPr>
            </w:pPr>
          </w:p>
        </w:tc>
        <w:tc>
          <w:tcPr>
            <w:tcW w:w="806" w:type="pct"/>
            <w:vMerge w:val="continue"/>
            <w:shd w:val="clear" w:color="auto" w:fill="auto"/>
            <w:vAlign w:val="center"/>
          </w:tcPr>
          <w:p>
            <w:pPr>
              <w:autoSpaceDE w:val="0"/>
              <w:autoSpaceDN w:val="0"/>
              <w:adjustRightInd w:val="0"/>
              <w:snapToGrid w:val="0"/>
              <w:jc w:val="center"/>
              <w:rPr>
                <w:kern w:val="0"/>
                <w:sz w:val="18"/>
                <w:szCs w:val="18"/>
                <w:lang w:eastAsia="en-US" w:bidi="en-US"/>
              </w:rPr>
            </w:pPr>
          </w:p>
        </w:tc>
        <w:tc>
          <w:tcPr>
            <w:tcW w:w="3191" w:type="pct"/>
            <w:shd w:val="clear" w:color="auto" w:fill="auto"/>
            <w:vAlign w:val="center"/>
          </w:tcPr>
          <w:p>
            <w:pPr>
              <w:autoSpaceDE w:val="0"/>
              <w:autoSpaceDN w:val="0"/>
              <w:adjustRightInd w:val="0"/>
              <w:snapToGrid w:val="0"/>
              <w:jc w:val="left"/>
              <w:rPr>
                <w:kern w:val="0"/>
                <w:sz w:val="18"/>
                <w:szCs w:val="18"/>
                <w:lang w:bidi="en-US"/>
              </w:rPr>
            </w:pPr>
            <w:r>
              <w:rPr>
                <w:rFonts w:hint="eastAsia"/>
                <w:spacing w:val="2"/>
                <w:kern w:val="0"/>
                <w:sz w:val="18"/>
                <w:szCs w:val="18"/>
                <w:lang w:bidi="en-US"/>
              </w:rPr>
              <w:t>环境空气</w:t>
            </w:r>
            <w:r>
              <w:rPr>
                <w:spacing w:val="2"/>
                <w:kern w:val="0"/>
                <w:sz w:val="18"/>
                <w:szCs w:val="18"/>
                <w:lang w:bidi="en-US"/>
              </w:rPr>
              <w:t xml:space="preserve"> </w:t>
            </w:r>
            <w:r>
              <w:rPr>
                <w:rFonts w:hint="eastAsia"/>
                <w:spacing w:val="2"/>
                <w:kern w:val="0"/>
                <w:sz w:val="18"/>
                <w:szCs w:val="18"/>
                <w:lang w:bidi="en-US"/>
              </w:rPr>
              <w:t>挥发性有机物的测定</w:t>
            </w:r>
            <w:r>
              <w:rPr>
                <w:spacing w:val="2"/>
                <w:kern w:val="0"/>
                <w:sz w:val="18"/>
                <w:szCs w:val="18"/>
                <w:lang w:bidi="en-US"/>
              </w:rPr>
              <w:t xml:space="preserve"> </w:t>
            </w:r>
            <w:r>
              <w:rPr>
                <w:rFonts w:hint="eastAsia"/>
                <w:spacing w:val="2"/>
                <w:kern w:val="0"/>
                <w:sz w:val="18"/>
                <w:szCs w:val="18"/>
                <w:lang w:bidi="en-US"/>
              </w:rPr>
              <w:t>罐采样</w:t>
            </w:r>
            <w:r>
              <w:rPr>
                <w:spacing w:val="2"/>
                <w:kern w:val="0"/>
                <w:sz w:val="18"/>
                <w:szCs w:val="18"/>
                <w:lang w:bidi="en-US"/>
              </w:rPr>
              <w:t>/</w:t>
            </w:r>
            <w:r>
              <w:rPr>
                <w:rFonts w:hint="eastAsia"/>
                <w:spacing w:val="2"/>
                <w:kern w:val="0"/>
                <w:sz w:val="18"/>
                <w:szCs w:val="18"/>
                <w:lang w:bidi="en-US"/>
              </w:rPr>
              <w:t>气相色谱</w:t>
            </w:r>
            <w:r>
              <w:rPr>
                <w:spacing w:val="2"/>
                <w:kern w:val="0"/>
                <w:sz w:val="18"/>
                <w:szCs w:val="18"/>
                <w:lang w:bidi="en-US"/>
              </w:rPr>
              <w:t>-</w:t>
            </w:r>
            <w:r>
              <w:rPr>
                <w:rFonts w:hint="eastAsia"/>
                <w:spacing w:val="2"/>
                <w:kern w:val="0"/>
                <w:sz w:val="18"/>
                <w:szCs w:val="18"/>
                <w:lang w:bidi="en-US"/>
              </w:rPr>
              <w:t>质谱法</w:t>
            </w:r>
          </w:p>
        </w:tc>
        <w:tc>
          <w:tcPr>
            <w:tcW w:w="638" w:type="pct"/>
            <w:shd w:val="clear" w:color="auto" w:fill="auto"/>
            <w:vAlign w:val="center"/>
          </w:tcPr>
          <w:p>
            <w:pPr>
              <w:snapToGrid w:val="0"/>
              <w:jc w:val="left"/>
              <w:rPr>
                <w:kern w:val="0"/>
                <w:sz w:val="18"/>
                <w:szCs w:val="18"/>
                <w:lang w:eastAsia="en-US" w:bidi="en-US"/>
              </w:rPr>
            </w:pPr>
            <w:r>
              <w:rPr>
                <w:spacing w:val="2"/>
                <w:kern w:val="0"/>
                <w:sz w:val="18"/>
                <w:szCs w:val="18"/>
                <w:lang w:eastAsia="en-US" w:bidi="en-US"/>
              </w:rPr>
              <w:t>HJ 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eastAsia="en-US" w:bidi="en-US"/>
              </w:rPr>
            </w:pPr>
          </w:p>
        </w:tc>
        <w:tc>
          <w:tcPr>
            <w:tcW w:w="806" w:type="pct"/>
            <w:vMerge w:val="continue"/>
            <w:shd w:val="clear" w:color="auto" w:fill="auto"/>
            <w:vAlign w:val="center"/>
          </w:tcPr>
          <w:p>
            <w:pPr>
              <w:autoSpaceDE w:val="0"/>
              <w:autoSpaceDN w:val="0"/>
              <w:adjustRightInd w:val="0"/>
              <w:snapToGrid w:val="0"/>
              <w:jc w:val="center"/>
              <w:rPr>
                <w:kern w:val="0"/>
                <w:sz w:val="18"/>
                <w:szCs w:val="18"/>
                <w:lang w:eastAsia="en-US" w:bidi="en-US"/>
              </w:rPr>
            </w:pPr>
          </w:p>
        </w:tc>
        <w:tc>
          <w:tcPr>
            <w:tcW w:w="3191" w:type="pct"/>
            <w:shd w:val="clear" w:color="auto" w:fill="auto"/>
            <w:vAlign w:val="center"/>
          </w:tcPr>
          <w:p>
            <w:pPr>
              <w:autoSpaceDE w:val="0"/>
              <w:autoSpaceDN w:val="0"/>
              <w:adjustRightInd w:val="0"/>
              <w:snapToGrid w:val="0"/>
              <w:jc w:val="left"/>
              <w:rPr>
                <w:kern w:val="0"/>
                <w:sz w:val="18"/>
                <w:szCs w:val="18"/>
                <w:lang w:bidi="en-US"/>
              </w:rPr>
            </w:pPr>
            <w:r>
              <w:rPr>
                <w:rFonts w:hint="eastAsia"/>
                <w:spacing w:val="2"/>
                <w:kern w:val="0"/>
                <w:sz w:val="18"/>
                <w:szCs w:val="18"/>
                <w:lang w:bidi="en-US"/>
              </w:rPr>
              <w:t>固定污染源废气 挥发性卤代烃的测定 气袋采样-气相色谱法</w:t>
            </w:r>
          </w:p>
        </w:tc>
        <w:tc>
          <w:tcPr>
            <w:tcW w:w="638" w:type="pct"/>
            <w:shd w:val="clear" w:color="auto" w:fill="auto"/>
            <w:vAlign w:val="center"/>
          </w:tcPr>
          <w:p>
            <w:pPr>
              <w:snapToGrid w:val="0"/>
              <w:jc w:val="left"/>
              <w:rPr>
                <w:kern w:val="0"/>
                <w:sz w:val="18"/>
                <w:szCs w:val="18"/>
                <w:lang w:eastAsia="en-US" w:bidi="en-US"/>
              </w:rPr>
            </w:pPr>
            <w:r>
              <w:rPr>
                <w:spacing w:val="2"/>
                <w:kern w:val="0"/>
                <w:sz w:val="18"/>
                <w:szCs w:val="18"/>
                <w:lang w:eastAsia="en-US" w:bidi="en-US"/>
              </w:rPr>
              <w:t>HJ 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shd w:val="clear" w:color="auto" w:fill="auto"/>
            <w:vAlign w:val="center"/>
          </w:tcPr>
          <w:p>
            <w:pPr>
              <w:widowControl/>
              <w:snapToGrid w:val="0"/>
              <w:jc w:val="center"/>
              <w:rPr>
                <w:kern w:val="0"/>
                <w:sz w:val="18"/>
                <w:szCs w:val="18"/>
                <w:lang w:bidi="en-US"/>
              </w:rPr>
            </w:pPr>
            <w:r>
              <w:rPr>
                <w:rFonts w:hint="eastAsia"/>
                <w:kern w:val="0"/>
                <w:sz w:val="18"/>
                <w:szCs w:val="18"/>
                <w:lang w:eastAsia="en-US" w:bidi="en-US"/>
              </w:rPr>
              <w:t>3</w:t>
            </w:r>
            <w:r>
              <w:rPr>
                <w:kern w:val="0"/>
                <w:sz w:val="18"/>
                <w:szCs w:val="18"/>
                <w:lang w:eastAsia="en-US" w:bidi="en-US"/>
              </w:rPr>
              <w:t>5</w:t>
            </w:r>
          </w:p>
        </w:tc>
        <w:tc>
          <w:tcPr>
            <w:tcW w:w="806" w:type="pct"/>
            <w:vMerge w:val="restart"/>
            <w:shd w:val="clear" w:color="auto" w:fill="auto"/>
            <w:vAlign w:val="center"/>
          </w:tcPr>
          <w:p>
            <w:pPr>
              <w:autoSpaceDE w:val="0"/>
              <w:autoSpaceDN w:val="0"/>
              <w:adjustRightInd w:val="0"/>
              <w:snapToGrid w:val="0"/>
              <w:jc w:val="center"/>
              <w:rPr>
                <w:spacing w:val="2"/>
                <w:kern w:val="0"/>
                <w:sz w:val="18"/>
                <w:szCs w:val="18"/>
                <w:lang w:bidi="en-US"/>
              </w:rPr>
            </w:pPr>
            <w:r>
              <w:rPr>
                <w:rFonts w:hint="eastAsia"/>
                <w:spacing w:val="2"/>
                <w:kern w:val="0"/>
                <w:sz w:val="18"/>
                <w:szCs w:val="18"/>
                <w:lang w:eastAsia="en-US" w:bidi="en-US"/>
              </w:rPr>
              <w:t>三氯甲烷</w:t>
            </w: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 挥发性有机物的测定 吸附管采样</w:t>
            </w:r>
            <w:r>
              <w:rPr>
                <w:spacing w:val="2"/>
                <w:kern w:val="0"/>
                <w:sz w:val="18"/>
                <w:szCs w:val="18"/>
                <w:lang w:bidi="en-US"/>
              </w:rPr>
              <w:t>-</w:t>
            </w:r>
            <w:r>
              <w:rPr>
                <w:rFonts w:hint="eastAsia"/>
                <w:spacing w:val="2"/>
                <w:kern w:val="0"/>
                <w:sz w:val="18"/>
                <w:szCs w:val="18"/>
                <w:lang w:bidi="en-US"/>
              </w:rPr>
              <w:t>热脱附</w:t>
            </w:r>
            <w:r>
              <w:rPr>
                <w:spacing w:val="2"/>
                <w:kern w:val="0"/>
                <w:sz w:val="18"/>
                <w:szCs w:val="18"/>
                <w:lang w:bidi="en-US"/>
              </w:rPr>
              <w:t>/</w:t>
            </w:r>
            <w:r>
              <w:rPr>
                <w:rFonts w:hint="eastAsia"/>
                <w:spacing w:val="2"/>
                <w:kern w:val="0"/>
                <w:sz w:val="18"/>
                <w:szCs w:val="18"/>
                <w:lang w:bidi="en-US"/>
              </w:rPr>
              <w:t>气相色谱</w:t>
            </w:r>
            <w:r>
              <w:rPr>
                <w:spacing w:val="2"/>
                <w:kern w:val="0"/>
                <w:sz w:val="18"/>
                <w:szCs w:val="18"/>
                <w:lang w:bidi="en-US"/>
              </w:rPr>
              <w:t>-</w:t>
            </w:r>
            <w:r>
              <w:rPr>
                <w:rFonts w:hint="eastAsia"/>
                <w:spacing w:val="2"/>
                <w:kern w:val="0"/>
                <w:sz w:val="18"/>
                <w:szCs w:val="18"/>
                <w:lang w:bidi="en-US"/>
              </w:rPr>
              <w:t>质谱法</w:t>
            </w:r>
          </w:p>
        </w:tc>
        <w:tc>
          <w:tcPr>
            <w:tcW w:w="638" w:type="pct"/>
            <w:shd w:val="clear" w:color="auto" w:fill="auto"/>
            <w:vAlign w:val="center"/>
          </w:tcPr>
          <w:p>
            <w:pPr>
              <w:snapToGrid w:val="0"/>
              <w:jc w:val="left"/>
              <w:rPr>
                <w:rFonts w:eastAsia="方正仿宋_GBK"/>
                <w:kern w:val="0"/>
                <w:sz w:val="18"/>
                <w:szCs w:val="18"/>
                <w:lang w:bidi="en-US"/>
              </w:rPr>
            </w:pPr>
            <w:r>
              <w:rPr>
                <w:rFonts w:eastAsia="方正仿宋_GBK"/>
                <w:kern w:val="0"/>
                <w:sz w:val="18"/>
                <w:szCs w:val="18"/>
                <w:lang w:eastAsia="en-US" w:bidi="en-US"/>
              </w:rPr>
              <w:t>HJ 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bidi="en-US"/>
              </w:rPr>
            </w:pPr>
          </w:p>
        </w:tc>
        <w:tc>
          <w:tcPr>
            <w:tcW w:w="806" w:type="pct"/>
            <w:vMerge w:val="continue"/>
            <w:shd w:val="clear" w:color="auto" w:fill="auto"/>
            <w:vAlign w:val="center"/>
          </w:tcPr>
          <w:p>
            <w:pPr>
              <w:autoSpaceDE w:val="0"/>
              <w:autoSpaceDN w:val="0"/>
              <w:adjustRightInd w:val="0"/>
              <w:snapToGrid w:val="0"/>
              <w:jc w:val="center"/>
              <w:rPr>
                <w:spacing w:val="2"/>
                <w:kern w:val="0"/>
                <w:sz w:val="18"/>
                <w:szCs w:val="18"/>
                <w:lang w:bidi="en-US"/>
              </w:rPr>
            </w:pP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 挥发性卤代烃的测定 活性炭吸附-二硫化碳解吸/气相色谱法</w:t>
            </w:r>
          </w:p>
        </w:tc>
        <w:tc>
          <w:tcPr>
            <w:tcW w:w="638" w:type="pct"/>
            <w:shd w:val="clear" w:color="auto" w:fill="auto"/>
            <w:vAlign w:val="center"/>
          </w:tcPr>
          <w:p>
            <w:pPr>
              <w:snapToGrid w:val="0"/>
              <w:jc w:val="left"/>
              <w:rPr>
                <w:rFonts w:eastAsia="方正仿宋_GBK"/>
                <w:kern w:val="0"/>
                <w:sz w:val="18"/>
                <w:szCs w:val="18"/>
                <w:lang w:bidi="en-US"/>
              </w:rPr>
            </w:pPr>
            <w:r>
              <w:rPr>
                <w:rFonts w:hint="eastAsia"/>
                <w:spacing w:val="2"/>
                <w:kern w:val="0"/>
                <w:sz w:val="18"/>
                <w:szCs w:val="18"/>
                <w:lang w:eastAsia="en-US" w:bidi="en-US"/>
              </w:rPr>
              <w:t>HJ 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bidi="en-US"/>
              </w:rPr>
            </w:pPr>
          </w:p>
        </w:tc>
        <w:tc>
          <w:tcPr>
            <w:tcW w:w="806" w:type="pct"/>
            <w:vMerge w:val="continue"/>
            <w:shd w:val="clear" w:color="auto" w:fill="auto"/>
            <w:vAlign w:val="center"/>
          </w:tcPr>
          <w:p>
            <w:pPr>
              <w:autoSpaceDE w:val="0"/>
              <w:autoSpaceDN w:val="0"/>
              <w:adjustRightInd w:val="0"/>
              <w:snapToGrid w:val="0"/>
              <w:jc w:val="center"/>
              <w:rPr>
                <w:spacing w:val="2"/>
                <w:kern w:val="0"/>
                <w:sz w:val="18"/>
                <w:szCs w:val="18"/>
                <w:lang w:bidi="en-US"/>
              </w:rPr>
            </w:pP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固定污染源废气 挥发性卤代烃的测定 气袋采样-气相色谱法</w:t>
            </w:r>
          </w:p>
        </w:tc>
        <w:tc>
          <w:tcPr>
            <w:tcW w:w="638" w:type="pct"/>
            <w:shd w:val="clear" w:color="auto" w:fill="auto"/>
            <w:vAlign w:val="center"/>
          </w:tcPr>
          <w:p>
            <w:pPr>
              <w:snapToGrid w:val="0"/>
              <w:jc w:val="left"/>
              <w:rPr>
                <w:rFonts w:eastAsia="方正仿宋_GBK"/>
                <w:kern w:val="0"/>
                <w:sz w:val="18"/>
                <w:szCs w:val="18"/>
                <w:lang w:bidi="en-US"/>
              </w:rPr>
            </w:pPr>
            <w:r>
              <w:rPr>
                <w:kern w:val="0"/>
                <w:sz w:val="18"/>
                <w:szCs w:val="18"/>
                <w:lang w:eastAsia="en-US" w:bidi="en-US"/>
              </w:rPr>
              <w:t>HJ 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shd w:val="clear" w:color="auto" w:fill="auto"/>
            <w:vAlign w:val="center"/>
          </w:tcPr>
          <w:p>
            <w:pPr>
              <w:widowControl/>
              <w:snapToGrid w:val="0"/>
              <w:jc w:val="center"/>
              <w:rPr>
                <w:kern w:val="0"/>
                <w:sz w:val="18"/>
                <w:szCs w:val="18"/>
                <w:lang w:bidi="en-US"/>
              </w:rPr>
            </w:pPr>
            <w:r>
              <w:rPr>
                <w:kern w:val="0"/>
                <w:sz w:val="18"/>
                <w:szCs w:val="18"/>
                <w:lang w:eastAsia="en-US" w:bidi="en-US"/>
              </w:rPr>
              <w:t>36</w:t>
            </w:r>
          </w:p>
        </w:tc>
        <w:tc>
          <w:tcPr>
            <w:tcW w:w="806" w:type="pct"/>
            <w:vMerge w:val="restart"/>
            <w:shd w:val="clear" w:color="auto" w:fill="auto"/>
            <w:vAlign w:val="center"/>
          </w:tcPr>
          <w:p>
            <w:pPr>
              <w:autoSpaceDE w:val="0"/>
              <w:autoSpaceDN w:val="0"/>
              <w:adjustRightInd w:val="0"/>
              <w:snapToGrid w:val="0"/>
              <w:jc w:val="center"/>
              <w:rPr>
                <w:spacing w:val="2"/>
                <w:kern w:val="0"/>
                <w:sz w:val="18"/>
                <w:szCs w:val="18"/>
                <w:lang w:bidi="en-US"/>
              </w:rPr>
            </w:pPr>
            <w:r>
              <w:rPr>
                <w:kern w:val="0"/>
                <w:sz w:val="18"/>
                <w:szCs w:val="18"/>
                <w:lang w:eastAsia="en-US" w:bidi="en-US"/>
              </w:rPr>
              <w:t>氯乙烯</w:t>
            </w: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spacing w:val="2"/>
                <w:kern w:val="0"/>
                <w:sz w:val="18"/>
                <w:szCs w:val="18"/>
                <w:lang w:bidi="en-US"/>
              </w:rPr>
              <w:t>固定污染源排气中氯乙烯的测定</w:t>
            </w:r>
            <w:r>
              <w:rPr>
                <w:rFonts w:hint="eastAsia"/>
                <w:spacing w:val="2"/>
                <w:kern w:val="0"/>
                <w:sz w:val="18"/>
                <w:szCs w:val="18"/>
                <w:lang w:bidi="en-US"/>
              </w:rPr>
              <w:t xml:space="preserve"> </w:t>
            </w:r>
            <w:r>
              <w:rPr>
                <w:spacing w:val="2"/>
                <w:kern w:val="0"/>
                <w:sz w:val="18"/>
                <w:szCs w:val="18"/>
                <w:lang w:bidi="en-US"/>
              </w:rPr>
              <w:t>气相色谱法</w:t>
            </w:r>
          </w:p>
        </w:tc>
        <w:tc>
          <w:tcPr>
            <w:tcW w:w="638" w:type="pct"/>
            <w:shd w:val="clear" w:color="auto" w:fill="auto"/>
            <w:vAlign w:val="center"/>
          </w:tcPr>
          <w:p>
            <w:pPr>
              <w:snapToGrid w:val="0"/>
              <w:jc w:val="left"/>
              <w:rPr>
                <w:rFonts w:eastAsia="方正仿宋_GBK"/>
                <w:kern w:val="0"/>
                <w:sz w:val="18"/>
                <w:szCs w:val="18"/>
                <w:lang w:bidi="en-US"/>
              </w:rPr>
            </w:pPr>
            <w:r>
              <w:rPr>
                <w:spacing w:val="2"/>
                <w:kern w:val="0"/>
                <w:sz w:val="18"/>
                <w:szCs w:val="18"/>
                <w:lang w:eastAsia="en-US" w:bidi="en-US"/>
              </w:rPr>
              <w:t>HJ/T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bidi="en-US"/>
              </w:rPr>
            </w:pPr>
          </w:p>
        </w:tc>
        <w:tc>
          <w:tcPr>
            <w:tcW w:w="806" w:type="pct"/>
            <w:vMerge w:val="continue"/>
            <w:shd w:val="clear" w:color="auto" w:fill="auto"/>
            <w:vAlign w:val="center"/>
          </w:tcPr>
          <w:p>
            <w:pPr>
              <w:autoSpaceDE w:val="0"/>
              <w:autoSpaceDN w:val="0"/>
              <w:adjustRightInd w:val="0"/>
              <w:snapToGrid w:val="0"/>
              <w:jc w:val="center"/>
              <w:rPr>
                <w:spacing w:val="2"/>
                <w:kern w:val="0"/>
                <w:sz w:val="18"/>
                <w:szCs w:val="18"/>
                <w:lang w:bidi="en-US"/>
              </w:rPr>
            </w:pP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kern w:val="0"/>
                <w:sz w:val="18"/>
                <w:szCs w:val="18"/>
                <w:lang w:bidi="en-US"/>
              </w:rPr>
              <w:t>环境空气</w:t>
            </w:r>
            <w:r>
              <w:rPr>
                <w:kern w:val="0"/>
                <w:sz w:val="18"/>
                <w:szCs w:val="18"/>
                <w:lang w:bidi="en-US"/>
              </w:rPr>
              <w:t xml:space="preserve"> </w:t>
            </w:r>
            <w:r>
              <w:rPr>
                <w:rFonts w:hint="eastAsia"/>
                <w:kern w:val="0"/>
                <w:sz w:val="18"/>
                <w:szCs w:val="18"/>
                <w:lang w:bidi="en-US"/>
              </w:rPr>
              <w:t>挥发性有机物的测定</w:t>
            </w:r>
            <w:r>
              <w:rPr>
                <w:kern w:val="0"/>
                <w:sz w:val="18"/>
                <w:szCs w:val="18"/>
                <w:lang w:bidi="en-US"/>
              </w:rPr>
              <w:t xml:space="preserve"> </w:t>
            </w:r>
            <w:r>
              <w:rPr>
                <w:rFonts w:hint="eastAsia"/>
                <w:kern w:val="0"/>
                <w:sz w:val="18"/>
                <w:szCs w:val="18"/>
                <w:lang w:bidi="en-US"/>
              </w:rPr>
              <w:t>罐采样</w:t>
            </w:r>
            <w:r>
              <w:rPr>
                <w:kern w:val="0"/>
                <w:sz w:val="18"/>
                <w:szCs w:val="18"/>
                <w:lang w:bidi="en-US"/>
              </w:rPr>
              <w:t>/</w:t>
            </w:r>
            <w:r>
              <w:rPr>
                <w:rFonts w:hint="eastAsia"/>
                <w:kern w:val="0"/>
                <w:sz w:val="18"/>
                <w:szCs w:val="18"/>
                <w:lang w:bidi="en-US"/>
              </w:rPr>
              <w:t>气相色谱</w:t>
            </w:r>
            <w:r>
              <w:rPr>
                <w:kern w:val="0"/>
                <w:sz w:val="18"/>
                <w:szCs w:val="18"/>
                <w:lang w:bidi="en-US"/>
              </w:rPr>
              <w:t>-</w:t>
            </w:r>
            <w:r>
              <w:rPr>
                <w:rFonts w:hint="eastAsia"/>
                <w:kern w:val="0"/>
                <w:sz w:val="18"/>
                <w:szCs w:val="18"/>
                <w:lang w:bidi="en-US"/>
              </w:rPr>
              <w:t>质谱法</w:t>
            </w:r>
          </w:p>
        </w:tc>
        <w:tc>
          <w:tcPr>
            <w:tcW w:w="638" w:type="pct"/>
            <w:shd w:val="clear" w:color="auto" w:fill="auto"/>
            <w:vAlign w:val="center"/>
          </w:tcPr>
          <w:p>
            <w:pPr>
              <w:snapToGrid w:val="0"/>
              <w:jc w:val="left"/>
              <w:rPr>
                <w:rFonts w:eastAsia="方正仿宋_GBK"/>
                <w:kern w:val="0"/>
                <w:sz w:val="18"/>
                <w:szCs w:val="18"/>
                <w:lang w:bidi="en-US"/>
              </w:rPr>
            </w:pPr>
            <w:r>
              <w:rPr>
                <w:kern w:val="0"/>
                <w:sz w:val="18"/>
                <w:szCs w:val="18"/>
                <w:lang w:eastAsia="en-US" w:bidi="en-US"/>
              </w:rPr>
              <w:t>HJ 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bidi="en-US"/>
              </w:rPr>
            </w:pPr>
          </w:p>
        </w:tc>
        <w:tc>
          <w:tcPr>
            <w:tcW w:w="806" w:type="pct"/>
            <w:vMerge w:val="continue"/>
            <w:shd w:val="clear" w:color="auto" w:fill="auto"/>
            <w:vAlign w:val="center"/>
          </w:tcPr>
          <w:p>
            <w:pPr>
              <w:autoSpaceDE w:val="0"/>
              <w:autoSpaceDN w:val="0"/>
              <w:adjustRightInd w:val="0"/>
              <w:snapToGrid w:val="0"/>
              <w:jc w:val="center"/>
              <w:rPr>
                <w:spacing w:val="2"/>
                <w:kern w:val="0"/>
                <w:sz w:val="18"/>
                <w:szCs w:val="18"/>
                <w:lang w:bidi="en-US"/>
              </w:rPr>
            </w:pP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固定污染源废气 挥发性卤代烃的测定 气袋采样-气相色谱法</w:t>
            </w:r>
          </w:p>
        </w:tc>
        <w:tc>
          <w:tcPr>
            <w:tcW w:w="638" w:type="pct"/>
            <w:shd w:val="clear" w:color="auto" w:fill="auto"/>
            <w:vAlign w:val="center"/>
          </w:tcPr>
          <w:p>
            <w:pPr>
              <w:snapToGrid w:val="0"/>
              <w:jc w:val="left"/>
              <w:rPr>
                <w:rFonts w:eastAsia="方正仿宋_GBK"/>
                <w:kern w:val="0"/>
                <w:sz w:val="18"/>
                <w:szCs w:val="18"/>
                <w:lang w:bidi="en-US"/>
              </w:rPr>
            </w:pPr>
            <w:r>
              <w:rPr>
                <w:spacing w:val="2"/>
                <w:kern w:val="0"/>
                <w:sz w:val="18"/>
                <w:szCs w:val="18"/>
                <w:lang w:eastAsia="en-US" w:bidi="en-US"/>
              </w:rPr>
              <w:t>HJ 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shd w:val="clear" w:color="auto" w:fill="auto"/>
            <w:vAlign w:val="center"/>
          </w:tcPr>
          <w:p>
            <w:pPr>
              <w:widowControl/>
              <w:snapToGrid w:val="0"/>
              <w:jc w:val="center"/>
              <w:rPr>
                <w:kern w:val="0"/>
                <w:sz w:val="18"/>
                <w:szCs w:val="18"/>
                <w:lang w:bidi="en-US"/>
              </w:rPr>
            </w:pPr>
            <w:r>
              <w:rPr>
                <w:rFonts w:hint="eastAsia"/>
                <w:kern w:val="0"/>
                <w:sz w:val="18"/>
                <w:szCs w:val="18"/>
                <w:lang w:eastAsia="en-US" w:bidi="en-US"/>
              </w:rPr>
              <w:t>3</w:t>
            </w:r>
            <w:r>
              <w:rPr>
                <w:kern w:val="0"/>
                <w:sz w:val="18"/>
                <w:szCs w:val="18"/>
                <w:lang w:eastAsia="en-US" w:bidi="en-US"/>
              </w:rPr>
              <w:t>7</w:t>
            </w:r>
          </w:p>
        </w:tc>
        <w:tc>
          <w:tcPr>
            <w:tcW w:w="806" w:type="pct"/>
            <w:vMerge w:val="restart"/>
            <w:shd w:val="clear" w:color="auto" w:fill="auto"/>
            <w:vAlign w:val="center"/>
          </w:tcPr>
          <w:p>
            <w:pPr>
              <w:autoSpaceDE w:val="0"/>
              <w:autoSpaceDN w:val="0"/>
              <w:adjustRightInd w:val="0"/>
              <w:snapToGrid w:val="0"/>
              <w:jc w:val="center"/>
              <w:rPr>
                <w:spacing w:val="2"/>
                <w:kern w:val="0"/>
                <w:sz w:val="18"/>
                <w:szCs w:val="18"/>
                <w:lang w:bidi="en-US"/>
              </w:rPr>
            </w:pPr>
            <w:r>
              <w:rPr>
                <w:rFonts w:hint="eastAsia"/>
                <w:spacing w:val="2"/>
                <w:kern w:val="0"/>
                <w:sz w:val="18"/>
                <w:szCs w:val="18"/>
                <w:lang w:eastAsia="en-US" w:bidi="en-US"/>
              </w:rPr>
              <w:t>三氯乙烯</w:t>
            </w:r>
            <w:r>
              <w:rPr>
                <w:rFonts w:hint="eastAsia"/>
                <w:spacing w:val="2"/>
                <w:kern w:val="0"/>
                <w:sz w:val="18"/>
                <w:szCs w:val="18"/>
                <w:lang w:bidi="en-US"/>
              </w:rPr>
              <w:t>、</w:t>
            </w:r>
          </w:p>
          <w:p>
            <w:pPr>
              <w:autoSpaceDE w:val="0"/>
              <w:autoSpaceDN w:val="0"/>
              <w:adjustRightInd w:val="0"/>
              <w:snapToGrid w:val="0"/>
              <w:jc w:val="center"/>
              <w:rPr>
                <w:spacing w:val="2"/>
                <w:kern w:val="0"/>
                <w:sz w:val="18"/>
                <w:szCs w:val="18"/>
                <w:lang w:bidi="en-US"/>
              </w:rPr>
            </w:pPr>
            <w:r>
              <w:rPr>
                <w:rFonts w:hint="eastAsia"/>
                <w:spacing w:val="2"/>
                <w:kern w:val="0"/>
                <w:sz w:val="18"/>
                <w:szCs w:val="18"/>
                <w:lang w:eastAsia="en-US" w:bidi="en-US"/>
              </w:rPr>
              <w:t>四氯乙烯</w:t>
            </w: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 挥发性有机物的测定 吸附管采样</w:t>
            </w:r>
            <w:r>
              <w:rPr>
                <w:spacing w:val="2"/>
                <w:kern w:val="0"/>
                <w:sz w:val="18"/>
                <w:szCs w:val="18"/>
                <w:lang w:bidi="en-US"/>
              </w:rPr>
              <w:t>-</w:t>
            </w:r>
            <w:r>
              <w:rPr>
                <w:rFonts w:hint="eastAsia"/>
                <w:spacing w:val="2"/>
                <w:kern w:val="0"/>
                <w:sz w:val="18"/>
                <w:szCs w:val="18"/>
                <w:lang w:bidi="en-US"/>
              </w:rPr>
              <w:t>热脱附</w:t>
            </w:r>
            <w:r>
              <w:rPr>
                <w:spacing w:val="2"/>
                <w:kern w:val="0"/>
                <w:sz w:val="18"/>
                <w:szCs w:val="18"/>
                <w:lang w:bidi="en-US"/>
              </w:rPr>
              <w:t>/</w:t>
            </w:r>
            <w:r>
              <w:rPr>
                <w:rFonts w:hint="eastAsia"/>
                <w:spacing w:val="2"/>
                <w:kern w:val="0"/>
                <w:sz w:val="18"/>
                <w:szCs w:val="18"/>
                <w:lang w:bidi="en-US"/>
              </w:rPr>
              <w:t>气相色谱</w:t>
            </w:r>
            <w:r>
              <w:rPr>
                <w:spacing w:val="2"/>
                <w:kern w:val="0"/>
                <w:sz w:val="18"/>
                <w:szCs w:val="18"/>
                <w:lang w:bidi="en-US"/>
              </w:rPr>
              <w:t>-</w:t>
            </w:r>
            <w:r>
              <w:rPr>
                <w:rFonts w:hint="eastAsia"/>
                <w:spacing w:val="2"/>
                <w:kern w:val="0"/>
                <w:sz w:val="18"/>
                <w:szCs w:val="18"/>
                <w:lang w:bidi="en-US"/>
              </w:rPr>
              <w:t>质谱法</w:t>
            </w:r>
          </w:p>
        </w:tc>
        <w:tc>
          <w:tcPr>
            <w:tcW w:w="638" w:type="pct"/>
            <w:shd w:val="clear" w:color="auto" w:fill="auto"/>
            <w:vAlign w:val="center"/>
          </w:tcPr>
          <w:p>
            <w:pPr>
              <w:snapToGrid w:val="0"/>
              <w:jc w:val="left"/>
              <w:rPr>
                <w:rFonts w:eastAsia="方正仿宋_GBK"/>
                <w:kern w:val="0"/>
                <w:sz w:val="18"/>
                <w:szCs w:val="18"/>
                <w:lang w:bidi="en-US"/>
              </w:rPr>
            </w:pPr>
            <w:r>
              <w:rPr>
                <w:rFonts w:eastAsia="方正仿宋_GBK"/>
                <w:kern w:val="0"/>
                <w:sz w:val="18"/>
                <w:szCs w:val="18"/>
                <w:lang w:eastAsia="en-US" w:bidi="en-US"/>
              </w:rPr>
              <w:t>HJ 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bidi="en-US"/>
              </w:rPr>
            </w:pPr>
          </w:p>
        </w:tc>
        <w:tc>
          <w:tcPr>
            <w:tcW w:w="806" w:type="pct"/>
            <w:vMerge w:val="continue"/>
            <w:shd w:val="clear" w:color="auto" w:fill="auto"/>
            <w:vAlign w:val="center"/>
          </w:tcPr>
          <w:p>
            <w:pPr>
              <w:autoSpaceDE w:val="0"/>
              <w:autoSpaceDN w:val="0"/>
              <w:adjustRightInd w:val="0"/>
              <w:snapToGrid w:val="0"/>
              <w:jc w:val="center"/>
              <w:rPr>
                <w:spacing w:val="2"/>
                <w:kern w:val="0"/>
                <w:sz w:val="18"/>
                <w:szCs w:val="18"/>
                <w:lang w:bidi="en-US"/>
              </w:rPr>
            </w:pP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 挥发性卤代烃的测定 活性炭吸附-二硫化碳解吸/气相色谱法</w:t>
            </w:r>
          </w:p>
        </w:tc>
        <w:tc>
          <w:tcPr>
            <w:tcW w:w="638" w:type="pct"/>
            <w:shd w:val="clear" w:color="auto" w:fill="auto"/>
            <w:vAlign w:val="center"/>
          </w:tcPr>
          <w:p>
            <w:pPr>
              <w:snapToGrid w:val="0"/>
              <w:jc w:val="left"/>
              <w:rPr>
                <w:rFonts w:eastAsia="方正仿宋_GBK"/>
                <w:kern w:val="0"/>
                <w:sz w:val="18"/>
                <w:szCs w:val="18"/>
                <w:lang w:bidi="en-US"/>
              </w:rPr>
            </w:pPr>
            <w:r>
              <w:rPr>
                <w:rFonts w:hint="eastAsia"/>
                <w:spacing w:val="2"/>
                <w:kern w:val="0"/>
                <w:sz w:val="18"/>
                <w:szCs w:val="18"/>
                <w:lang w:eastAsia="en-US" w:bidi="en-US"/>
              </w:rPr>
              <w:t>HJ 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bidi="en-US"/>
              </w:rPr>
            </w:pPr>
          </w:p>
        </w:tc>
        <w:tc>
          <w:tcPr>
            <w:tcW w:w="806" w:type="pct"/>
            <w:vMerge w:val="continue"/>
            <w:shd w:val="clear" w:color="auto" w:fill="auto"/>
            <w:vAlign w:val="center"/>
          </w:tcPr>
          <w:p>
            <w:pPr>
              <w:autoSpaceDE w:val="0"/>
              <w:autoSpaceDN w:val="0"/>
              <w:adjustRightInd w:val="0"/>
              <w:snapToGrid w:val="0"/>
              <w:jc w:val="center"/>
              <w:rPr>
                <w:spacing w:val="2"/>
                <w:kern w:val="0"/>
                <w:sz w:val="18"/>
                <w:szCs w:val="18"/>
                <w:lang w:bidi="en-US"/>
              </w:rPr>
            </w:pP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kern w:val="0"/>
                <w:sz w:val="18"/>
                <w:szCs w:val="18"/>
                <w:lang w:bidi="en-US"/>
              </w:rPr>
              <w:t>环境空气</w:t>
            </w:r>
            <w:r>
              <w:rPr>
                <w:kern w:val="0"/>
                <w:sz w:val="18"/>
                <w:szCs w:val="18"/>
                <w:lang w:bidi="en-US"/>
              </w:rPr>
              <w:t xml:space="preserve"> </w:t>
            </w:r>
            <w:r>
              <w:rPr>
                <w:rFonts w:hint="eastAsia"/>
                <w:kern w:val="0"/>
                <w:sz w:val="18"/>
                <w:szCs w:val="18"/>
                <w:lang w:bidi="en-US"/>
              </w:rPr>
              <w:t>挥发性有机物的测定</w:t>
            </w:r>
            <w:r>
              <w:rPr>
                <w:kern w:val="0"/>
                <w:sz w:val="18"/>
                <w:szCs w:val="18"/>
                <w:lang w:bidi="en-US"/>
              </w:rPr>
              <w:t xml:space="preserve"> </w:t>
            </w:r>
            <w:r>
              <w:rPr>
                <w:rFonts w:hint="eastAsia"/>
                <w:kern w:val="0"/>
                <w:sz w:val="18"/>
                <w:szCs w:val="18"/>
                <w:lang w:bidi="en-US"/>
              </w:rPr>
              <w:t>罐采样</w:t>
            </w:r>
            <w:r>
              <w:rPr>
                <w:kern w:val="0"/>
                <w:sz w:val="18"/>
                <w:szCs w:val="18"/>
                <w:lang w:bidi="en-US"/>
              </w:rPr>
              <w:t>/</w:t>
            </w:r>
            <w:r>
              <w:rPr>
                <w:rFonts w:hint="eastAsia"/>
                <w:kern w:val="0"/>
                <w:sz w:val="18"/>
                <w:szCs w:val="18"/>
                <w:lang w:bidi="en-US"/>
              </w:rPr>
              <w:t>气相色谱</w:t>
            </w:r>
            <w:r>
              <w:rPr>
                <w:kern w:val="0"/>
                <w:sz w:val="18"/>
                <w:szCs w:val="18"/>
                <w:lang w:bidi="en-US"/>
              </w:rPr>
              <w:t>-</w:t>
            </w:r>
            <w:r>
              <w:rPr>
                <w:rFonts w:hint="eastAsia"/>
                <w:kern w:val="0"/>
                <w:sz w:val="18"/>
                <w:szCs w:val="18"/>
                <w:lang w:bidi="en-US"/>
              </w:rPr>
              <w:t>质谱法</w:t>
            </w:r>
          </w:p>
        </w:tc>
        <w:tc>
          <w:tcPr>
            <w:tcW w:w="638" w:type="pct"/>
            <w:shd w:val="clear" w:color="auto" w:fill="auto"/>
            <w:vAlign w:val="center"/>
          </w:tcPr>
          <w:p>
            <w:pPr>
              <w:snapToGrid w:val="0"/>
              <w:jc w:val="left"/>
              <w:rPr>
                <w:rFonts w:eastAsia="方正仿宋_GBK"/>
                <w:kern w:val="0"/>
                <w:sz w:val="18"/>
                <w:szCs w:val="18"/>
                <w:lang w:bidi="en-US"/>
              </w:rPr>
            </w:pPr>
            <w:r>
              <w:rPr>
                <w:kern w:val="0"/>
                <w:sz w:val="18"/>
                <w:szCs w:val="18"/>
                <w:lang w:eastAsia="en-US" w:bidi="en-US"/>
              </w:rPr>
              <w:t>HJ 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lang w:bidi="en-US"/>
              </w:rPr>
            </w:pPr>
          </w:p>
        </w:tc>
        <w:tc>
          <w:tcPr>
            <w:tcW w:w="806" w:type="pct"/>
            <w:vMerge w:val="continue"/>
            <w:shd w:val="clear" w:color="auto" w:fill="auto"/>
            <w:vAlign w:val="center"/>
          </w:tcPr>
          <w:p>
            <w:pPr>
              <w:autoSpaceDE w:val="0"/>
              <w:autoSpaceDN w:val="0"/>
              <w:adjustRightInd w:val="0"/>
              <w:snapToGrid w:val="0"/>
              <w:jc w:val="center"/>
              <w:rPr>
                <w:spacing w:val="2"/>
                <w:kern w:val="0"/>
                <w:sz w:val="18"/>
                <w:szCs w:val="18"/>
                <w:lang w:bidi="en-US"/>
              </w:rPr>
            </w:pPr>
          </w:p>
        </w:tc>
        <w:tc>
          <w:tcPr>
            <w:tcW w:w="3191" w:type="pct"/>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固定污染源废气 挥发性卤代烃的测定 气袋采样-气相色谱法</w:t>
            </w:r>
          </w:p>
        </w:tc>
        <w:tc>
          <w:tcPr>
            <w:tcW w:w="638" w:type="pct"/>
            <w:shd w:val="clear" w:color="auto" w:fill="auto"/>
            <w:vAlign w:val="center"/>
          </w:tcPr>
          <w:p>
            <w:pPr>
              <w:snapToGrid w:val="0"/>
              <w:jc w:val="left"/>
              <w:rPr>
                <w:rFonts w:eastAsia="方正仿宋_GBK"/>
                <w:kern w:val="0"/>
                <w:sz w:val="18"/>
                <w:szCs w:val="18"/>
                <w:lang w:bidi="en-US"/>
              </w:rPr>
            </w:pPr>
            <w:r>
              <w:rPr>
                <w:kern w:val="0"/>
                <w:sz w:val="18"/>
                <w:szCs w:val="18"/>
                <w:lang w:eastAsia="en-US" w:bidi="en-US"/>
              </w:rPr>
              <w:t>HJ 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restart"/>
            <w:shd w:val="clear" w:color="auto" w:fill="auto"/>
            <w:vAlign w:val="center"/>
          </w:tcPr>
          <w:p>
            <w:pPr>
              <w:widowControl/>
              <w:snapToGrid w:val="0"/>
              <w:jc w:val="center"/>
              <w:rPr>
                <w:kern w:val="0"/>
                <w:sz w:val="18"/>
                <w:szCs w:val="18"/>
              </w:rPr>
            </w:pPr>
            <w:r>
              <w:rPr>
                <w:rFonts w:hint="eastAsia"/>
                <w:kern w:val="0"/>
                <w:sz w:val="18"/>
                <w:szCs w:val="18"/>
                <w:lang w:eastAsia="en-US" w:bidi="en-US"/>
              </w:rPr>
              <w:t>3</w:t>
            </w:r>
            <w:r>
              <w:rPr>
                <w:kern w:val="0"/>
                <w:sz w:val="18"/>
                <w:szCs w:val="18"/>
                <w:lang w:eastAsia="en-US" w:bidi="en-US"/>
              </w:rPr>
              <w:t>8</w:t>
            </w:r>
          </w:p>
        </w:tc>
        <w:tc>
          <w:tcPr>
            <w:tcW w:w="806" w:type="pct"/>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spacing w:val="2"/>
                <w:kern w:val="0"/>
                <w:sz w:val="18"/>
                <w:szCs w:val="18"/>
              </w:rPr>
            </w:pPr>
            <w:r>
              <w:rPr>
                <w:spacing w:val="2"/>
                <w:kern w:val="0"/>
                <w:sz w:val="18"/>
                <w:szCs w:val="18"/>
              </w:rPr>
              <w:t>苯并[a]芘</w:t>
            </w: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kern w:val="0"/>
                <w:sz w:val="18"/>
                <w:szCs w:val="18"/>
              </w:rPr>
            </w:pPr>
            <w:r>
              <w:rPr>
                <w:spacing w:val="2"/>
                <w:kern w:val="0"/>
                <w:sz w:val="18"/>
                <w:szCs w:val="18"/>
                <w:lang w:bidi="en-US"/>
              </w:rPr>
              <w:t>固定污染源排气中苯并[a]芘的测定</w:t>
            </w:r>
            <w:r>
              <w:rPr>
                <w:rFonts w:hint="eastAsia"/>
                <w:spacing w:val="2"/>
                <w:kern w:val="0"/>
                <w:sz w:val="18"/>
                <w:szCs w:val="18"/>
                <w:lang w:bidi="en-US"/>
              </w:rPr>
              <w:t xml:space="preserve"> </w:t>
            </w:r>
            <w:r>
              <w:rPr>
                <w:spacing w:val="2"/>
                <w:kern w:val="0"/>
                <w:sz w:val="18"/>
                <w:szCs w:val="18"/>
                <w:lang w:bidi="en-US"/>
              </w:rPr>
              <w:t>高效液相色谱法</w:t>
            </w:r>
          </w:p>
        </w:tc>
        <w:tc>
          <w:tcPr>
            <w:tcW w:w="63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z w:val="18"/>
                <w:szCs w:val="18"/>
              </w:rPr>
            </w:pPr>
            <w:r>
              <w:rPr>
                <w:kern w:val="0"/>
                <w:sz w:val="18"/>
                <w:szCs w:val="18"/>
                <w:lang w:eastAsia="en-US" w:bidi="en-US"/>
              </w:rPr>
              <w:t>HJ/T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rPr>
            </w:pPr>
          </w:p>
        </w:tc>
        <w:tc>
          <w:tcPr>
            <w:tcW w:w="806" w:type="pct"/>
            <w:vMerge w:val="continue"/>
            <w:tcBorders>
              <w:left w:val="single" w:color="auto" w:sz="4" w:space="0"/>
              <w:right w:val="single" w:color="auto" w:sz="4" w:space="0"/>
            </w:tcBorders>
            <w:shd w:val="clear" w:color="auto" w:fill="auto"/>
            <w:vAlign w:val="center"/>
          </w:tcPr>
          <w:p>
            <w:pPr>
              <w:autoSpaceDE w:val="0"/>
              <w:autoSpaceDN w:val="0"/>
              <w:adjustRightInd w:val="0"/>
              <w:snapToGrid w:val="0"/>
              <w:jc w:val="center"/>
              <w:rPr>
                <w:spacing w:val="2"/>
                <w:kern w:val="0"/>
                <w:sz w:val="18"/>
                <w:szCs w:val="18"/>
              </w:rPr>
            </w:pP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kern w:val="0"/>
                <w:sz w:val="18"/>
                <w:szCs w:val="18"/>
              </w:rPr>
            </w:pPr>
            <w:r>
              <w:rPr>
                <w:spacing w:val="2"/>
                <w:kern w:val="0"/>
                <w:sz w:val="18"/>
                <w:szCs w:val="18"/>
                <w:lang w:bidi="en-US"/>
              </w:rPr>
              <w:t>环境空气和废气</w:t>
            </w:r>
            <w:r>
              <w:rPr>
                <w:rFonts w:hint="eastAsia"/>
                <w:spacing w:val="2"/>
                <w:kern w:val="0"/>
                <w:sz w:val="18"/>
                <w:szCs w:val="18"/>
                <w:lang w:bidi="en-US"/>
              </w:rPr>
              <w:t xml:space="preserve"> </w:t>
            </w:r>
            <w:r>
              <w:rPr>
                <w:spacing w:val="2"/>
                <w:kern w:val="0"/>
                <w:sz w:val="18"/>
                <w:szCs w:val="18"/>
                <w:lang w:bidi="en-US"/>
              </w:rPr>
              <w:t>气相和颗粒物中多环芳烃的测定</w:t>
            </w:r>
            <w:r>
              <w:rPr>
                <w:rFonts w:hint="eastAsia"/>
                <w:spacing w:val="2"/>
                <w:kern w:val="0"/>
                <w:sz w:val="18"/>
                <w:szCs w:val="18"/>
                <w:lang w:bidi="en-US"/>
              </w:rPr>
              <w:t xml:space="preserve"> </w:t>
            </w:r>
            <w:r>
              <w:rPr>
                <w:spacing w:val="2"/>
                <w:kern w:val="0"/>
                <w:sz w:val="18"/>
                <w:szCs w:val="18"/>
                <w:lang w:bidi="en-US"/>
              </w:rPr>
              <w:t>气相色谱-质谱法</w:t>
            </w:r>
          </w:p>
        </w:tc>
        <w:tc>
          <w:tcPr>
            <w:tcW w:w="63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z w:val="18"/>
                <w:szCs w:val="18"/>
              </w:rPr>
            </w:pPr>
            <w:r>
              <w:rPr>
                <w:kern w:val="0"/>
                <w:sz w:val="18"/>
                <w:szCs w:val="18"/>
                <w:lang w:eastAsia="en-US" w:bidi="en-US"/>
              </w:rPr>
              <w:t>HJ 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rPr>
            </w:pPr>
          </w:p>
        </w:tc>
        <w:tc>
          <w:tcPr>
            <w:tcW w:w="806" w:type="pct"/>
            <w:vMerge w:val="continue"/>
            <w:tcBorders>
              <w:left w:val="single" w:color="auto" w:sz="4" w:space="0"/>
              <w:right w:val="single" w:color="auto" w:sz="4" w:space="0"/>
            </w:tcBorders>
            <w:shd w:val="clear" w:color="auto" w:fill="auto"/>
            <w:vAlign w:val="center"/>
          </w:tcPr>
          <w:p>
            <w:pPr>
              <w:autoSpaceDE w:val="0"/>
              <w:autoSpaceDN w:val="0"/>
              <w:adjustRightInd w:val="0"/>
              <w:snapToGrid w:val="0"/>
              <w:jc w:val="center"/>
              <w:rPr>
                <w:spacing w:val="2"/>
                <w:kern w:val="0"/>
                <w:sz w:val="18"/>
                <w:szCs w:val="18"/>
              </w:rPr>
            </w:pP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spacing w:val="2"/>
                <w:kern w:val="0"/>
                <w:sz w:val="18"/>
                <w:szCs w:val="18"/>
                <w:lang w:bidi="en-US"/>
              </w:rPr>
              <w:t>环境空气和废气</w:t>
            </w:r>
            <w:r>
              <w:rPr>
                <w:rFonts w:hint="eastAsia"/>
                <w:spacing w:val="2"/>
                <w:kern w:val="0"/>
                <w:sz w:val="18"/>
                <w:szCs w:val="18"/>
                <w:lang w:bidi="en-US"/>
              </w:rPr>
              <w:t xml:space="preserve"> </w:t>
            </w:r>
            <w:r>
              <w:rPr>
                <w:spacing w:val="2"/>
                <w:kern w:val="0"/>
                <w:sz w:val="18"/>
                <w:szCs w:val="18"/>
                <w:lang w:bidi="en-US"/>
              </w:rPr>
              <w:t>气相和颗粒物中多环芳烃的测定</w:t>
            </w:r>
            <w:r>
              <w:rPr>
                <w:rFonts w:hint="eastAsia"/>
                <w:spacing w:val="2"/>
                <w:kern w:val="0"/>
                <w:sz w:val="18"/>
                <w:szCs w:val="18"/>
                <w:lang w:bidi="en-US"/>
              </w:rPr>
              <w:t xml:space="preserve"> </w:t>
            </w:r>
            <w:r>
              <w:rPr>
                <w:spacing w:val="2"/>
                <w:kern w:val="0"/>
                <w:sz w:val="18"/>
                <w:szCs w:val="18"/>
                <w:lang w:bidi="en-US"/>
              </w:rPr>
              <w:t>高效液相色谱法</w:t>
            </w:r>
          </w:p>
        </w:tc>
        <w:tc>
          <w:tcPr>
            <w:tcW w:w="63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pacing w:val="2"/>
                <w:kern w:val="0"/>
                <w:sz w:val="18"/>
                <w:szCs w:val="18"/>
                <w:lang w:eastAsia="en-US" w:bidi="en-US"/>
              </w:rPr>
            </w:pPr>
            <w:r>
              <w:rPr>
                <w:kern w:val="0"/>
                <w:sz w:val="18"/>
                <w:szCs w:val="18"/>
                <w:lang w:eastAsia="en-US" w:bidi="en-US"/>
              </w:rPr>
              <w:t>HJ 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65" w:type="pct"/>
            <w:vMerge w:val="continue"/>
            <w:shd w:val="clear" w:color="auto" w:fill="auto"/>
            <w:vAlign w:val="center"/>
          </w:tcPr>
          <w:p>
            <w:pPr>
              <w:widowControl/>
              <w:snapToGrid w:val="0"/>
              <w:jc w:val="center"/>
              <w:rPr>
                <w:kern w:val="0"/>
                <w:sz w:val="18"/>
                <w:szCs w:val="18"/>
              </w:rPr>
            </w:pPr>
          </w:p>
        </w:tc>
        <w:tc>
          <w:tcPr>
            <w:tcW w:w="806" w:type="pct"/>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spacing w:val="2"/>
                <w:kern w:val="0"/>
                <w:sz w:val="18"/>
                <w:szCs w:val="18"/>
              </w:rPr>
            </w:pP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kern w:val="0"/>
                <w:sz w:val="18"/>
                <w:szCs w:val="18"/>
              </w:rPr>
            </w:pPr>
            <w:r>
              <w:rPr>
                <w:spacing w:val="2"/>
                <w:kern w:val="0"/>
                <w:sz w:val="18"/>
                <w:szCs w:val="18"/>
                <w:lang w:bidi="en-US"/>
              </w:rPr>
              <w:t>环境空气</w:t>
            </w:r>
            <w:r>
              <w:rPr>
                <w:rFonts w:hint="eastAsia"/>
                <w:spacing w:val="2"/>
                <w:kern w:val="0"/>
                <w:sz w:val="18"/>
                <w:szCs w:val="18"/>
                <w:lang w:bidi="en-US"/>
              </w:rPr>
              <w:t xml:space="preserve"> </w:t>
            </w:r>
            <w:r>
              <w:rPr>
                <w:spacing w:val="2"/>
                <w:kern w:val="0"/>
                <w:sz w:val="18"/>
                <w:szCs w:val="18"/>
                <w:lang w:bidi="en-US"/>
              </w:rPr>
              <w:t>苯并[a]芘的测定</w:t>
            </w:r>
            <w:r>
              <w:rPr>
                <w:rFonts w:hint="eastAsia"/>
                <w:spacing w:val="2"/>
                <w:kern w:val="0"/>
                <w:sz w:val="18"/>
                <w:szCs w:val="18"/>
                <w:lang w:bidi="en-US"/>
              </w:rPr>
              <w:t xml:space="preserve"> </w:t>
            </w:r>
            <w:r>
              <w:rPr>
                <w:spacing w:val="2"/>
                <w:kern w:val="0"/>
                <w:sz w:val="18"/>
                <w:szCs w:val="18"/>
                <w:lang w:bidi="en-US"/>
              </w:rPr>
              <w:t>高效液相色谱法</w:t>
            </w:r>
          </w:p>
        </w:tc>
        <w:tc>
          <w:tcPr>
            <w:tcW w:w="63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sz w:val="18"/>
                <w:szCs w:val="18"/>
              </w:rPr>
            </w:pPr>
            <w:r>
              <w:rPr>
                <w:kern w:val="0"/>
                <w:sz w:val="18"/>
                <w:szCs w:val="18"/>
                <w:lang w:eastAsia="en-US" w:bidi="en-US"/>
              </w:rPr>
              <w:t>HJ 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5" w:type="pct"/>
            <w:tcBorders>
              <w:top w:val="single" w:color="auto" w:sz="4" w:space="0"/>
              <w:left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39</w:t>
            </w:r>
          </w:p>
        </w:tc>
        <w:tc>
          <w:tcPr>
            <w:tcW w:w="80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spacing w:val="2"/>
                <w:kern w:val="0"/>
                <w:sz w:val="18"/>
                <w:szCs w:val="18"/>
              </w:rPr>
            </w:pPr>
            <w:r>
              <w:rPr>
                <w:rFonts w:hint="eastAsia"/>
                <w:spacing w:val="2"/>
                <w:kern w:val="0"/>
                <w:sz w:val="18"/>
                <w:szCs w:val="18"/>
              </w:rPr>
              <w:t>二噁英类</w:t>
            </w:r>
          </w:p>
        </w:tc>
        <w:tc>
          <w:tcPr>
            <w:tcW w:w="3191"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left"/>
              <w:rPr>
                <w:spacing w:val="2"/>
                <w:kern w:val="0"/>
                <w:sz w:val="18"/>
                <w:szCs w:val="18"/>
                <w:lang w:bidi="en-US"/>
              </w:rPr>
            </w:pPr>
            <w:r>
              <w:rPr>
                <w:rFonts w:hint="eastAsia"/>
                <w:spacing w:val="2"/>
                <w:kern w:val="0"/>
                <w:sz w:val="18"/>
                <w:szCs w:val="18"/>
                <w:lang w:bidi="en-US"/>
              </w:rPr>
              <w:t>环境空气和废气 二噁英类的测定 同位素稀释高分辨气相色谱－高分辨质谱法</w:t>
            </w:r>
          </w:p>
        </w:tc>
        <w:tc>
          <w:tcPr>
            <w:tcW w:w="63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kern w:val="0"/>
                <w:sz w:val="18"/>
                <w:szCs w:val="18"/>
                <w:lang w:eastAsia="en-US" w:bidi="en-US"/>
              </w:rPr>
            </w:pPr>
            <w:r>
              <w:rPr>
                <w:rFonts w:hint="eastAsia"/>
                <w:kern w:val="0"/>
                <w:sz w:val="18"/>
                <w:szCs w:val="18"/>
                <w:lang w:eastAsia="en-US" w:bidi="en-US"/>
              </w:rPr>
              <w:t>HJ 77.2</w:t>
            </w:r>
          </w:p>
        </w:tc>
      </w:tr>
    </w:tbl>
    <w:p>
      <w:pPr>
        <w:pStyle w:val="28"/>
        <w:overflowPunct w:val="0"/>
        <w:autoSpaceDE/>
        <w:autoSpaceDN/>
        <w:ind w:firstLine="0" w:firstLineChars="0"/>
        <w:rPr>
          <w:rFonts w:ascii="Times New Roman"/>
        </w:rPr>
      </w:pPr>
    </w:p>
    <w:p>
      <w:pPr>
        <w:pStyle w:val="28"/>
        <w:ind w:firstLine="0" w:firstLineChars="0"/>
        <w:rPr>
          <w:rFonts w:ascii="黑体" w:hAnsi="黑体" w:eastAsia="黑体"/>
        </w:rPr>
      </w:pPr>
      <w:r>
        <w:rPr>
          <w:rFonts w:ascii="黑体" w:hAnsi="黑体" w:eastAsia="黑体"/>
        </w:rPr>
        <w:t xml:space="preserve">5.5.2 </w:t>
      </w:r>
      <w:r>
        <w:rPr>
          <w:rFonts w:hint="eastAsia" w:ascii="Times New Roman"/>
        </w:rPr>
        <w:t>本文件实施后国家发布的污染物监测方法标准，如适用性满足要求，同样适用于本文件相应污染物的测定。</w:t>
      </w:r>
    </w:p>
    <w:p>
      <w:pPr>
        <w:pStyle w:val="2"/>
        <w:spacing w:before="312" w:after="312"/>
      </w:pPr>
      <w:bookmarkStart w:id="45" w:name="_Toc58415732"/>
      <w:bookmarkStart w:id="46" w:name="_Toc57791982"/>
      <w:r>
        <w:rPr>
          <w:rFonts w:hAnsi="黑体"/>
        </w:rPr>
        <w:t xml:space="preserve">6 </w:t>
      </w:r>
      <w:r>
        <w:t xml:space="preserve"> </w:t>
      </w:r>
      <w:r>
        <w:rPr>
          <w:rFonts w:hint="eastAsia"/>
        </w:rPr>
        <w:t>实施与监督</w:t>
      </w:r>
      <w:bookmarkEnd w:id="45"/>
      <w:bookmarkEnd w:id="46"/>
    </w:p>
    <w:p>
      <w:pPr>
        <w:autoSpaceDE w:val="0"/>
        <w:autoSpaceDN w:val="0"/>
        <w:adjustRightInd w:val="0"/>
        <w:rPr>
          <w:rFonts w:cs="黑体"/>
          <w:color w:val="000000"/>
          <w:kern w:val="0"/>
          <w:szCs w:val="21"/>
        </w:rPr>
      </w:pPr>
      <w:r>
        <w:rPr>
          <w:rFonts w:ascii="黑体" w:hAnsi="黑体" w:eastAsia="黑体"/>
          <w:kern w:val="0"/>
          <w:szCs w:val="20"/>
        </w:rPr>
        <w:t xml:space="preserve">6.1 </w:t>
      </w:r>
      <w:r>
        <w:rPr>
          <w:rFonts w:cs="黑体"/>
          <w:color w:val="000000"/>
          <w:kern w:val="0"/>
          <w:szCs w:val="21"/>
        </w:rPr>
        <w:t>本文件由县级以上人民政府</w:t>
      </w:r>
      <w:r>
        <w:rPr>
          <w:rFonts w:hint="eastAsia" w:cs="黑体"/>
          <w:color w:val="000000"/>
          <w:kern w:val="0"/>
          <w:szCs w:val="21"/>
        </w:rPr>
        <w:t>生态环境</w:t>
      </w:r>
      <w:r>
        <w:rPr>
          <w:rFonts w:cs="黑体"/>
          <w:color w:val="000000"/>
          <w:kern w:val="0"/>
          <w:szCs w:val="21"/>
        </w:rPr>
        <w:t>部门负责监督实施。</w:t>
      </w:r>
    </w:p>
    <w:p>
      <w:pPr>
        <w:pStyle w:val="28"/>
        <w:ind w:firstLine="0" w:firstLineChars="0"/>
        <w:rPr>
          <w:rFonts w:ascii="Times New Roman" w:cs="黑体"/>
          <w:color w:val="000000"/>
          <w:szCs w:val="21"/>
        </w:rPr>
      </w:pPr>
      <w:r>
        <w:rPr>
          <w:rFonts w:ascii="黑体" w:hAnsi="黑体" w:eastAsia="黑体"/>
        </w:rPr>
        <w:t>6.2</w:t>
      </w:r>
      <w:r>
        <w:rPr>
          <w:rFonts w:ascii="Times New Roman" w:cs="黑体"/>
          <w:color w:val="000000"/>
          <w:szCs w:val="21"/>
        </w:rPr>
        <w:t xml:space="preserve"> </w:t>
      </w:r>
      <w:bookmarkEnd w:id="44"/>
      <w:bookmarkStart w:id="47" w:name="_Toc29810639"/>
      <w:r>
        <w:rPr>
          <w:rFonts w:hint="eastAsia" w:ascii="Times New Roman" w:cs="黑体"/>
          <w:color w:val="000000"/>
          <w:szCs w:val="21"/>
        </w:rPr>
        <w:t>排污单位是实施排放标准的责任主体，应采取必要措施，达到本文件规定的污染物排放控制要求。</w:t>
      </w:r>
      <w:bookmarkEnd w:id="47"/>
    </w:p>
    <w:p>
      <w:pPr>
        <w:pStyle w:val="28"/>
        <w:ind w:firstLine="0" w:firstLineChars="0"/>
        <w:rPr>
          <w:rFonts w:ascii="Times New Roman"/>
        </w:rPr>
      </w:pPr>
      <w:r>
        <w:rPr>
          <w:rFonts w:ascii="黑体" w:hAnsi="黑体" w:eastAsia="黑体"/>
        </w:rPr>
        <w:t xml:space="preserve">6.3 </w:t>
      </w:r>
      <w:r>
        <w:rPr>
          <w:rFonts w:hint="eastAsia" w:ascii="Times New Roman"/>
        </w:rPr>
        <w:t>采用手工监测时，按照监测规范要求测得的任何</w:t>
      </w:r>
      <w:r>
        <w:rPr>
          <w:rFonts w:ascii="Times New Roman"/>
        </w:rPr>
        <w:t xml:space="preserve">1 h </w:t>
      </w:r>
      <w:r>
        <w:rPr>
          <w:rFonts w:hint="eastAsia" w:ascii="Times New Roman"/>
        </w:rPr>
        <w:t xml:space="preserve">平均浓度值或排放速率超过本文件规定的限值，判定为超标。 </w:t>
      </w:r>
    </w:p>
    <w:p>
      <w:pPr>
        <w:pStyle w:val="28"/>
        <w:ind w:firstLine="0" w:firstLineChars="0"/>
        <w:rPr>
          <w:rFonts w:ascii="Times New Roman"/>
        </w:rPr>
      </w:pPr>
      <w:r>
        <w:rPr>
          <w:rFonts w:ascii="黑体" w:hAnsi="黑体" w:eastAsia="黑体"/>
        </w:rPr>
        <w:t xml:space="preserve">6.4 </w:t>
      </w:r>
      <w:r>
        <w:rPr>
          <w:rFonts w:hint="eastAsia" w:ascii="Times New Roman"/>
        </w:rPr>
        <w:t>采用自动监测时，达标判定按照国家和省相关规定执行。</w:t>
      </w:r>
    </w:p>
    <w:p>
      <w:pPr>
        <w:autoSpaceDE w:val="0"/>
        <w:autoSpaceDN w:val="0"/>
        <w:adjustRightInd w:val="0"/>
        <w:rPr>
          <w:kern w:val="0"/>
          <w:szCs w:val="20"/>
        </w:rPr>
      </w:pPr>
      <w:r>
        <w:rPr>
          <w:rFonts w:ascii="黑体" w:hAnsi="黑体" w:eastAsia="黑体"/>
          <w:kern w:val="0"/>
          <w:szCs w:val="20"/>
        </w:rPr>
        <w:t>6.5</w:t>
      </w:r>
      <w:r>
        <w:rPr>
          <w:rFonts w:ascii="黑体" w:hAnsi="黑体" w:eastAsia="黑体" w:cs="黑体"/>
          <w:color w:val="000000"/>
          <w:kern w:val="0"/>
          <w:szCs w:val="21"/>
        </w:rPr>
        <w:t xml:space="preserve"> </w:t>
      </w:r>
      <w:r>
        <w:rPr>
          <w:rFonts w:hint="eastAsia"/>
          <w:kern w:val="0"/>
          <w:szCs w:val="20"/>
        </w:rPr>
        <w:t>因安全因素或特殊工艺要求不能满足本文件规定的污染物排放控制要求，可采取其他等效污染控制措施，并向当地生态环境主管部门报告或依据排污许可证相关要求执行。</w:t>
      </w:r>
    </w:p>
    <w:p>
      <w:pPr>
        <w:autoSpaceDE w:val="0"/>
        <w:autoSpaceDN w:val="0"/>
        <w:adjustRightInd w:val="0"/>
        <w:rPr>
          <w:rFonts w:cs="黑体"/>
          <w:color w:val="000000"/>
          <w:kern w:val="0"/>
          <w:szCs w:val="21"/>
        </w:rPr>
      </w:pPr>
      <w:r>
        <w:rPr>
          <w:rFonts w:ascii="黑体" w:hAnsi="黑体" w:eastAsia="黑体"/>
          <w:kern w:val="0"/>
          <w:szCs w:val="20"/>
        </w:rPr>
        <w:t>6.6</w:t>
      </w:r>
      <w:r>
        <w:rPr>
          <w:rFonts w:ascii="黑体" w:hAnsi="黑体" w:eastAsia="黑体" w:cs="黑体"/>
          <w:color w:val="000000"/>
          <w:kern w:val="0"/>
          <w:szCs w:val="21"/>
        </w:rPr>
        <w:t xml:space="preserve"> </w:t>
      </w:r>
      <w:r>
        <w:rPr>
          <w:rFonts w:hint="eastAsia" w:cs="黑体"/>
          <w:color w:val="000000"/>
          <w:kern w:val="0"/>
          <w:szCs w:val="21"/>
        </w:rPr>
        <w:t>排污单位未遵守本文件规定的措施性控制要求，构成违法行为的，依照法律法规等有关规定予以处理。</w:t>
      </w:r>
    </w:p>
    <w:p>
      <w:pPr>
        <w:pStyle w:val="28"/>
        <w:ind w:firstLine="0" w:firstLineChars="0"/>
        <w:rPr>
          <w:rFonts w:cs="黑体"/>
          <w:color w:val="000000"/>
          <w:szCs w:val="21"/>
        </w:rPr>
      </w:pPr>
    </w:p>
    <w:p>
      <w:pPr>
        <w:pStyle w:val="137"/>
        <w:framePr w:wrap="around"/>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3C004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040547"/>
      <w:docPartObj>
        <w:docPartGallery w:val="AutoText"/>
      </w:docPartObj>
    </w:sdtPr>
    <w:sdtContent>
      <w:p>
        <w:pPr>
          <w:pStyle w:val="22"/>
          <w:jc w:val="left"/>
        </w:pPr>
        <w:r>
          <w:fldChar w:fldCharType="begin"/>
        </w:r>
        <w:r>
          <w:instrText xml:space="preserve">PAGE   \* MERGEFORMAT</w:instrText>
        </w:r>
        <w:r>
          <w:fldChar w:fldCharType="separate"/>
        </w:r>
        <w:r>
          <w:rPr>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I</w:t>
    </w:r>
    <w:r>
      <w:rPr>
        <w:rFonts w:asci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9125524"/>
      <w:docPartObj>
        <w:docPartGallery w:val="AutoText"/>
      </w:docPartObj>
    </w:sdtPr>
    <w:sdtContent>
      <w:p>
        <w:pPr>
          <w:pStyle w:val="22"/>
          <w:jc w:val="left"/>
        </w:pPr>
        <w:r>
          <w:fldChar w:fldCharType="begin"/>
        </w:r>
        <w:r>
          <w:instrText xml:space="preserve">PAGE   \* MERGEFORMAT</w:instrText>
        </w:r>
        <w:r>
          <w:fldChar w:fldCharType="separate"/>
        </w:r>
        <w:r>
          <w:rPr>
            <w:lang w:val="zh-CN"/>
          </w:rPr>
          <w:t>12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left"/>
      <w:rPr>
        <w:rFonts w:ascii="Times New Roman"/>
      </w:rPr>
    </w:pPr>
    <w:r>
      <w:rPr>
        <w:rFonts w:ascii="Times New Roman"/>
      </w:rPr>
      <w:t>DB32/XXXXX—2021</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ascii="Times New Roman"/>
      </w:rPr>
    </w:pPr>
    <w:r>
      <w:rPr>
        <w:rFonts w:ascii="Times New Roman"/>
      </w:rPr>
      <w:t>DB32/XXXXX—2021</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4537"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suff w:val="nothing"/>
      <w:lvlText w:val="%1.%2.%3　"/>
      <w:lvlJc w:val="left"/>
      <w:pPr>
        <w:ind w:left="1277"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6"/>
      <w:suff w:val="space"/>
      <w:lvlText w:val="%1"/>
      <w:lvlJc w:val="left"/>
      <w:pPr>
        <w:ind w:left="623" w:hanging="425"/>
      </w:pPr>
      <w:rPr>
        <w:rFonts w:hint="eastAsia"/>
      </w:rPr>
    </w:lvl>
    <w:lvl w:ilvl="1" w:tentative="0">
      <w:start w:val="1"/>
      <w:numFmt w:val="decimal"/>
      <w:pStyle w:val="10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6"/>
      <w:suff w:val="nothing"/>
      <w:lvlText w:val="%1——"/>
      <w:lvlJc w:val="left"/>
      <w:pPr>
        <w:ind w:left="833" w:hanging="408"/>
      </w:pPr>
      <w:rPr>
        <w:rFonts w:hint="eastAsia"/>
      </w:rPr>
    </w:lvl>
    <w:lvl w:ilvl="1" w:tentative="0">
      <w:start w:val="1"/>
      <w:numFmt w:val="bullet"/>
      <w:pStyle w:val="57"/>
      <w:lvlText w:val=""/>
      <w:lvlJc w:val="left"/>
      <w:pPr>
        <w:tabs>
          <w:tab w:val="left" w:pos="760"/>
        </w:tabs>
        <w:ind w:left="1264" w:hanging="413"/>
      </w:pPr>
      <w:rPr>
        <w:rFonts w:hint="default" w:ascii="Symbol" w:hAnsi="Symbol"/>
        <w:color w:val="auto"/>
      </w:rPr>
    </w:lvl>
    <w:lvl w:ilvl="2" w:tentative="0">
      <w:start w:val="1"/>
      <w:numFmt w:val="bullet"/>
      <w:pStyle w:val="6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B733A5F"/>
    <w:multiLevelType w:val="multilevel"/>
    <w:tmpl w:val="4B733A5F"/>
    <w:lvl w:ilvl="0" w:tentative="0">
      <w:start w:val="1"/>
      <w:numFmt w:val="decimal"/>
      <w:pStyle w:val="7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tentative="0">
      <w:start w:val="1"/>
      <w:numFmt w:val="decimal"/>
      <w:pStyle w:val="13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0B55DC2"/>
    <w:multiLevelType w:val="multilevel"/>
    <w:tmpl w:val="60B55DC2"/>
    <w:lvl w:ilvl="0" w:tentative="0">
      <w:start w:val="1"/>
      <w:numFmt w:val="upperLetter"/>
      <w:pStyle w:val="94"/>
      <w:lvlText w:val="%1"/>
      <w:lvlJc w:val="left"/>
      <w:pPr>
        <w:tabs>
          <w:tab w:val="left" w:pos="0"/>
        </w:tabs>
        <w:ind w:left="0" w:hanging="425"/>
      </w:pPr>
      <w:rPr>
        <w:rFonts w:hint="eastAsia"/>
      </w:rPr>
    </w:lvl>
    <w:lvl w:ilvl="1" w:tentative="0">
      <w:start w:val="1"/>
      <w:numFmt w:val="decimal"/>
      <w:pStyle w:val="9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1A65851"/>
    <w:multiLevelType w:val="multilevel"/>
    <w:tmpl w:val="61A65851"/>
    <w:lvl w:ilvl="0" w:tentative="0">
      <w:start w:val="1"/>
      <w:numFmt w:val="lowerLetter"/>
      <w:pStyle w:val="6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2"/>
      <w:lvlText w:val="%2)"/>
      <w:lvlJc w:val="left"/>
      <w:pPr>
        <w:tabs>
          <w:tab w:val="left" w:pos="1260"/>
        </w:tabs>
        <w:ind w:left="1259" w:hanging="419"/>
      </w:pPr>
      <w:rPr>
        <w:rFonts w:hint="eastAsia"/>
      </w:rPr>
    </w:lvl>
    <w:lvl w:ilvl="2" w:tentative="0">
      <w:start w:val="1"/>
      <w:numFmt w:val="decimal"/>
      <w:pStyle w:val="6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46260FA"/>
    <w:multiLevelType w:val="multilevel"/>
    <w:tmpl w:val="646260FA"/>
    <w:lvl w:ilvl="0" w:tentative="0">
      <w:start w:val="1"/>
      <w:numFmt w:val="decimal"/>
      <w:pStyle w:val="134"/>
      <w:suff w:val="nothing"/>
      <w:lvlText w:val="表%1　"/>
      <w:lvlJc w:val="left"/>
      <w:pPr>
        <w:ind w:left="2411"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1"/>
      <w:suff w:val="nothing"/>
      <w:lvlText w:val="%1.%2.%3　"/>
      <w:lvlJc w:val="left"/>
      <w:pPr>
        <w:ind w:left="0" w:firstLine="0"/>
      </w:pPr>
      <w:rPr>
        <w:rFonts w:hint="eastAsia" w:ascii="黑体" w:hAnsi="Times New Roman" w:eastAsia="黑体"/>
        <w:b w:val="0"/>
        <w:i w:val="0"/>
        <w:sz w:val="21"/>
      </w:rPr>
    </w:lvl>
    <w:lvl w:ilvl="3" w:tentative="0">
      <w:start w:val="1"/>
      <w:numFmt w:val="decimal"/>
      <w:pStyle w:val="96"/>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4"/>
      <w:suff w:val="nothing"/>
      <w:lvlText w:val="%1.%2.%3.%4.%5.%6　"/>
      <w:lvlJc w:val="left"/>
      <w:pPr>
        <w:ind w:left="0" w:firstLine="0"/>
      </w:pPr>
      <w:rPr>
        <w:rFonts w:hint="eastAsia" w:ascii="黑体" w:hAnsi="Times New Roman" w:eastAsia="黑体"/>
        <w:b w:val="0"/>
        <w:i w:val="0"/>
        <w:sz w:val="21"/>
      </w:rPr>
    </w:lvl>
    <w:lvl w:ilvl="6" w:tentative="0">
      <w:start w:val="1"/>
      <w:numFmt w:val="decimal"/>
      <w:pStyle w:val="10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CEA2025"/>
    <w:multiLevelType w:val="multilevel"/>
    <w:tmpl w:val="6CEA2025"/>
    <w:lvl w:ilvl="0" w:tentative="0">
      <w:start w:val="1"/>
      <w:numFmt w:val="none"/>
      <w:pStyle w:val="177"/>
      <w:suff w:val="nothing"/>
      <w:lvlText w:val="%1"/>
      <w:lvlJc w:val="left"/>
      <w:pPr>
        <w:ind w:left="0" w:firstLine="0"/>
      </w:pPr>
      <w:rPr>
        <w:rFonts w:hint="eastAsia"/>
      </w:rPr>
    </w:lvl>
    <w:lvl w:ilvl="1" w:tentative="0">
      <w:start w:val="1"/>
      <w:numFmt w:val="decimal"/>
      <w:pStyle w:val="175"/>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176"/>
      <w:suff w:val="nothing"/>
      <w:lvlText w:val="%1%2.%3　"/>
      <w:lvlJc w:val="left"/>
      <w:pPr>
        <w:ind w:left="0" w:firstLine="0"/>
      </w:pPr>
      <w:rPr>
        <w:rFonts w:hint="default" w:ascii="Times New Roman"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171"/>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172"/>
      <w:suff w:val="nothing"/>
      <w:lvlText w:val="%1%2.%3.%4.%5　"/>
      <w:lvlJc w:val="left"/>
      <w:pPr>
        <w:ind w:left="0" w:firstLine="0"/>
      </w:pPr>
      <w:rPr>
        <w:rFonts w:hint="default" w:ascii="Times New Roman" w:hAnsi="Times New Roman" w:eastAsia="黑体" w:cs="Times New Roman"/>
        <w:b w:val="0"/>
        <w:i w:val="0"/>
        <w:sz w:val="21"/>
      </w:rPr>
    </w:lvl>
    <w:lvl w:ilvl="5" w:tentative="0">
      <w:start w:val="1"/>
      <w:numFmt w:val="decimal"/>
      <w:pStyle w:val="173"/>
      <w:suff w:val="nothing"/>
      <w:lvlText w:val="%1%2.%3.%4.%5.%6　"/>
      <w:lvlJc w:val="left"/>
      <w:pPr>
        <w:ind w:left="0" w:firstLine="0"/>
      </w:pPr>
      <w:rPr>
        <w:rFonts w:hint="default" w:ascii="Times New Roman" w:hAnsi="Times New Roman" w:eastAsia="黑体" w:cs="Times New Roman"/>
        <w:b w:val="0"/>
        <w:i w:val="0"/>
        <w:sz w:val="21"/>
      </w:rPr>
    </w:lvl>
    <w:lvl w:ilvl="6" w:tentative="0">
      <w:start w:val="1"/>
      <w:numFmt w:val="decimal"/>
      <w:pStyle w:val="17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6C07CD"/>
    <w:multiLevelType w:val="multilevel"/>
    <w:tmpl w:val="6D6C07CD"/>
    <w:lvl w:ilvl="0" w:tentative="0">
      <w:start w:val="1"/>
      <w:numFmt w:val="lowerLetter"/>
      <w:pStyle w:val="113"/>
      <w:lvlText w:val="%1)"/>
      <w:lvlJc w:val="left"/>
      <w:pPr>
        <w:tabs>
          <w:tab w:val="left" w:pos="839"/>
        </w:tabs>
        <w:ind w:left="839" w:hanging="419"/>
      </w:pPr>
      <w:rPr>
        <w:rFonts w:hint="eastAsia" w:ascii="宋体" w:eastAsia="宋体"/>
        <w:b w:val="0"/>
        <w:i w:val="0"/>
        <w:sz w:val="21"/>
      </w:rPr>
    </w:lvl>
    <w:lvl w:ilvl="1" w:tentative="0">
      <w:start w:val="1"/>
      <w:numFmt w:val="decimal"/>
      <w:pStyle w:val="10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6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7"/>
  </w:num>
  <w:num w:numId="3">
    <w:abstractNumId w:val="5"/>
  </w:num>
  <w:num w:numId="4">
    <w:abstractNumId w:val="2"/>
  </w:num>
  <w:num w:numId="5">
    <w:abstractNumId w:val="12"/>
  </w:num>
  <w:num w:numId="6">
    <w:abstractNumId w:val="17"/>
  </w:num>
  <w:num w:numId="7">
    <w:abstractNumId w:val="0"/>
  </w:num>
  <w:num w:numId="8">
    <w:abstractNumId w:val="9"/>
  </w:num>
  <w:num w:numId="9">
    <w:abstractNumId w:val="4"/>
  </w:num>
  <w:num w:numId="10">
    <w:abstractNumId w:val="14"/>
  </w:num>
  <w:num w:numId="11">
    <w:abstractNumId w:val="11"/>
  </w:num>
  <w:num w:numId="12">
    <w:abstractNumId w:val="16"/>
  </w:num>
  <w:num w:numId="13">
    <w:abstractNumId w:val="6"/>
  </w:num>
  <w:num w:numId="14">
    <w:abstractNumId w:val="1"/>
  </w:num>
  <w:num w:numId="15">
    <w:abstractNumId w:val="3"/>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08"/>
    <w:rsid w:val="00000244"/>
    <w:rsid w:val="000012E8"/>
    <w:rsid w:val="0000185F"/>
    <w:rsid w:val="000018E8"/>
    <w:rsid w:val="00002605"/>
    <w:rsid w:val="00002B24"/>
    <w:rsid w:val="00002C24"/>
    <w:rsid w:val="00003A4D"/>
    <w:rsid w:val="00004C1E"/>
    <w:rsid w:val="0000529D"/>
    <w:rsid w:val="000054F2"/>
    <w:rsid w:val="000057B9"/>
    <w:rsid w:val="0000586F"/>
    <w:rsid w:val="000065B4"/>
    <w:rsid w:val="0000672E"/>
    <w:rsid w:val="000068EC"/>
    <w:rsid w:val="00007129"/>
    <w:rsid w:val="00007F13"/>
    <w:rsid w:val="00011B8E"/>
    <w:rsid w:val="00012EBF"/>
    <w:rsid w:val="00013624"/>
    <w:rsid w:val="000137C4"/>
    <w:rsid w:val="00013D86"/>
    <w:rsid w:val="00013E02"/>
    <w:rsid w:val="00014965"/>
    <w:rsid w:val="00015365"/>
    <w:rsid w:val="0001559A"/>
    <w:rsid w:val="000158FD"/>
    <w:rsid w:val="000160BB"/>
    <w:rsid w:val="000200EC"/>
    <w:rsid w:val="00021226"/>
    <w:rsid w:val="0002143C"/>
    <w:rsid w:val="0002148C"/>
    <w:rsid w:val="00021662"/>
    <w:rsid w:val="0002170D"/>
    <w:rsid w:val="00023349"/>
    <w:rsid w:val="00023D9B"/>
    <w:rsid w:val="00024446"/>
    <w:rsid w:val="00025A65"/>
    <w:rsid w:val="00025CAE"/>
    <w:rsid w:val="00025D0C"/>
    <w:rsid w:val="000262E6"/>
    <w:rsid w:val="00026C31"/>
    <w:rsid w:val="00026E6A"/>
    <w:rsid w:val="0002724C"/>
    <w:rsid w:val="00027280"/>
    <w:rsid w:val="000276D9"/>
    <w:rsid w:val="00030D20"/>
    <w:rsid w:val="000318B3"/>
    <w:rsid w:val="00031BC4"/>
    <w:rsid w:val="00031FAA"/>
    <w:rsid w:val="000320A7"/>
    <w:rsid w:val="000331DC"/>
    <w:rsid w:val="00034B7A"/>
    <w:rsid w:val="00035925"/>
    <w:rsid w:val="000359F2"/>
    <w:rsid w:val="000360FC"/>
    <w:rsid w:val="00036571"/>
    <w:rsid w:val="00040726"/>
    <w:rsid w:val="00040F89"/>
    <w:rsid w:val="00041029"/>
    <w:rsid w:val="00041804"/>
    <w:rsid w:val="000419DB"/>
    <w:rsid w:val="0004276A"/>
    <w:rsid w:val="00043802"/>
    <w:rsid w:val="00043837"/>
    <w:rsid w:val="00043D7C"/>
    <w:rsid w:val="0004454F"/>
    <w:rsid w:val="00045E15"/>
    <w:rsid w:val="0004700D"/>
    <w:rsid w:val="00050434"/>
    <w:rsid w:val="0005269B"/>
    <w:rsid w:val="00052F9F"/>
    <w:rsid w:val="000539FE"/>
    <w:rsid w:val="00054095"/>
    <w:rsid w:val="00054D0A"/>
    <w:rsid w:val="00055161"/>
    <w:rsid w:val="0005560D"/>
    <w:rsid w:val="000573A6"/>
    <w:rsid w:val="000577BF"/>
    <w:rsid w:val="00057DBA"/>
    <w:rsid w:val="00057F52"/>
    <w:rsid w:val="000601D4"/>
    <w:rsid w:val="00061508"/>
    <w:rsid w:val="00062328"/>
    <w:rsid w:val="00062C33"/>
    <w:rsid w:val="00064A15"/>
    <w:rsid w:val="00067435"/>
    <w:rsid w:val="00067B06"/>
    <w:rsid w:val="00067CDF"/>
    <w:rsid w:val="00067F7A"/>
    <w:rsid w:val="000701C5"/>
    <w:rsid w:val="000703A7"/>
    <w:rsid w:val="000712A7"/>
    <w:rsid w:val="00071764"/>
    <w:rsid w:val="0007220D"/>
    <w:rsid w:val="00074519"/>
    <w:rsid w:val="00074FBE"/>
    <w:rsid w:val="00075B34"/>
    <w:rsid w:val="000762D1"/>
    <w:rsid w:val="000765D6"/>
    <w:rsid w:val="00077572"/>
    <w:rsid w:val="0008124C"/>
    <w:rsid w:val="000817A0"/>
    <w:rsid w:val="000819BA"/>
    <w:rsid w:val="0008207B"/>
    <w:rsid w:val="00083A09"/>
    <w:rsid w:val="00083D83"/>
    <w:rsid w:val="00085327"/>
    <w:rsid w:val="00085903"/>
    <w:rsid w:val="00085B06"/>
    <w:rsid w:val="0008693C"/>
    <w:rsid w:val="00086F42"/>
    <w:rsid w:val="0009005E"/>
    <w:rsid w:val="0009236B"/>
    <w:rsid w:val="00092857"/>
    <w:rsid w:val="000942C0"/>
    <w:rsid w:val="00094790"/>
    <w:rsid w:val="00094832"/>
    <w:rsid w:val="00094F67"/>
    <w:rsid w:val="00095AAC"/>
    <w:rsid w:val="00096F45"/>
    <w:rsid w:val="000971C5"/>
    <w:rsid w:val="0009764E"/>
    <w:rsid w:val="000A0743"/>
    <w:rsid w:val="000A0C69"/>
    <w:rsid w:val="000A0E6A"/>
    <w:rsid w:val="000A20A9"/>
    <w:rsid w:val="000A233B"/>
    <w:rsid w:val="000A3523"/>
    <w:rsid w:val="000A38B1"/>
    <w:rsid w:val="000A48B1"/>
    <w:rsid w:val="000A5B8E"/>
    <w:rsid w:val="000A5E5A"/>
    <w:rsid w:val="000A6596"/>
    <w:rsid w:val="000A76C3"/>
    <w:rsid w:val="000A7C07"/>
    <w:rsid w:val="000B109D"/>
    <w:rsid w:val="000B1F8B"/>
    <w:rsid w:val="000B3143"/>
    <w:rsid w:val="000B4A70"/>
    <w:rsid w:val="000B4BFD"/>
    <w:rsid w:val="000B5195"/>
    <w:rsid w:val="000B5DB1"/>
    <w:rsid w:val="000B6909"/>
    <w:rsid w:val="000B70D0"/>
    <w:rsid w:val="000B78AA"/>
    <w:rsid w:val="000B7B3A"/>
    <w:rsid w:val="000C07C7"/>
    <w:rsid w:val="000C0C02"/>
    <w:rsid w:val="000C1D26"/>
    <w:rsid w:val="000C2877"/>
    <w:rsid w:val="000C2A86"/>
    <w:rsid w:val="000C2E3F"/>
    <w:rsid w:val="000C30A5"/>
    <w:rsid w:val="000C35BC"/>
    <w:rsid w:val="000C59E0"/>
    <w:rsid w:val="000C60A3"/>
    <w:rsid w:val="000C6B05"/>
    <w:rsid w:val="000C6DD6"/>
    <w:rsid w:val="000C73D4"/>
    <w:rsid w:val="000C7515"/>
    <w:rsid w:val="000D082E"/>
    <w:rsid w:val="000D0B7C"/>
    <w:rsid w:val="000D0C46"/>
    <w:rsid w:val="000D15B5"/>
    <w:rsid w:val="000D2A04"/>
    <w:rsid w:val="000D34CD"/>
    <w:rsid w:val="000D35D5"/>
    <w:rsid w:val="000D3D4C"/>
    <w:rsid w:val="000D4F51"/>
    <w:rsid w:val="000D715F"/>
    <w:rsid w:val="000D718B"/>
    <w:rsid w:val="000E08DA"/>
    <w:rsid w:val="000E0C46"/>
    <w:rsid w:val="000E195B"/>
    <w:rsid w:val="000E1A95"/>
    <w:rsid w:val="000E3BD0"/>
    <w:rsid w:val="000E3FB2"/>
    <w:rsid w:val="000E400E"/>
    <w:rsid w:val="000E4927"/>
    <w:rsid w:val="000E4C9B"/>
    <w:rsid w:val="000E4F60"/>
    <w:rsid w:val="000E52C5"/>
    <w:rsid w:val="000E640B"/>
    <w:rsid w:val="000E65F4"/>
    <w:rsid w:val="000E73D6"/>
    <w:rsid w:val="000F030C"/>
    <w:rsid w:val="000F06FB"/>
    <w:rsid w:val="000F129C"/>
    <w:rsid w:val="000F1BB7"/>
    <w:rsid w:val="000F226C"/>
    <w:rsid w:val="000F2870"/>
    <w:rsid w:val="000F40CF"/>
    <w:rsid w:val="000F43ED"/>
    <w:rsid w:val="000F4413"/>
    <w:rsid w:val="000F4747"/>
    <w:rsid w:val="000F496F"/>
    <w:rsid w:val="000F4D7D"/>
    <w:rsid w:val="000F6075"/>
    <w:rsid w:val="000F60B0"/>
    <w:rsid w:val="00100DAF"/>
    <w:rsid w:val="001025A4"/>
    <w:rsid w:val="00102988"/>
    <w:rsid w:val="00102A50"/>
    <w:rsid w:val="001031A2"/>
    <w:rsid w:val="001037C0"/>
    <w:rsid w:val="001044E7"/>
    <w:rsid w:val="0010494F"/>
    <w:rsid w:val="001056DE"/>
    <w:rsid w:val="0010626B"/>
    <w:rsid w:val="00106290"/>
    <w:rsid w:val="001074EC"/>
    <w:rsid w:val="001076C4"/>
    <w:rsid w:val="00107A36"/>
    <w:rsid w:val="00110002"/>
    <w:rsid w:val="00110A85"/>
    <w:rsid w:val="001124C0"/>
    <w:rsid w:val="001126BB"/>
    <w:rsid w:val="001127B5"/>
    <w:rsid w:val="00113C17"/>
    <w:rsid w:val="00114801"/>
    <w:rsid w:val="00115959"/>
    <w:rsid w:val="001167D3"/>
    <w:rsid w:val="001168C2"/>
    <w:rsid w:val="001203C2"/>
    <w:rsid w:val="001204AB"/>
    <w:rsid w:val="00122A54"/>
    <w:rsid w:val="00124D12"/>
    <w:rsid w:val="0012509E"/>
    <w:rsid w:val="00125D08"/>
    <w:rsid w:val="0012676D"/>
    <w:rsid w:val="00127154"/>
    <w:rsid w:val="001277B4"/>
    <w:rsid w:val="0013073B"/>
    <w:rsid w:val="00130D54"/>
    <w:rsid w:val="001313D4"/>
    <w:rsid w:val="0013175F"/>
    <w:rsid w:val="001332D5"/>
    <w:rsid w:val="00133A85"/>
    <w:rsid w:val="00133AB1"/>
    <w:rsid w:val="00134CD5"/>
    <w:rsid w:val="001350C1"/>
    <w:rsid w:val="00135800"/>
    <w:rsid w:val="0013692D"/>
    <w:rsid w:val="00136A5B"/>
    <w:rsid w:val="00137623"/>
    <w:rsid w:val="00140092"/>
    <w:rsid w:val="00141F4F"/>
    <w:rsid w:val="00142475"/>
    <w:rsid w:val="001426D0"/>
    <w:rsid w:val="00142710"/>
    <w:rsid w:val="00143753"/>
    <w:rsid w:val="00144237"/>
    <w:rsid w:val="00146A90"/>
    <w:rsid w:val="00150911"/>
    <w:rsid w:val="001512B4"/>
    <w:rsid w:val="00152587"/>
    <w:rsid w:val="0015350B"/>
    <w:rsid w:val="00153793"/>
    <w:rsid w:val="00154046"/>
    <w:rsid w:val="00154B82"/>
    <w:rsid w:val="0015600D"/>
    <w:rsid w:val="001561EC"/>
    <w:rsid w:val="001573F5"/>
    <w:rsid w:val="00157B73"/>
    <w:rsid w:val="001620A5"/>
    <w:rsid w:val="001625A5"/>
    <w:rsid w:val="0016285C"/>
    <w:rsid w:val="00162A31"/>
    <w:rsid w:val="00163B17"/>
    <w:rsid w:val="001641DD"/>
    <w:rsid w:val="00164B0E"/>
    <w:rsid w:val="00164E53"/>
    <w:rsid w:val="0016525B"/>
    <w:rsid w:val="001662D8"/>
    <w:rsid w:val="001662E3"/>
    <w:rsid w:val="0016671D"/>
    <w:rsid w:val="0016699D"/>
    <w:rsid w:val="00167ECA"/>
    <w:rsid w:val="00167ED6"/>
    <w:rsid w:val="00171608"/>
    <w:rsid w:val="001728E4"/>
    <w:rsid w:val="00172EA5"/>
    <w:rsid w:val="0017369D"/>
    <w:rsid w:val="00173740"/>
    <w:rsid w:val="00175159"/>
    <w:rsid w:val="00176208"/>
    <w:rsid w:val="0017744A"/>
    <w:rsid w:val="0017777E"/>
    <w:rsid w:val="00177A34"/>
    <w:rsid w:val="0018000C"/>
    <w:rsid w:val="001801A1"/>
    <w:rsid w:val="001808DF"/>
    <w:rsid w:val="00180928"/>
    <w:rsid w:val="00180A12"/>
    <w:rsid w:val="0018211B"/>
    <w:rsid w:val="00183481"/>
    <w:rsid w:val="00183608"/>
    <w:rsid w:val="001836E2"/>
    <w:rsid w:val="00183774"/>
    <w:rsid w:val="0018384A"/>
    <w:rsid w:val="001840D3"/>
    <w:rsid w:val="0018489F"/>
    <w:rsid w:val="00187504"/>
    <w:rsid w:val="00187596"/>
    <w:rsid w:val="001900F8"/>
    <w:rsid w:val="00191258"/>
    <w:rsid w:val="00191F5F"/>
    <w:rsid w:val="00192327"/>
    <w:rsid w:val="00192680"/>
    <w:rsid w:val="00193037"/>
    <w:rsid w:val="00193A2C"/>
    <w:rsid w:val="00193CF5"/>
    <w:rsid w:val="0019435A"/>
    <w:rsid w:val="00194CC8"/>
    <w:rsid w:val="00194EA1"/>
    <w:rsid w:val="001958B4"/>
    <w:rsid w:val="00196AAC"/>
    <w:rsid w:val="00197278"/>
    <w:rsid w:val="00197423"/>
    <w:rsid w:val="00197975"/>
    <w:rsid w:val="001A0365"/>
    <w:rsid w:val="001A0C46"/>
    <w:rsid w:val="001A10ED"/>
    <w:rsid w:val="001A288E"/>
    <w:rsid w:val="001A3D58"/>
    <w:rsid w:val="001A440C"/>
    <w:rsid w:val="001A4F44"/>
    <w:rsid w:val="001A7E8C"/>
    <w:rsid w:val="001B1A5A"/>
    <w:rsid w:val="001B1FF9"/>
    <w:rsid w:val="001B2EF9"/>
    <w:rsid w:val="001B39DA"/>
    <w:rsid w:val="001B3B57"/>
    <w:rsid w:val="001B41A3"/>
    <w:rsid w:val="001B6DC2"/>
    <w:rsid w:val="001B6E0A"/>
    <w:rsid w:val="001C0007"/>
    <w:rsid w:val="001C149C"/>
    <w:rsid w:val="001C1534"/>
    <w:rsid w:val="001C1C72"/>
    <w:rsid w:val="001C21AC"/>
    <w:rsid w:val="001C366A"/>
    <w:rsid w:val="001C3B1A"/>
    <w:rsid w:val="001C47BA"/>
    <w:rsid w:val="001C59EA"/>
    <w:rsid w:val="001C6DEE"/>
    <w:rsid w:val="001C7A44"/>
    <w:rsid w:val="001D09DA"/>
    <w:rsid w:val="001D0E23"/>
    <w:rsid w:val="001D0E4B"/>
    <w:rsid w:val="001D12F0"/>
    <w:rsid w:val="001D1544"/>
    <w:rsid w:val="001D3018"/>
    <w:rsid w:val="001D406C"/>
    <w:rsid w:val="001D41EE"/>
    <w:rsid w:val="001D420D"/>
    <w:rsid w:val="001D4E5D"/>
    <w:rsid w:val="001D5447"/>
    <w:rsid w:val="001D5B33"/>
    <w:rsid w:val="001D7E0F"/>
    <w:rsid w:val="001D7EF0"/>
    <w:rsid w:val="001E0343"/>
    <w:rsid w:val="001E0380"/>
    <w:rsid w:val="001E13B1"/>
    <w:rsid w:val="001E1FCE"/>
    <w:rsid w:val="001E25AD"/>
    <w:rsid w:val="001E4D3D"/>
    <w:rsid w:val="001E5B65"/>
    <w:rsid w:val="001E5D48"/>
    <w:rsid w:val="001E62C3"/>
    <w:rsid w:val="001E7CBD"/>
    <w:rsid w:val="001F1D5B"/>
    <w:rsid w:val="001F2A14"/>
    <w:rsid w:val="001F3265"/>
    <w:rsid w:val="001F3A19"/>
    <w:rsid w:val="001F3BF0"/>
    <w:rsid w:val="001F48F4"/>
    <w:rsid w:val="001F4FC3"/>
    <w:rsid w:val="001F5963"/>
    <w:rsid w:val="001F6379"/>
    <w:rsid w:val="00201267"/>
    <w:rsid w:val="00201632"/>
    <w:rsid w:val="00202142"/>
    <w:rsid w:val="00202263"/>
    <w:rsid w:val="0020470F"/>
    <w:rsid w:val="00205F89"/>
    <w:rsid w:val="00206630"/>
    <w:rsid w:val="002076E8"/>
    <w:rsid w:val="002100EB"/>
    <w:rsid w:val="002106F1"/>
    <w:rsid w:val="0021092F"/>
    <w:rsid w:val="00210A42"/>
    <w:rsid w:val="002111F3"/>
    <w:rsid w:val="002139CC"/>
    <w:rsid w:val="00215085"/>
    <w:rsid w:val="00215392"/>
    <w:rsid w:val="00215B31"/>
    <w:rsid w:val="00215C26"/>
    <w:rsid w:val="00215C92"/>
    <w:rsid w:val="0021665A"/>
    <w:rsid w:val="002172BD"/>
    <w:rsid w:val="00217BAD"/>
    <w:rsid w:val="002203D9"/>
    <w:rsid w:val="00220AAB"/>
    <w:rsid w:val="00221ECF"/>
    <w:rsid w:val="00223334"/>
    <w:rsid w:val="0022333C"/>
    <w:rsid w:val="00227101"/>
    <w:rsid w:val="00227279"/>
    <w:rsid w:val="00227679"/>
    <w:rsid w:val="00227936"/>
    <w:rsid w:val="00230662"/>
    <w:rsid w:val="00230DEC"/>
    <w:rsid w:val="0023143A"/>
    <w:rsid w:val="002316B1"/>
    <w:rsid w:val="002342F6"/>
    <w:rsid w:val="00234467"/>
    <w:rsid w:val="0023533F"/>
    <w:rsid w:val="0023561F"/>
    <w:rsid w:val="00235E9E"/>
    <w:rsid w:val="00236714"/>
    <w:rsid w:val="00236C77"/>
    <w:rsid w:val="00236DDF"/>
    <w:rsid w:val="00237384"/>
    <w:rsid w:val="0023775D"/>
    <w:rsid w:val="00237D8D"/>
    <w:rsid w:val="00240841"/>
    <w:rsid w:val="00241594"/>
    <w:rsid w:val="00241974"/>
    <w:rsid w:val="00241DA2"/>
    <w:rsid w:val="00242F21"/>
    <w:rsid w:val="002435A5"/>
    <w:rsid w:val="00243D31"/>
    <w:rsid w:val="00244771"/>
    <w:rsid w:val="002454E8"/>
    <w:rsid w:val="002454EA"/>
    <w:rsid w:val="00245829"/>
    <w:rsid w:val="002469E5"/>
    <w:rsid w:val="0024740A"/>
    <w:rsid w:val="00247FEE"/>
    <w:rsid w:val="00250794"/>
    <w:rsid w:val="00250804"/>
    <w:rsid w:val="00250C3C"/>
    <w:rsid w:val="00250E7D"/>
    <w:rsid w:val="0025131C"/>
    <w:rsid w:val="002514CF"/>
    <w:rsid w:val="00251775"/>
    <w:rsid w:val="00251C04"/>
    <w:rsid w:val="002520A8"/>
    <w:rsid w:val="002539CC"/>
    <w:rsid w:val="0025531F"/>
    <w:rsid w:val="00255677"/>
    <w:rsid w:val="00255B2E"/>
    <w:rsid w:val="00255BF0"/>
    <w:rsid w:val="002565D5"/>
    <w:rsid w:val="0025689B"/>
    <w:rsid w:val="002602B0"/>
    <w:rsid w:val="00260477"/>
    <w:rsid w:val="00260D24"/>
    <w:rsid w:val="00262128"/>
    <w:rsid w:val="002622C0"/>
    <w:rsid w:val="00263E43"/>
    <w:rsid w:val="0026416A"/>
    <w:rsid w:val="00264253"/>
    <w:rsid w:val="002644B1"/>
    <w:rsid w:val="0026472D"/>
    <w:rsid w:val="00264E1C"/>
    <w:rsid w:val="002652DE"/>
    <w:rsid w:val="002657EB"/>
    <w:rsid w:val="00265D0A"/>
    <w:rsid w:val="002705E2"/>
    <w:rsid w:val="00270D2D"/>
    <w:rsid w:val="00270FE4"/>
    <w:rsid w:val="00271FA7"/>
    <w:rsid w:val="002725C2"/>
    <w:rsid w:val="002733A8"/>
    <w:rsid w:val="0027436E"/>
    <w:rsid w:val="00277349"/>
    <w:rsid w:val="00277370"/>
    <w:rsid w:val="0027752C"/>
    <w:rsid w:val="002778AE"/>
    <w:rsid w:val="00282685"/>
    <w:rsid w:val="0028269A"/>
    <w:rsid w:val="00282C26"/>
    <w:rsid w:val="00283590"/>
    <w:rsid w:val="00285008"/>
    <w:rsid w:val="002863D2"/>
    <w:rsid w:val="00286536"/>
    <w:rsid w:val="00286973"/>
    <w:rsid w:val="00286FAD"/>
    <w:rsid w:val="002873AE"/>
    <w:rsid w:val="0028799C"/>
    <w:rsid w:val="00290839"/>
    <w:rsid w:val="00290EAE"/>
    <w:rsid w:val="00294084"/>
    <w:rsid w:val="00294299"/>
    <w:rsid w:val="00294E70"/>
    <w:rsid w:val="00295E6A"/>
    <w:rsid w:val="0029639F"/>
    <w:rsid w:val="00296E82"/>
    <w:rsid w:val="002972F4"/>
    <w:rsid w:val="00297891"/>
    <w:rsid w:val="00297987"/>
    <w:rsid w:val="00297D34"/>
    <w:rsid w:val="00297EDE"/>
    <w:rsid w:val="002A1678"/>
    <w:rsid w:val="002A1924"/>
    <w:rsid w:val="002A3093"/>
    <w:rsid w:val="002A3685"/>
    <w:rsid w:val="002A3F3B"/>
    <w:rsid w:val="002A4B0D"/>
    <w:rsid w:val="002A538B"/>
    <w:rsid w:val="002A5452"/>
    <w:rsid w:val="002A5EB0"/>
    <w:rsid w:val="002A738B"/>
    <w:rsid w:val="002A7420"/>
    <w:rsid w:val="002B00D6"/>
    <w:rsid w:val="002B043A"/>
    <w:rsid w:val="002B0F12"/>
    <w:rsid w:val="002B1308"/>
    <w:rsid w:val="002B24F0"/>
    <w:rsid w:val="002B253E"/>
    <w:rsid w:val="002B3408"/>
    <w:rsid w:val="002B4554"/>
    <w:rsid w:val="002B51D4"/>
    <w:rsid w:val="002B5754"/>
    <w:rsid w:val="002B661C"/>
    <w:rsid w:val="002B6A88"/>
    <w:rsid w:val="002C05F0"/>
    <w:rsid w:val="002C0846"/>
    <w:rsid w:val="002C28CE"/>
    <w:rsid w:val="002C4AB4"/>
    <w:rsid w:val="002C501B"/>
    <w:rsid w:val="002C57C5"/>
    <w:rsid w:val="002C63C3"/>
    <w:rsid w:val="002C6915"/>
    <w:rsid w:val="002C72D8"/>
    <w:rsid w:val="002C7727"/>
    <w:rsid w:val="002D11FA"/>
    <w:rsid w:val="002D1422"/>
    <w:rsid w:val="002D1757"/>
    <w:rsid w:val="002D20AC"/>
    <w:rsid w:val="002D25D8"/>
    <w:rsid w:val="002D2732"/>
    <w:rsid w:val="002D29CF"/>
    <w:rsid w:val="002D31AB"/>
    <w:rsid w:val="002D35D9"/>
    <w:rsid w:val="002D3694"/>
    <w:rsid w:val="002D3A1F"/>
    <w:rsid w:val="002D521D"/>
    <w:rsid w:val="002D6A2E"/>
    <w:rsid w:val="002D72B8"/>
    <w:rsid w:val="002D74BB"/>
    <w:rsid w:val="002D7FA3"/>
    <w:rsid w:val="002E0844"/>
    <w:rsid w:val="002E0ADC"/>
    <w:rsid w:val="002E0DDF"/>
    <w:rsid w:val="002E0E5E"/>
    <w:rsid w:val="002E11F7"/>
    <w:rsid w:val="002E1360"/>
    <w:rsid w:val="002E1F58"/>
    <w:rsid w:val="002E2906"/>
    <w:rsid w:val="002E33AD"/>
    <w:rsid w:val="002E504E"/>
    <w:rsid w:val="002E5473"/>
    <w:rsid w:val="002E5635"/>
    <w:rsid w:val="002E64C3"/>
    <w:rsid w:val="002E682D"/>
    <w:rsid w:val="002E686C"/>
    <w:rsid w:val="002E6A2C"/>
    <w:rsid w:val="002E7EB0"/>
    <w:rsid w:val="002F018B"/>
    <w:rsid w:val="002F0439"/>
    <w:rsid w:val="002F0776"/>
    <w:rsid w:val="002F083A"/>
    <w:rsid w:val="002F0921"/>
    <w:rsid w:val="002F1007"/>
    <w:rsid w:val="002F1667"/>
    <w:rsid w:val="002F1CA6"/>
    <w:rsid w:val="002F1D8C"/>
    <w:rsid w:val="002F219E"/>
    <w:rsid w:val="002F21DA"/>
    <w:rsid w:val="002F2875"/>
    <w:rsid w:val="002F31BE"/>
    <w:rsid w:val="002F3FD2"/>
    <w:rsid w:val="002F4E8D"/>
    <w:rsid w:val="002F5598"/>
    <w:rsid w:val="002F5EE7"/>
    <w:rsid w:val="002F6B63"/>
    <w:rsid w:val="002F7AE3"/>
    <w:rsid w:val="0030123F"/>
    <w:rsid w:val="00301583"/>
    <w:rsid w:val="00301F39"/>
    <w:rsid w:val="00302924"/>
    <w:rsid w:val="00302BAA"/>
    <w:rsid w:val="003031B6"/>
    <w:rsid w:val="00304033"/>
    <w:rsid w:val="003043B3"/>
    <w:rsid w:val="00304774"/>
    <w:rsid w:val="0030685E"/>
    <w:rsid w:val="00307179"/>
    <w:rsid w:val="00310D24"/>
    <w:rsid w:val="0031113C"/>
    <w:rsid w:val="0031124A"/>
    <w:rsid w:val="00312B8C"/>
    <w:rsid w:val="00313C43"/>
    <w:rsid w:val="00314613"/>
    <w:rsid w:val="00315CB7"/>
    <w:rsid w:val="00315DE2"/>
    <w:rsid w:val="0031610B"/>
    <w:rsid w:val="003169FF"/>
    <w:rsid w:val="00317853"/>
    <w:rsid w:val="00317AF6"/>
    <w:rsid w:val="00317C0F"/>
    <w:rsid w:val="00320E70"/>
    <w:rsid w:val="00321562"/>
    <w:rsid w:val="003223C6"/>
    <w:rsid w:val="0032252B"/>
    <w:rsid w:val="003226B3"/>
    <w:rsid w:val="00323D70"/>
    <w:rsid w:val="0032468C"/>
    <w:rsid w:val="003247D2"/>
    <w:rsid w:val="00325926"/>
    <w:rsid w:val="00326ADE"/>
    <w:rsid w:val="00326D2B"/>
    <w:rsid w:val="003272B0"/>
    <w:rsid w:val="003276AB"/>
    <w:rsid w:val="00327A8A"/>
    <w:rsid w:val="003302F8"/>
    <w:rsid w:val="00331584"/>
    <w:rsid w:val="00333B1A"/>
    <w:rsid w:val="0033607C"/>
    <w:rsid w:val="00336610"/>
    <w:rsid w:val="00336B0D"/>
    <w:rsid w:val="00341153"/>
    <w:rsid w:val="00341D6E"/>
    <w:rsid w:val="0034200E"/>
    <w:rsid w:val="0034227E"/>
    <w:rsid w:val="00342430"/>
    <w:rsid w:val="003429F8"/>
    <w:rsid w:val="003433CD"/>
    <w:rsid w:val="00343F73"/>
    <w:rsid w:val="0034485B"/>
    <w:rsid w:val="00344BDA"/>
    <w:rsid w:val="00344CCE"/>
    <w:rsid w:val="00345060"/>
    <w:rsid w:val="0034730C"/>
    <w:rsid w:val="00347A8E"/>
    <w:rsid w:val="00351737"/>
    <w:rsid w:val="0035234D"/>
    <w:rsid w:val="0035323B"/>
    <w:rsid w:val="003536E2"/>
    <w:rsid w:val="003538A1"/>
    <w:rsid w:val="00353C1B"/>
    <w:rsid w:val="00354678"/>
    <w:rsid w:val="003557C7"/>
    <w:rsid w:val="0035616B"/>
    <w:rsid w:val="0035679D"/>
    <w:rsid w:val="00356A02"/>
    <w:rsid w:val="00356B50"/>
    <w:rsid w:val="00356E1D"/>
    <w:rsid w:val="003576CF"/>
    <w:rsid w:val="00357C80"/>
    <w:rsid w:val="00360695"/>
    <w:rsid w:val="003609D2"/>
    <w:rsid w:val="00360AF9"/>
    <w:rsid w:val="00361100"/>
    <w:rsid w:val="003627A2"/>
    <w:rsid w:val="00363F22"/>
    <w:rsid w:val="00364B80"/>
    <w:rsid w:val="003675EA"/>
    <w:rsid w:val="0037034F"/>
    <w:rsid w:val="00370943"/>
    <w:rsid w:val="0037364A"/>
    <w:rsid w:val="00373E87"/>
    <w:rsid w:val="00374A80"/>
    <w:rsid w:val="0037544A"/>
    <w:rsid w:val="00375564"/>
    <w:rsid w:val="00375E9A"/>
    <w:rsid w:val="003763A0"/>
    <w:rsid w:val="00377916"/>
    <w:rsid w:val="003807E6"/>
    <w:rsid w:val="00381DFB"/>
    <w:rsid w:val="00382CFE"/>
    <w:rsid w:val="00383191"/>
    <w:rsid w:val="00383EBB"/>
    <w:rsid w:val="00385548"/>
    <w:rsid w:val="00386306"/>
    <w:rsid w:val="0038687E"/>
    <w:rsid w:val="00386BEC"/>
    <w:rsid w:val="00386DED"/>
    <w:rsid w:val="003909C6"/>
    <w:rsid w:val="003912E7"/>
    <w:rsid w:val="003916B2"/>
    <w:rsid w:val="003921D1"/>
    <w:rsid w:val="00392C4E"/>
    <w:rsid w:val="0039365A"/>
    <w:rsid w:val="00393671"/>
    <w:rsid w:val="00393947"/>
    <w:rsid w:val="003961F1"/>
    <w:rsid w:val="003974F2"/>
    <w:rsid w:val="0039780D"/>
    <w:rsid w:val="003A2275"/>
    <w:rsid w:val="003A39C8"/>
    <w:rsid w:val="003A5530"/>
    <w:rsid w:val="003A6A4F"/>
    <w:rsid w:val="003A7088"/>
    <w:rsid w:val="003A76BC"/>
    <w:rsid w:val="003B00DF"/>
    <w:rsid w:val="003B0548"/>
    <w:rsid w:val="003B0B8E"/>
    <w:rsid w:val="003B1275"/>
    <w:rsid w:val="003B162E"/>
    <w:rsid w:val="003B1778"/>
    <w:rsid w:val="003B1893"/>
    <w:rsid w:val="003B1FDC"/>
    <w:rsid w:val="003B2D5F"/>
    <w:rsid w:val="003B34D0"/>
    <w:rsid w:val="003B6632"/>
    <w:rsid w:val="003B73D2"/>
    <w:rsid w:val="003C11CB"/>
    <w:rsid w:val="003C1C3C"/>
    <w:rsid w:val="003C1E43"/>
    <w:rsid w:val="003C261A"/>
    <w:rsid w:val="003C31F5"/>
    <w:rsid w:val="003C323D"/>
    <w:rsid w:val="003C3340"/>
    <w:rsid w:val="003C3AE2"/>
    <w:rsid w:val="003C3B47"/>
    <w:rsid w:val="003C3FDC"/>
    <w:rsid w:val="003C4233"/>
    <w:rsid w:val="003C5805"/>
    <w:rsid w:val="003C7125"/>
    <w:rsid w:val="003C75F3"/>
    <w:rsid w:val="003C75F8"/>
    <w:rsid w:val="003C78A3"/>
    <w:rsid w:val="003C7CB7"/>
    <w:rsid w:val="003D0957"/>
    <w:rsid w:val="003D0AF1"/>
    <w:rsid w:val="003D11EB"/>
    <w:rsid w:val="003D4AE2"/>
    <w:rsid w:val="003D5441"/>
    <w:rsid w:val="003D5443"/>
    <w:rsid w:val="003D56CF"/>
    <w:rsid w:val="003D658D"/>
    <w:rsid w:val="003D65CC"/>
    <w:rsid w:val="003D7AAF"/>
    <w:rsid w:val="003E0842"/>
    <w:rsid w:val="003E08D1"/>
    <w:rsid w:val="003E1832"/>
    <w:rsid w:val="003E1867"/>
    <w:rsid w:val="003E2A45"/>
    <w:rsid w:val="003E2C4A"/>
    <w:rsid w:val="003E3A20"/>
    <w:rsid w:val="003E4026"/>
    <w:rsid w:val="003E4A38"/>
    <w:rsid w:val="003E5273"/>
    <w:rsid w:val="003E544C"/>
    <w:rsid w:val="003E5729"/>
    <w:rsid w:val="003E5EA8"/>
    <w:rsid w:val="003E6A8F"/>
    <w:rsid w:val="003F0191"/>
    <w:rsid w:val="003F02F2"/>
    <w:rsid w:val="003F034E"/>
    <w:rsid w:val="003F0873"/>
    <w:rsid w:val="003F143D"/>
    <w:rsid w:val="003F152A"/>
    <w:rsid w:val="003F1BAE"/>
    <w:rsid w:val="003F3E99"/>
    <w:rsid w:val="003F43F5"/>
    <w:rsid w:val="003F4EE0"/>
    <w:rsid w:val="003F64FA"/>
    <w:rsid w:val="003F6982"/>
    <w:rsid w:val="003F762F"/>
    <w:rsid w:val="003F7D97"/>
    <w:rsid w:val="004004A0"/>
    <w:rsid w:val="004012AC"/>
    <w:rsid w:val="0040177B"/>
    <w:rsid w:val="00401D5A"/>
    <w:rsid w:val="00402153"/>
    <w:rsid w:val="0040228C"/>
    <w:rsid w:val="00402F33"/>
    <w:rsid w:val="00402FC1"/>
    <w:rsid w:val="00404264"/>
    <w:rsid w:val="0040468F"/>
    <w:rsid w:val="00404895"/>
    <w:rsid w:val="004052B4"/>
    <w:rsid w:val="0040626B"/>
    <w:rsid w:val="00407854"/>
    <w:rsid w:val="004129AD"/>
    <w:rsid w:val="00413AD7"/>
    <w:rsid w:val="00414DB1"/>
    <w:rsid w:val="00415068"/>
    <w:rsid w:val="00420088"/>
    <w:rsid w:val="004206F5"/>
    <w:rsid w:val="004215C0"/>
    <w:rsid w:val="00421676"/>
    <w:rsid w:val="00421AA9"/>
    <w:rsid w:val="004222BC"/>
    <w:rsid w:val="00422447"/>
    <w:rsid w:val="00424C88"/>
    <w:rsid w:val="00425082"/>
    <w:rsid w:val="0042526D"/>
    <w:rsid w:val="004255FE"/>
    <w:rsid w:val="00425FF6"/>
    <w:rsid w:val="00427857"/>
    <w:rsid w:val="00427BCE"/>
    <w:rsid w:val="00430B8B"/>
    <w:rsid w:val="004312CA"/>
    <w:rsid w:val="00431DEB"/>
    <w:rsid w:val="0043231D"/>
    <w:rsid w:val="00433840"/>
    <w:rsid w:val="0043478B"/>
    <w:rsid w:val="004347D7"/>
    <w:rsid w:val="00435B33"/>
    <w:rsid w:val="00436077"/>
    <w:rsid w:val="00436A43"/>
    <w:rsid w:val="00437179"/>
    <w:rsid w:val="00437BC4"/>
    <w:rsid w:val="00437F56"/>
    <w:rsid w:val="00437F97"/>
    <w:rsid w:val="0044124B"/>
    <w:rsid w:val="0044229D"/>
    <w:rsid w:val="0044351D"/>
    <w:rsid w:val="00444197"/>
    <w:rsid w:val="0044443B"/>
    <w:rsid w:val="004446B6"/>
    <w:rsid w:val="00444D8F"/>
    <w:rsid w:val="004455C6"/>
    <w:rsid w:val="00446B29"/>
    <w:rsid w:val="00452050"/>
    <w:rsid w:val="0045237E"/>
    <w:rsid w:val="00452C79"/>
    <w:rsid w:val="00453032"/>
    <w:rsid w:val="0045324F"/>
    <w:rsid w:val="004536DD"/>
    <w:rsid w:val="00453C1A"/>
    <w:rsid w:val="00453F9A"/>
    <w:rsid w:val="004548CF"/>
    <w:rsid w:val="00454F0F"/>
    <w:rsid w:val="0045543B"/>
    <w:rsid w:val="0045617B"/>
    <w:rsid w:val="004561EB"/>
    <w:rsid w:val="00457BDF"/>
    <w:rsid w:val="00457ED8"/>
    <w:rsid w:val="00457FD2"/>
    <w:rsid w:val="004602F5"/>
    <w:rsid w:val="004603F2"/>
    <w:rsid w:val="0046210D"/>
    <w:rsid w:val="0046379B"/>
    <w:rsid w:val="0046411E"/>
    <w:rsid w:val="00465725"/>
    <w:rsid w:val="00466449"/>
    <w:rsid w:val="00466782"/>
    <w:rsid w:val="00470F2B"/>
    <w:rsid w:val="004717C6"/>
    <w:rsid w:val="0047181E"/>
    <w:rsid w:val="00471E91"/>
    <w:rsid w:val="00472D7B"/>
    <w:rsid w:val="00473096"/>
    <w:rsid w:val="0047337E"/>
    <w:rsid w:val="004735B6"/>
    <w:rsid w:val="00473EAB"/>
    <w:rsid w:val="00474675"/>
    <w:rsid w:val="0047470C"/>
    <w:rsid w:val="0047701A"/>
    <w:rsid w:val="00477A25"/>
    <w:rsid w:val="00477CBA"/>
    <w:rsid w:val="00480294"/>
    <w:rsid w:val="00480B4C"/>
    <w:rsid w:val="0048199B"/>
    <w:rsid w:val="0048215B"/>
    <w:rsid w:val="00482FBF"/>
    <w:rsid w:val="00483687"/>
    <w:rsid w:val="00483A31"/>
    <w:rsid w:val="00483B99"/>
    <w:rsid w:val="00484736"/>
    <w:rsid w:val="004847D8"/>
    <w:rsid w:val="0048550D"/>
    <w:rsid w:val="00485540"/>
    <w:rsid w:val="00487445"/>
    <w:rsid w:val="00490A4B"/>
    <w:rsid w:val="00490A78"/>
    <w:rsid w:val="00491BF0"/>
    <w:rsid w:val="00491E72"/>
    <w:rsid w:val="00491FA8"/>
    <w:rsid w:val="004934E3"/>
    <w:rsid w:val="00494437"/>
    <w:rsid w:val="004948EC"/>
    <w:rsid w:val="00494A58"/>
    <w:rsid w:val="00494BC2"/>
    <w:rsid w:val="004959E9"/>
    <w:rsid w:val="00495FE1"/>
    <w:rsid w:val="0049722A"/>
    <w:rsid w:val="00497662"/>
    <w:rsid w:val="004A0DC6"/>
    <w:rsid w:val="004A16C6"/>
    <w:rsid w:val="004A2572"/>
    <w:rsid w:val="004A25CA"/>
    <w:rsid w:val="004A312D"/>
    <w:rsid w:val="004A3429"/>
    <w:rsid w:val="004A3598"/>
    <w:rsid w:val="004A35F9"/>
    <w:rsid w:val="004A537F"/>
    <w:rsid w:val="004A59E8"/>
    <w:rsid w:val="004A694A"/>
    <w:rsid w:val="004A6E54"/>
    <w:rsid w:val="004A7978"/>
    <w:rsid w:val="004A7F4A"/>
    <w:rsid w:val="004B147D"/>
    <w:rsid w:val="004B1994"/>
    <w:rsid w:val="004B1CD7"/>
    <w:rsid w:val="004B24C1"/>
    <w:rsid w:val="004B2627"/>
    <w:rsid w:val="004B45AF"/>
    <w:rsid w:val="004B50BA"/>
    <w:rsid w:val="004B56AA"/>
    <w:rsid w:val="004B5A0F"/>
    <w:rsid w:val="004B60DD"/>
    <w:rsid w:val="004B61B3"/>
    <w:rsid w:val="004B7946"/>
    <w:rsid w:val="004C0CEA"/>
    <w:rsid w:val="004C1D33"/>
    <w:rsid w:val="004C292F"/>
    <w:rsid w:val="004C315E"/>
    <w:rsid w:val="004C357C"/>
    <w:rsid w:val="004C4832"/>
    <w:rsid w:val="004C65E3"/>
    <w:rsid w:val="004C708E"/>
    <w:rsid w:val="004D1A58"/>
    <w:rsid w:val="004D1B45"/>
    <w:rsid w:val="004D21EE"/>
    <w:rsid w:val="004D2F17"/>
    <w:rsid w:val="004D3282"/>
    <w:rsid w:val="004D4091"/>
    <w:rsid w:val="004D438E"/>
    <w:rsid w:val="004D46F0"/>
    <w:rsid w:val="004D4B64"/>
    <w:rsid w:val="004D4D5A"/>
    <w:rsid w:val="004D5726"/>
    <w:rsid w:val="004D5CE7"/>
    <w:rsid w:val="004D65CA"/>
    <w:rsid w:val="004D6972"/>
    <w:rsid w:val="004D7256"/>
    <w:rsid w:val="004D7350"/>
    <w:rsid w:val="004E048B"/>
    <w:rsid w:val="004E1A39"/>
    <w:rsid w:val="004E1C68"/>
    <w:rsid w:val="004E282A"/>
    <w:rsid w:val="004E38B7"/>
    <w:rsid w:val="004E3C27"/>
    <w:rsid w:val="004E4045"/>
    <w:rsid w:val="004E4538"/>
    <w:rsid w:val="004E79AB"/>
    <w:rsid w:val="004F040A"/>
    <w:rsid w:val="004F1B37"/>
    <w:rsid w:val="004F1E38"/>
    <w:rsid w:val="004F1F1A"/>
    <w:rsid w:val="004F2B80"/>
    <w:rsid w:val="004F407A"/>
    <w:rsid w:val="004F410D"/>
    <w:rsid w:val="004F4130"/>
    <w:rsid w:val="004F4869"/>
    <w:rsid w:val="004F5763"/>
    <w:rsid w:val="004F5E96"/>
    <w:rsid w:val="004F633A"/>
    <w:rsid w:val="004F6E78"/>
    <w:rsid w:val="004F6E8C"/>
    <w:rsid w:val="004F7686"/>
    <w:rsid w:val="004F79B9"/>
    <w:rsid w:val="005009D1"/>
    <w:rsid w:val="0050100B"/>
    <w:rsid w:val="00501BB1"/>
    <w:rsid w:val="00501E67"/>
    <w:rsid w:val="0050230B"/>
    <w:rsid w:val="00503D6E"/>
    <w:rsid w:val="00503E3F"/>
    <w:rsid w:val="00503FAB"/>
    <w:rsid w:val="00504DB4"/>
    <w:rsid w:val="00506877"/>
    <w:rsid w:val="005077AD"/>
    <w:rsid w:val="00510280"/>
    <w:rsid w:val="00510382"/>
    <w:rsid w:val="0051134D"/>
    <w:rsid w:val="0051145D"/>
    <w:rsid w:val="00511A29"/>
    <w:rsid w:val="005127E0"/>
    <w:rsid w:val="00513111"/>
    <w:rsid w:val="00513D73"/>
    <w:rsid w:val="005140DC"/>
    <w:rsid w:val="00514A43"/>
    <w:rsid w:val="00515E48"/>
    <w:rsid w:val="0051615C"/>
    <w:rsid w:val="00516A2C"/>
    <w:rsid w:val="005174E5"/>
    <w:rsid w:val="0052213F"/>
    <w:rsid w:val="00522393"/>
    <w:rsid w:val="00522620"/>
    <w:rsid w:val="00522BB3"/>
    <w:rsid w:val="005233F0"/>
    <w:rsid w:val="00524127"/>
    <w:rsid w:val="00524ACD"/>
    <w:rsid w:val="00524AD1"/>
    <w:rsid w:val="00524D4B"/>
    <w:rsid w:val="00525183"/>
    <w:rsid w:val="00525656"/>
    <w:rsid w:val="005265E5"/>
    <w:rsid w:val="00526B60"/>
    <w:rsid w:val="00526C5E"/>
    <w:rsid w:val="0053057D"/>
    <w:rsid w:val="00531388"/>
    <w:rsid w:val="00532B38"/>
    <w:rsid w:val="0053442F"/>
    <w:rsid w:val="00534C02"/>
    <w:rsid w:val="00534F50"/>
    <w:rsid w:val="00534FF9"/>
    <w:rsid w:val="005352E2"/>
    <w:rsid w:val="00535E50"/>
    <w:rsid w:val="00537434"/>
    <w:rsid w:val="00540D60"/>
    <w:rsid w:val="00540F3C"/>
    <w:rsid w:val="005411B7"/>
    <w:rsid w:val="0054264B"/>
    <w:rsid w:val="00542E66"/>
    <w:rsid w:val="00543786"/>
    <w:rsid w:val="00545484"/>
    <w:rsid w:val="00545D73"/>
    <w:rsid w:val="00546017"/>
    <w:rsid w:val="00547E2F"/>
    <w:rsid w:val="00550C82"/>
    <w:rsid w:val="0055202A"/>
    <w:rsid w:val="005522DC"/>
    <w:rsid w:val="0055277C"/>
    <w:rsid w:val="00552BCA"/>
    <w:rsid w:val="005533BA"/>
    <w:rsid w:val="005533D7"/>
    <w:rsid w:val="005534E0"/>
    <w:rsid w:val="00553C33"/>
    <w:rsid w:val="00553D8B"/>
    <w:rsid w:val="00554179"/>
    <w:rsid w:val="00554E6A"/>
    <w:rsid w:val="00555546"/>
    <w:rsid w:val="00556AE7"/>
    <w:rsid w:val="005575E2"/>
    <w:rsid w:val="00557C1C"/>
    <w:rsid w:val="0056076F"/>
    <w:rsid w:val="00560E2A"/>
    <w:rsid w:val="005614CB"/>
    <w:rsid w:val="005615F1"/>
    <w:rsid w:val="00562F61"/>
    <w:rsid w:val="0056354E"/>
    <w:rsid w:val="005642ED"/>
    <w:rsid w:val="005646AC"/>
    <w:rsid w:val="00564902"/>
    <w:rsid w:val="00564DEC"/>
    <w:rsid w:val="00565676"/>
    <w:rsid w:val="00565840"/>
    <w:rsid w:val="00565ED0"/>
    <w:rsid w:val="005660F3"/>
    <w:rsid w:val="00566599"/>
    <w:rsid w:val="005666F8"/>
    <w:rsid w:val="00566AAD"/>
    <w:rsid w:val="00566E36"/>
    <w:rsid w:val="00567047"/>
    <w:rsid w:val="005673F6"/>
    <w:rsid w:val="005703DE"/>
    <w:rsid w:val="00570D15"/>
    <w:rsid w:val="00570F67"/>
    <w:rsid w:val="00570FFB"/>
    <w:rsid w:val="00571B2C"/>
    <w:rsid w:val="00571C13"/>
    <w:rsid w:val="005725AE"/>
    <w:rsid w:val="00572655"/>
    <w:rsid w:val="00572C05"/>
    <w:rsid w:val="00573B17"/>
    <w:rsid w:val="005748EC"/>
    <w:rsid w:val="00574AD6"/>
    <w:rsid w:val="00574CD0"/>
    <w:rsid w:val="005752D4"/>
    <w:rsid w:val="00575547"/>
    <w:rsid w:val="0057771C"/>
    <w:rsid w:val="00580F61"/>
    <w:rsid w:val="00581982"/>
    <w:rsid w:val="00582735"/>
    <w:rsid w:val="0058325E"/>
    <w:rsid w:val="00583CE8"/>
    <w:rsid w:val="005840D1"/>
    <w:rsid w:val="0058464E"/>
    <w:rsid w:val="00585FD8"/>
    <w:rsid w:val="0058675D"/>
    <w:rsid w:val="00587A34"/>
    <w:rsid w:val="00587AEF"/>
    <w:rsid w:val="005902F0"/>
    <w:rsid w:val="00590A15"/>
    <w:rsid w:val="00590D5F"/>
    <w:rsid w:val="00590DA2"/>
    <w:rsid w:val="00593E71"/>
    <w:rsid w:val="00594164"/>
    <w:rsid w:val="00595924"/>
    <w:rsid w:val="00595EE7"/>
    <w:rsid w:val="005967F4"/>
    <w:rsid w:val="00596B4D"/>
    <w:rsid w:val="00597341"/>
    <w:rsid w:val="005975C5"/>
    <w:rsid w:val="00597C83"/>
    <w:rsid w:val="00597EA5"/>
    <w:rsid w:val="005A01CB"/>
    <w:rsid w:val="005A12FB"/>
    <w:rsid w:val="005A1520"/>
    <w:rsid w:val="005A23D3"/>
    <w:rsid w:val="005A3660"/>
    <w:rsid w:val="005A3F2A"/>
    <w:rsid w:val="005A413A"/>
    <w:rsid w:val="005A431A"/>
    <w:rsid w:val="005A4342"/>
    <w:rsid w:val="005A43F0"/>
    <w:rsid w:val="005A469D"/>
    <w:rsid w:val="005A5341"/>
    <w:rsid w:val="005A58FF"/>
    <w:rsid w:val="005A5EAF"/>
    <w:rsid w:val="005A62FF"/>
    <w:rsid w:val="005A6398"/>
    <w:rsid w:val="005A64C0"/>
    <w:rsid w:val="005A7CE1"/>
    <w:rsid w:val="005B0A25"/>
    <w:rsid w:val="005B2119"/>
    <w:rsid w:val="005B219B"/>
    <w:rsid w:val="005B2AC8"/>
    <w:rsid w:val="005B31C4"/>
    <w:rsid w:val="005B3559"/>
    <w:rsid w:val="005B3C11"/>
    <w:rsid w:val="005B3EFB"/>
    <w:rsid w:val="005B46E5"/>
    <w:rsid w:val="005B4D5A"/>
    <w:rsid w:val="005B4E01"/>
    <w:rsid w:val="005B56B8"/>
    <w:rsid w:val="005B60B6"/>
    <w:rsid w:val="005B6DBF"/>
    <w:rsid w:val="005B6ECE"/>
    <w:rsid w:val="005C06AA"/>
    <w:rsid w:val="005C0E40"/>
    <w:rsid w:val="005C10C4"/>
    <w:rsid w:val="005C18DA"/>
    <w:rsid w:val="005C1C28"/>
    <w:rsid w:val="005C1D4E"/>
    <w:rsid w:val="005C242A"/>
    <w:rsid w:val="005C2AE4"/>
    <w:rsid w:val="005C2DA3"/>
    <w:rsid w:val="005C46F5"/>
    <w:rsid w:val="005C5602"/>
    <w:rsid w:val="005C576C"/>
    <w:rsid w:val="005C6736"/>
    <w:rsid w:val="005C6992"/>
    <w:rsid w:val="005C6DB5"/>
    <w:rsid w:val="005C6EFD"/>
    <w:rsid w:val="005C7372"/>
    <w:rsid w:val="005C7386"/>
    <w:rsid w:val="005C74D5"/>
    <w:rsid w:val="005C7F1D"/>
    <w:rsid w:val="005D0C1C"/>
    <w:rsid w:val="005D1D3A"/>
    <w:rsid w:val="005D1FE8"/>
    <w:rsid w:val="005D30D3"/>
    <w:rsid w:val="005D4744"/>
    <w:rsid w:val="005D5B07"/>
    <w:rsid w:val="005D5EF2"/>
    <w:rsid w:val="005D7A78"/>
    <w:rsid w:val="005E13F7"/>
    <w:rsid w:val="005E1446"/>
    <w:rsid w:val="005E1953"/>
    <w:rsid w:val="005E19E7"/>
    <w:rsid w:val="005E2157"/>
    <w:rsid w:val="005E24CD"/>
    <w:rsid w:val="005E5260"/>
    <w:rsid w:val="005E5441"/>
    <w:rsid w:val="005E6006"/>
    <w:rsid w:val="005F0B33"/>
    <w:rsid w:val="005F135D"/>
    <w:rsid w:val="005F1F75"/>
    <w:rsid w:val="005F2CF9"/>
    <w:rsid w:val="005F5798"/>
    <w:rsid w:val="005F6BE9"/>
    <w:rsid w:val="005F7225"/>
    <w:rsid w:val="005F75C6"/>
    <w:rsid w:val="005F7622"/>
    <w:rsid w:val="005F76E3"/>
    <w:rsid w:val="00600C52"/>
    <w:rsid w:val="00601064"/>
    <w:rsid w:val="00602079"/>
    <w:rsid w:val="0060302D"/>
    <w:rsid w:val="00603953"/>
    <w:rsid w:val="00603C57"/>
    <w:rsid w:val="00604247"/>
    <w:rsid w:val="0060574D"/>
    <w:rsid w:val="006064F8"/>
    <w:rsid w:val="00607FA5"/>
    <w:rsid w:val="00610060"/>
    <w:rsid w:val="006102F2"/>
    <w:rsid w:val="00610539"/>
    <w:rsid w:val="00610FA5"/>
    <w:rsid w:val="00610FB5"/>
    <w:rsid w:val="006112DD"/>
    <w:rsid w:val="0061263A"/>
    <w:rsid w:val="00612657"/>
    <w:rsid w:val="006126B2"/>
    <w:rsid w:val="00612FEF"/>
    <w:rsid w:val="00614156"/>
    <w:rsid w:val="00614420"/>
    <w:rsid w:val="00614716"/>
    <w:rsid w:val="006149A1"/>
    <w:rsid w:val="0061502D"/>
    <w:rsid w:val="006158EB"/>
    <w:rsid w:val="00616527"/>
    <w:rsid w:val="00616A98"/>
    <w:rsid w:val="00616BC4"/>
    <w:rsid w:val="0061716C"/>
    <w:rsid w:val="00617CCC"/>
    <w:rsid w:val="00620373"/>
    <w:rsid w:val="00622E91"/>
    <w:rsid w:val="0062380B"/>
    <w:rsid w:val="00623AAA"/>
    <w:rsid w:val="00623AEF"/>
    <w:rsid w:val="006243A1"/>
    <w:rsid w:val="00624570"/>
    <w:rsid w:val="0062590E"/>
    <w:rsid w:val="00626303"/>
    <w:rsid w:val="00626974"/>
    <w:rsid w:val="0062741D"/>
    <w:rsid w:val="0063008C"/>
    <w:rsid w:val="0063032F"/>
    <w:rsid w:val="006306A6"/>
    <w:rsid w:val="0063175C"/>
    <w:rsid w:val="00632E56"/>
    <w:rsid w:val="0063333D"/>
    <w:rsid w:val="00635CBA"/>
    <w:rsid w:val="00636714"/>
    <w:rsid w:val="0063674A"/>
    <w:rsid w:val="00636A9C"/>
    <w:rsid w:val="00636EC5"/>
    <w:rsid w:val="00637788"/>
    <w:rsid w:val="00637AD1"/>
    <w:rsid w:val="00640699"/>
    <w:rsid w:val="006406FD"/>
    <w:rsid w:val="00641186"/>
    <w:rsid w:val="00642DC9"/>
    <w:rsid w:val="00642F30"/>
    <w:rsid w:val="0064338B"/>
    <w:rsid w:val="00643578"/>
    <w:rsid w:val="00644A6B"/>
    <w:rsid w:val="00644CBB"/>
    <w:rsid w:val="00644F42"/>
    <w:rsid w:val="006458F9"/>
    <w:rsid w:val="00645D50"/>
    <w:rsid w:val="00646542"/>
    <w:rsid w:val="006479DC"/>
    <w:rsid w:val="006504F4"/>
    <w:rsid w:val="00650E62"/>
    <w:rsid w:val="00651E87"/>
    <w:rsid w:val="00651FC7"/>
    <w:rsid w:val="00652EC3"/>
    <w:rsid w:val="00653820"/>
    <w:rsid w:val="006549FF"/>
    <w:rsid w:val="00654BC9"/>
    <w:rsid w:val="006552FD"/>
    <w:rsid w:val="00655739"/>
    <w:rsid w:val="00661708"/>
    <w:rsid w:val="0066298A"/>
    <w:rsid w:val="00663AF3"/>
    <w:rsid w:val="00663C29"/>
    <w:rsid w:val="006643F0"/>
    <w:rsid w:val="0066457F"/>
    <w:rsid w:val="00665581"/>
    <w:rsid w:val="00665B1D"/>
    <w:rsid w:val="0066612B"/>
    <w:rsid w:val="006668A8"/>
    <w:rsid w:val="00666B6C"/>
    <w:rsid w:val="006702B4"/>
    <w:rsid w:val="00670CD1"/>
    <w:rsid w:val="00670D14"/>
    <w:rsid w:val="00670DB9"/>
    <w:rsid w:val="0067201F"/>
    <w:rsid w:val="00672924"/>
    <w:rsid w:val="00672B24"/>
    <w:rsid w:val="00673ADB"/>
    <w:rsid w:val="00673C5B"/>
    <w:rsid w:val="00674541"/>
    <w:rsid w:val="00674E7D"/>
    <w:rsid w:val="00675540"/>
    <w:rsid w:val="00675578"/>
    <w:rsid w:val="00675762"/>
    <w:rsid w:val="00675873"/>
    <w:rsid w:val="00677A05"/>
    <w:rsid w:val="00677ADA"/>
    <w:rsid w:val="00677DA6"/>
    <w:rsid w:val="00680CCC"/>
    <w:rsid w:val="00681554"/>
    <w:rsid w:val="00682682"/>
    <w:rsid w:val="00682702"/>
    <w:rsid w:val="00682BB3"/>
    <w:rsid w:val="00682DB8"/>
    <w:rsid w:val="00684599"/>
    <w:rsid w:val="006845F8"/>
    <w:rsid w:val="00686764"/>
    <w:rsid w:val="0069047B"/>
    <w:rsid w:val="00690F2D"/>
    <w:rsid w:val="006912F3"/>
    <w:rsid w:val="00691428"/>
    <w:rsid w:val="00692368"/>
    <w:rsid w:val="00692F35"/>
    <w:rsid w:val="00693C0A"/>
    <w:rsid w:val="006943EF"/>
    <w:rsid w:val="006A038F"/>
    <w:rsid w:val="006A1B66"/>
    <w:rsid w:val="006A1F17"/>
    <w:rsid w:val="006A2539"/>
    <w:rsid w:val="006A2855"/>
    <w:rsid w:val="006A2EBC"/>
    <w:rsid w:val="006A2F46"/>
    <w:rsid w:val="006A303B"/>
    <w:rsid w:val="006A46DF"/>
    <w:rsid w:val="006A5D31"/>
    <w:rsid w:val="006A5EA0"/>
    <w:rsid w:val="006A628B"/>
    <w:rsid w:val="006A783B"/>
    <w:rsid w:val="006A7B33"/>
    <w:rsid w:val="006A7FD5"/>
    <w:rsid w:val="006B1542"/>
    <w:rsid w:val="006B4B2F"/>
    <w:rsid w:val="006B4E13"/>
    <w:rsid w:val="006B560B"/>
    <w:rsid w:val="006B56AF"/>
    <w:rsid w:val="006B71D9"/>
    <w:rsid w:val="006B75DD"/>
    <w:rsid w:val="006C0215"/>
    <w:rsid w:val="006C17E4"/>
    <w:rsid w:val="006C37E2"/>
    <w:rsid w:val="006C401C"/>
    <w:rsid w:val="006C40CB"/>
    <w:rsid w:val="006C550D"/>
    <w:rsid w:val="006C608C"/>
    <w:rsid w:val="006C67E0"/>
    <w:rsid w:val="006C6E17"/>
    <w:rsid w:val="006C7AA2"/>
    <w:rsid w:val="006C7ABA"/>
    <w:rsid w:val="006D0130"/>
    <w:rsid w:val="006D0575"/>
    <w:rsid w:val="006D086A"/>
    <w:rsid w:val="006D0D60"/>
    <w:rsid w:val="006D10DA"/>
    <w:rsid w:val="006D1122"/>
    <w:rsid w:val="006D1138"/>
    <w:rsid w:val="006D1B88"/>
    <w:rsid w:val="006D1D90"/>
    <w:rsid w:val="006D260C"/>
    <w:rsid w:val="006D3C00"/>
    <w:rsid w:val="006D4D90"/>
    <w:rsid w:val="006D53BF"/>
    <w:rsid w:val="006D5D8D"/>
    <w:rsid w:val="006E0636"/>
    <w:rsid w:val="006E12FB"/>
    <w:rsid w:val="006E132E"/>
    <w:rsid w:val="006E16F1"/>
    <w:rsid w:val="006E1BF0"/>
    <w:rsid w:val="006E2294"/>
    <w:rsid w:val="006E23D8"/>
    <w:rsid w:val="006E277B"/>
    <w:rsid w:val="006E2910"/>
    <w:rsid w:val="006E2EBB"/>
    <w:rsid w:val="006E3675"/>
    <w:rsid w:val="006E3F9B"/>
    <w:rsid w:val="006E4052"/>
    <w:rsid w:val="006E494A"/>
    <w:rsid w:val="006E4A7F"/>
    <w:rsid w:val="006E615E"/>
    <w:rsid w:val="006E6465"/>
    <w:rsid w:val="006E66B4"/>
    <w:rsid w:val="006E6968"/>
    <w:rsid w:val="006E6D71"/>
    <w:rsid w:val="006F0D3B"/>
    <w:rsid w:val="006F1F00"/>
    <w:rsid w:val="006F2EF3"/>
    <w:rsid w:val="006F310A"/>
    <w:rsid w:val="006F3215"/>
    <w:rsid w:val="006F333D"/>
    <w:rsid w:val="006F4600"/>
    <w:rsid w:val="006F4946"/>
    <w:rsid w:val="006F55F1"/>
    <w:rsid w:val="006F58E1"/>
    <w:rsid w:val="006F5A19"/>
    <w:rsid w:val="006F70FB"/>
    <w:rsid w:val="00701915"/>
    <w:rsid w:val="00704DF6"/>
    <w:rsid w:val="00705319"/>
    <w:rsid w:val="00706254"/>
    <w:rsid w:val="0070651C"/>
    <w:rsid w:val="00707DE1"/>
    <w:rsid w:val="00707F0E"/>
    <w:rsid w:val="00710180"/>
    <w:rsid w:val="0071175A"/>
    <w:rsid w:val="0071242C"/>
    <w:rsid w:val="00712B75"/>
    <w:rsid w:val="007132A3"/>
    <w:rsid w:val="00713330"/>
    <w:rsid w:val="00713898"/>
    <w:rsid w:val="00714BF0"/>
    <w:rsid w:val="0071503F"/>
    <w:rsid w:val="0071547A"/>
    <w:rsid w:val="00715F01"/>
    <w:rsid w:val="007162F8"/>
    <w:rsid w:val="00716421"/>
    <w:rsid w:val="007166BA"/>
    <w:rsid w:val="007203F8"/>
    <w:rsid w:val="007210D2"/>
    <w:rsid w:val="00721AD2"/>
    <w:rsid w:val="00723054"/>
    <w:rsid w:val="00724EFB"/>
    <w:rsid w:val="007250C2"/>
    <w:rsid w:val="007258C5"/>
    <w:rsid w:val="00725D7E"/>
    <w:rsid w:val="00726C1B"/>
    <w:rsid w:val="00726FEF"/>
    <w:rsid w:val="007318DE"/>
    <w:rsid w:val="007321D6"/>
    <w:rsid w:val="00733947"/>
    <w:rsid w:val="0073447F"/>
    <w:rsid w:val="00734C32"/>
    <w:rsid w:val="00735751"/>
    <w:rsid w:val="00736B0B"/>
    <w:rsid w:val="00736F58"/>
    <w:rsid w:val="00737147"/>
    <w:rsid w:val="0073796B"/>
    <w:rsid w:val="00737DA0"/>
    <w:rsid w:val="007405FB"/>
    <w:rsid w:val="00740BFC"/>
    <w:rsid w:val="007419C3"/>
    <w:rsid w:val="00741F3E"/>
    <w:rsid w:val="00742E29"/>
    <w:rsid w:val="00743660"/>
    <w:rsid w:val="0074670C"/>
    <w:rsid w:val="007467A7"/>
    <w:rsid w:val="007469DD"/>
    <w:rsid w:val="0074741B"/>
    <w:rsid w:val="0074759E"/>
    <w:rsid w:val="007478EA"/>
    <w:rsid w:val="007511E3"/>
    <w:rsid w:val="00751BBA"/>
    <w:rsid w:val="00751D57"/>
    <w:rsid w:val="007539AF"/>
    <w:rsid w:val="007539B4"/>
    <w:rsid w:val="00754037"/>
    <w:rsid w:val="0075415C"/>
    <w:rsid w:val="00754A7D"/>
    <w:rsid w:val="007550F2"/>
    <w:rsid w:val="0075514F"/>
    <w:rsid w:val="007563DC"/>
    <w:rsid w:val="007571DF"/>
    <w:rsid w:val="007576CC"/>
    <w:rsid w:val="007624E9"/>
    <w:rsid w:val="00762839"/>
    <w:rsid w:val="00762F19"/>
    <w:rsid w:val="00762FD4"/>
    <w:rsid w:val="00763502"/>
    <w:rsid w:val="00763670"/>
    <w:rsid w:val="0076547F"/>
    <w:rsid w:val="00765F73"/>
    <w:rsid w:val="00765F87"/>
    <w:rsid w:val="00770B34"/>
    <w:rsid w:val="00771CA7"/>
    <w:rsid w:val="0077246F"/>
    <w:rsid w:val="00772852"/>
    <w:rsid w:val="007729FD"/>
    <w:rsid w:val="0077308B"/>
    <w:rsid w:val="007737FB"/>
    <w:rsid w:val="0077580B"/>
    <w:rsid w:val="0077690A"/>
    <w:rsid w:val="00777C21"/>
    <w:rsid w:val="0078080B"/>
    <w:rsid w:val="00780F77"/>
    <w:rsid w:val="00781035"/>
    <w:rsid w:val="00781108"/>
    <w:rsid w:val="007815BF"/>
    <w:rsid w:val="007815C0"/>
    <w:rsid w:val="00781C05"/>
    <w:rsid w:val="00781D1C"/>
    <w:rsid w:val="00782C15"/>
    <w:rsid w:val="007847CD"/>
    <w:rsid w:val="00785227"/>
    <w:rsid w:val="00785BD1"/>
    <w:rsid w:val="007866D0"/>
    <w:rsid w:val="007878D2"/>
    <w:rsid w:val="00787BFD"/>
    <w:rsid w:val="007901A1"/>
    <w:rsid w:val="00790C71"/>
    <w:rsid w:val="007913AB"/>
    <w:rsid w:val="007914F7"/>
    <w:rsid w:val="00793BEE"/>
    <w:rsid w:val="00793CB6"/>
    <w:rsid w:val="00794A20"/>
    <w:rsid w:val="00794E3E"/>
    <w:rsid w:val="00795094"/>
    <w:rsid w:val="007961E4"/>
    <w:rsid w:val="007967BB"/>
    <w:rsid w:val="00797CE7"/>
    <w:rsid w:val="007A107A"/>
    <w:rsid w:val="007A1489"/>
    <w:rsid w:val="007A1F8C"/>
    <w:rsid w:val="007A1FE3"/>
    <w:rsid w:val="007A3B52"/>
    <w:rsid w:val="007A5081"/>
    <w:rsid w:val="007A5C0D"/>
    <w:rsid w:val="007A5F96"/>
    <w:rsid w:val="007A655D"/>
    <w:rsid w:val="007A6FE5"/>
    <w:rsid w:val="007B0292"/>
    <w:rsid w:val="007B1625"/>
    <w:rsid w:val="007B1BA0"/>
    <w:rsid w:val="007B4418"/>
    <w:rsid w:val="007B447F"/>
    <w:rsid w:val="007B593D"/>
    <w:rsid w:val="007B693B"/>
    <w:rsid w:val="007B6FCF"/>
    <w:rsid w:val="007B706E"/>
    <w:rsid w:val="007B71EB"/>
    <w:rsid w:val="007B7ACF"/>
    <w:rsid w:val="007C0410"/>
    <w:rsid w:val="007C0F96"/>
    <w:rsid w:val="007C1BDD"/>
    <w:rsid w:val="007C2365"/>
    <w:rsid w:val="007C24C5"/>
    <w:rsid w:val="007C36D0"/>
    <w:rsid w:val="007C475B"/>
    <w:rsid w:val="007C4A7F"/>
    <w:rsid w:val="007C4C2E"/>
    <w:rsid w:val="007C51DB"/>
    <w:rsid w:val="007C6205"/>
    <w:rsid w:val="007C686A"/>
    <w:rsid w:val="007C728E"/>
    <w:rsid w:val="007D0214"/>
    <w:rsid w:val="007D03E8"/>
    <w:rsid w:val="007D04FC"/>
    <w:rsid w:val="007D079D"/>
    <w:rsid w:val="007D1069"/>
    <w:rsid w:val="007D16A8"/>
    <w:rsid w:val="007D2664"/>
    <w:rsid w:val="007D2B25"/>
    <w:rsid w:val="007D2C53"/>
    <w:rsid w:val="007D2CC0"/>
    <w:rsid w:val="007D3D60"/>
    <w:rsid w:val="007D4075"/>
    <w:rsid w:val="007D426F"/>
    <w:rsid w:val="007D4910"/>
    <w:rsid w:val="007D58C4"/>
    <w:rsid w:val="007D67D9"/>
    <w:rsid w:val="007D6B5C"/>
    <w:rsid w:val="007D6BAA"/>
    <w:rsid w:val="007D7584"/>
    <w:rsid w:val="007E0056"/>
    <w:rsid w:val="007E1945"/>
    <w:rsid w:val="007E1980"/>
    <w:rsid w:val="007E21BF"/>
    <w:rsid w:val="007E2B2C"/>
    <w:rsid w:val="007E4B76"/>
    <w:rsid w:val="007E51FC"/>
    <w:rsid w:val="007E5EA8"/>
    <w:rsid w:val="007E5EC1"/>
    <w:rsid w:val="007E7DD4"/>
    <w:rsid w:val="007F0CF1"/>
    <w:rsid w:val="007F12A5"/>
    <w:rsid w:val="007F1679"/>
    <w:rsid w:val="007F2223"/>
    <w:rsid w:val="007F225B"/>
    <w:rsid w:val="007F46A0"/>
    <w:rsid w:val="007F4CF1"/>
    <w:rsid w:val="007F5A31"/>
    <w:rsid w:val="007F5DD8"/>
    <w:rsid w:val="007F69FC"/>
    <w:rsid w:val="007F6ABB"/>
    <w:rsid w:val="007F6EB0"/>
    <w:rsid w:val="007F758D"/>
    <w:rsid w:val="007F79D8"/>
    <w:rsid w:val="007F7BA5"/>
    <w:rsid w:val="007F7D52"/>
    <w:rsid w:val="00800F5B"/>
    <w:rsid w:val="0080147F"/>
    <w:rsid w:val="00803FF0"/>
    <w:rsid w:val="00804437"/>
    <w:rsid w:val="00804785"/>
    <w:rsid w:val="00805395"/>
    <w:rsid w:val="0080596E"/>
    <w:rsid w:val="00806094"/>
    <w:rsid w:val="0080629B"/>
    <w:rsid w:val="0080654C"/>
    <w:rsid w:val="008071C6"/>
    <w:rsid w:val="008073F3"/>
    <w:rsid w:val="00807800"/>
    <w:rsid w:val="008079A8"/>
    <w:rsid w:val="00807F06"/>
    <w:rsid w:val="008101C9"/>
    <w:rsid w:val="0081055C"/>
    <w:rsid w:val="0081061A"/>
    <w:rsid w:val="00811993"/>
    <w:rsid w:val="00812ABA"/>
    <w:rsid w:val="00812F7A"/>
    <w:rsid w:val="00812FE6"/>
    <w:rsid w:val="00813A0C"/>
    <w:rsid w:val="00815187"/>
    <w:rsid w:val="008156B7"/>
    <w:rsid w:val="008163C7"/>
    <w:rsid w:val="00817A00"/>
    <w:rsid w:val="00820AF6"/>
    <w:rsid w:val="00820D4F"/>
    <w:rsid w:val="00821463"/>
    <w:rsid w:val="00821725"/>
    <w:rsid w:val="0082271F"/>
    <w:rsid w:val="00822FDE"/>
    <w:rsid w:val="00823B07"/>
    <w:rsid w:val="0082428C"/>
    <w:rsid w:val="0082442E"/>
    <w:rsid w:val="0082530F"/>
    <w:rsid w:val="00825959"/>
    <w:rsid w:val="0082618B"/>
    <w:rsid w:val="00826EF9"/>
    <w:rsid w:val="00830163"/>
    <w:rsid w:val="008307DB"/>
    <w:rsid w:val="008317AB"/>
    <w:rsid w:val="00832043"/>
    <w:rsid w:val="00832B04"/>
    <w:rsid w:val="00832F1B"/>
    <w:rsid w:val="00835990"/>
    <w:rsid w:val="00835DB3"/>
    <w:rsid w:val="00835F48"/>
    <w:rsid w:val="0083617B"/>
    <w:rsid w:val="0083662F"/>
    <w:rsid w:val="00836B11"/>
    <w:rsid w:val="008371BD"/>
    <w:rsid w:val="00837961"/>
    <w:rsid w:val="00841310"/>
    <w:rsid w:val="00842277"/>
    <w:rsid w:val="0084320B"/>
    <w:rsid w:val="00844B0F"/>
    <w:rsid w:val="00845024"/>
    <w:rsid w:val="0084555D"/>
    <w:rsid w:val="00845593"/>
    <w:rsid w:val="00845CED"/>
    <w:rsid w:val="00846161"/>
    <w:rsid w:val="0084690F"/>
    <w:rsid w:val="00846B58"/>
    <w:rsid w:val="00847D41"/>
    <w:rsid w:val="00847EFC"/>
    <w:rsid w:val="008500F5"/>
    <w:rsid w:val="008504A8"/>
    <w:rsid w:val="00850D0C"/>
    <w:rsid w:val="0085118B"/>
    <w:rsid w:val="00852360"/>
    <w:rsid w:val="00852559"/>
    <w:rsid w:val="0085282E"/>
    <w:rsid w:val="0085416B"/>
    <w:rsid w:val="008546D4"/>
    <w:rsid w:val="00855B58"/>
    <w:rsid w:val="008570A0"/>
    <w:rsid w:val="0085771A"/>
    <w:rsid w:val="008577DD"/>
    <w:rsid w:val="00860CB6"/>
    <w:rsid w:val="008617B2"/>
    <w:rsid w:val="00862397"/>
    <w:rsid w:val="00862E01"/>
    <w:rsid w:val="008641DC"/>
    <w:rsid w:val="00864E98"/>
    <w:rsid w:val="00864F14"/>
    <w:rsid w:val="00865D1A"/>
    <w:rsid w:val="00867521"/>
    <w:rsid w:val="00867B0D"/>
    <w:rsid w:val="00867C07"/>
    <w:rsid w:val="00870B83"/>
    <w:rsid w:val="00871963"/>
    <w:rsid w:val="0087198C"/>
    <w:rsid w:val="0087247D"/>
    <w:rsid w:val="00872C1F"/>
    <w:rsid w:val="00873B42"/>
    <w:rsid w:val="008752A2"/>
    <w:rsid w:val="008754DD"/>
    <w:rsid w:val="00875905"/>
    <w:rsid w:val="008768C9"/>
    <w:rsid w:val="0087761B"/>
    <w:rsid w:val="00883203"/>
    <w:rsid w:val="0088342A"/>
    <w:rsid w:val="00883D9E"/>
    <w:rsid w:val="00885266"/>
    <w:rsid w:val="008856D8"/>
    <w:rsid w:val="008866CC"/>
    <w:rsid w:val="00886CDF"/>
    <w:rsid w:val="00887092"/>
    <w:rsid w:val="00887486"/>
    <w:rsid w:val="00887DEC"/>
    <w:rsid w:val="0089086C"/>
    <w:rsid w:val="0089194A"/>
    <w:rsid w:val="008922EF"/>
    <w:rsid w:val="00892E82"/>
    <w:rsid w:val="00895E90"/>
    <w:rsid w:val="008974D2"/>
    <w:rsid w:val="008A0C36"/>
    <w:rsid w:val="008A10E8"/>
    <w:rsid w:val="008A19E5"/>
    <w:rsid w:val="008A3A48"/>
    <w:rsid w:val="008A425C"/>
    <w:rsid w:val="008A4D3A"/>
    <w:rsid w:val="008A5318"/>
    <w:rsid w:val="008A60B9"/>
    <w:rsid w:val="008B0FE9"/>
    <w:rsid w:val="008B17D5"/>
    <w:rsid w:val="008B20BD"/>
    <w:rsid w:val="008B2C23"/>
    <w:rsid w:val="008B3E9E"/>
    <w:rsid w:val="008B4ED6"/>
    <w:rsid w:val="008B7634"/>
    <w:rsid w:val="008C0BD7"/>
    <w:rsid w:val="008C1B58"/>
    <w:rsid w:val="008C1C74"/>
    <w:rsid w:val="008C23E2"/>
    <w:rsid w:val="008C2CC0"/>
    <w:rsid w:val="008C326D"/>
    <w:rsid w:val="008C3370"/>
    <w:rsid w:val="008C39AE"/>
    <w:rsid w:val="008C46A0"/>
    <w:rsid w:val="008C4FCC"/>
    <w:rsid w:val="008C5689"/>
    <w:rsid w:val="008C590D"/>
    <w:rsid w:val="008C5C9D"/>
    <w:rsid w:val="008C70E6"/>
    <w:rsid w:val="008C7867"/>
    <w:rsid w:val="008C78FF"/>
    <w:rsid w:val="008D2197"/>
    <w:rsid w:val="008D2652"/>
    <w:rsid w:val="008D3402"/>
    <w:rsid w:val="008D3803"/>
    <w:rsid w:val="008D4158"/>
    <w:rsid w:val="008D4214"/>
    <w:rsid w:val="008D43EE"/>
    <w:rsid w:val="008D43FF"/>
    <w:rsid w:val="008D480B"/>
    <w:rsid w:val="008D4AD6"/>
    <w:rsid w:val="008D4B9E"/>
    <w:rsid w:val="008D4F71"/>
    <w:rsid w:val="008D6C34"/>
    <w:rsid w:val="008D7313"/>
    <w:rsid w:val="008E031B"/>
    <w:rsid w:val="008E0554"/>
    <w:rsid w:val="008E1912"/>
    <w:rsid w:val="008E2279"/>
    <w:rsid w:val="008E2E3A"/>
    <w:rsid w:val="008E302A"/>
    <w:rsid w:val="008E3F6C"/>
    <w:rsid w:val="008E5151"/>
    <w:rsid w:val="008E672B"/>
    <w:rsid w:val="008E6CCB"/>
    <w:rsid w:val="008E7029"/>
    <w:rsid w:val="008E7EF6"/>
    <w:rsid w:val="008F02CB"/>
    <w:rsid w:val="008F07E2"/>
    <w:rsid w:val="008F0C4C"/>
    <w:rsid w:val="008F1263"/>
    <w:rsid w:val="008F1A3D"/>
    <w:rsid w:val="008F1D93"/>
    <w:rsid w:val="008F1F98"/>
    <w:rsid w:val="008F2468"/>
    <w:rsid w:val="008F47E2"/>
    <w:rsid w:val="008F4872"/>
    <w:rsid w:val="008F6758"/>
    <w:rsid w:val="008F67F7"/>
    <w:rsid w:val="008F7398"/>
    <w:rsid w:val="008F7FBA"/>
    <w:rsid w:val="00900945"/>
    <w:rsid w:val="00900E17"/>
    <w:rsid w:val="009019FA"/>
    <w:rsid w:val="009020B0"/>
    <w:rsid w:val="009021C7"/>
    <w:rsid w:val="009025A4"/>
    <w:rsid w:val="00902DDB"/>
    <w:rsid w:val="0090376C"/>
    <w:rsid w:val="00903C9F"/>
    <w:rsid w:val="009040DD"/>
    <w:rsid w:val="00904DAD"/>
    <w:rsid w:val="00904E9D"/>
    <w:rsid w:val="00905781"/>
    <w:rsid w:val="00905B47"/>
    <w:rsid w:val="00905C36"/>
    <w:rsid w:val="009072A3"/>
    <w:rsid w:val="00907517"/>
    <w:rsid w:val="009101DF"/>
    <w:rsid w:val="0091096A"/>
    <w:rsid w:val="00911797"/>
    <w:rsid w:val="00911F7A"/>
    <w:rsid w:val="00912944"/>
    <w:rsid w:val="0091331C"/>
    <w:rsid w:val="0091411F"/>
    <w:rsid w:val="009157FF"/>
    <w:rsid w:val="00915998"/>
    <w:rsid w:val="00915D22"/>
    <w:rsid w:val="00915DF0"/>
    <w:rsid w:val="00916778"/>
    <w:rsid w:val="00916D52"/>
    <w:rsid w:val="00921D65"/>
    <w:rsid w:val="00922035"/>
    <w:rsid w:val="00922BB3"/>
    <w:rsid w:val="00923D10"/>
    <w:rsid w:val="00923EAC"/>
    <w:rsid w:val="00924219"/>
    <w:rsid w:val="00925B53"/>
    <w:rsid w:val="009264E2"/>
    <w:rsid w:val="009264E7"/>
    <w:rsid w:val="009279DE"/>
    <w:rsid w:val="00930116"/>
    <w:rsid w:val="0093078A"/>
    <w:rsid w:val="00930912"/>
    <w:rsid w:val="00934D39"/>
    <w:rsid w:val="00935389"/>
    <w:rsid w:val="00940D15"/>
    <w:rsid w:val="0094119E"/>
    <w:rsid w:val="00941CA1"/>
    <w:rsid w:val="00942114"/>
    <w:rsid w:val="0094212C"/>
    <w:rsid w:val="00943016"/>
    <w:rsid w:val="009434AD"/>
    <w:rsid w:val="00943BA2"/>
    <w:rsid w:val="00944AF1"/>
    <w:rsid w:val="00944B11"/>
    <w:rsid w:val="00945942"/>
    <w:rsid w:val="00945CA0"/>
    <w:rsid w:val="0094661D"/>
    <w:rsid w:val="009513A0"/>
    <w:rsid w:val="00951C13"/>
    <w:rsid w:val="00951DE8"/>
    <w:rsid w:val="009528C5"/>
    <w:rsid w:val="009532D5"/>
    <w:rsid w:val="00954689"/>
    <w:rsid w:val="00955D1F"/>
    <w:rsid w:val="009570F6"/>
    <w:rsid w:val="00960020"/>
    <w:rsid w:val="009603EE"/>
    <w:rsid w:val="00960B6B"/>
    <w:rsid w:val="009612C3"/>
    <w:rsid w:val="009617C9"/>
    <w:rsid w:val="00961C93"/>
    <w:rsid w:val="00961F6B"/>
    <w:rsid w:val="00961F87"/>
    <w:rsid w:val="00963096"/>
    <w:rsid w:val="00965324"/>
    <w:rsid w:val="00965420"/>
    <w:rsid w:val="00965730"/>
    <w:rsid w:val="00966631"/>
    <w:rsid w:val="009668EB"/>
    <w:rsid w:val="00966D02"/>
    <w:rsid w:val="00967C87"/>
    <w:rsid w:val="0097091E"/>
    <w:rsid w:val="009722AA"/>
    <w:rsid w:val="00972B9A"/>
    <w:rsid w:val="009730E0"/>
    <w:rsid w:val="009739AE"/>
    <w:rsid w:val="00974257"/>
    <w:rsid w:val="0097549C"/>
    <w:rsid w:val="00975711"/>
    <w:rsid w:val="009760D3"/>
    <w:rsid w:val="009770B8"/>
    <w:rsid w:val="00977132"/>
    <w:rsid w:val="00977649"/>
    <w:rsid w:val="00980F42"/>
    <w:rsid w:val="009819B2"/>
    <w:rsid w:val="00981A4B"/>
    <w:rsid w:val="00982501"/>
    <w:rsid w:val="00982DF6"/>
    <w:rsid w:val="00982F96"/>
    <w:rsid w:val="0098429A"/>
    <w:rsid w:val="009850D5"/>
    <w:rsid w:val="00985974"/>
    <w:rsid w:val="0098687C"/>
    <w:rsid w:val="0098727C"/>
    <w:rsid w:val="0098759C"/>
    <w:rsid w:val="009877D3"/>
    <w:rsid w:val="0099045E"/>
    <w:rsid w:val="00991B20"/>
    <w:rsid w:val="00992111"/>
    <w:rsid w:val="00992642"/>
    <w:rsid w:val="00992AE1"/>
    <w:rsid w:val="00992B33"/>
    <w:rsid w:val="00992E6D"/>
    <w:rsid w:val="00992F42"/>
    <w:rsid w:val="009934CB"/>
    <w:rsid w:val="00994856"/>
    <w:rsid w:val="009949B2"/>
    <w:rsid w:val="00994E8F"/>
    <w:rsid w:val="009951DC"/>
    <w:rsid w:val="009952F2"/>
    <w:rsid w:val="0099536C"/>
    <w:rsid w:val="009959BB"/>
    <w:rsid w:val="00997158"/>
    <w:rsid w:val="00997BDD"/>
    <w:rsid w:val="009A02BB"/>
    <w:rsid w:val="009A02CD"/>
    <w:rsid w:val="009A12CA"/>
    <w:rsid w:val="009A2203"/>
    <w:rsid w:val="009A3067"/>
    <w:rsid w:val="009A3A7C"/>
    <w:rsid w:val="009A5B07"/>
    <w:rsid w:val="009A63F0"/>
    <w:rsid w:val="009A6961"/>
    <w:rsid w:val="009A7F0C"/>
    <w:rsid w:val="009B124E"/>
    <w:rsid w:val="009B13C3"/>
    <w:rsid w:val="009B21E5"/>
    <w:rsid w:val="009B28B7"/>
    <w:rsid w:val="009B2ADB"/>
    <w:rsid w:val="009B3561"/>
    <w:rsid w:val="009B4597"/>
    <w:rsid w:val="009B4AB6"/>
    <w:rsid w:val="009B5438"/>
    <w:rsid w:val="009B5ABE"/>
    <w:rsid w:val="009B603A"/>
    <w:rsid w:val="009B6083"/>
    <w:rsid w:val="009B690C"/>
    <w:rsid w:val="009B713D"/>
    <w:rsid w:val="009B7438"/>
    <w:rsid w:val="009B7576"/>
    <w:rsid w:val="009B7E97"/>
    <w:rsid w:val="009C0157"/>
    <w:rsid w:val="009C0181"/>
    <w:rsid w:val="009C09F8"/>
    <w:rsid w:val="009C17C2"/>
    <w:rsid w:val="009C2012"/>
    <w:rsid w:val="009C2D0E"/>
    <w:rsid w:val="009C3678"/>
    <w:rsid w:val="009C382E"/>
    <w:rsid w:val="009C3CC5"/>
    <w:rsid w:val="009C3DAC"/>
    <w:rsid w:val="009C42E0"/>
    <w:rsid w:val="009C455D"/>
    <w:rsid w:val="009C54C0"/>
    <w:rsid w:val="009C5829"/>
    <w:rsid w:val="009C7286"/>
    <w:rsid w:val="009C72C4"/>
    <w:rsid w:val="009C7C6E"/>
    <w:rsid w:val="009D0693"/>
    <w:rsid w:val="009D0928"/>
    <w:rsid w:val="009D0A84"/>
    <w:rsid w:val="009D117A"/>
    <w:rsid w:val="009D342B"/>
    <w:rsid w:val="009D3889"/>
    <w:rsid w:val="009D3C88"/>
    <w:rsid w:val="009D463A"/>
    <w:rsid w:val="009D4994"/>
    <w:rsid w:val="009D4C94"/>
    <w:rsid w:val="009D5362"/>
    <w:rsid w:val="009D5A95"/>
    <w:rsid w:val="009E01A8"/>
    <w:rsid w:val="009E048F"/>
    <w:rsid w:val="009E0791"/>
    <w:rsid w:val="009E0E90"/>
    <w:rsid w:val="009E130A"/>
    <w:rsid w:val="009E1415"/>
    <w:rsid w:val="009E15C8"/>
    <w:rsid w:val="009E196D"/>
    <w:rsid w:val="009E1C6B"/>
    <w:rsid w:val="009E2196"/>
    <w:rsid w:val="009E3FB1"/>
    <w:rsid w:val="009E5495"/>
    <w:rsid w:val="009E6116"/>
    <w:rsid w:val="009E621F"/>
    <w:rsid w:val="009E67F4"/>
    <w:rsid w:val="009E72D5"/>
    <w:rsid w:val="009E7615"/>
    <w:rsid w:val="009E7A3A"/>
    <w:rsid w:val="009F0352"/>
    <w:rsid w:val="009F08D4"/>
    <w:rsid w:val="009F1224"/>
    <w:rsid w:val="009F2220"/>
    <w:rsid w:val="009F222C"/>
    <w:rsid w:val="009F4D08"/>
    <w:rsid w:val="009F5814"/>
    <w:rsid w:val="009F6750"/>
    <w:rsid w:val="009F69A9"/>
    <w:rsid w:val="009F6A16"/>
    <w:rsid w:val="009F6E10"/>
    <w:rsid w:val="009F764E"/>
    <w:rsid w:val="00A02E43"/>
    <w:rsid w:val="00A038C3"/>
    <w:rsid w:val="00A04287"/>
    <w:rsid w:val="00A05B32"/>
    <w:rsid w:val="00A05FE2"/>
    <w:rsid w:val="00A0618C"/>
    <w:rsid w:val="00A065F9"/>
    <w:rsid w:val="00A06664"/>
    <w:rsid w:val="00A06746"/>
    <w:rsid w:val="00A07A94"/>
    <w:rsid w:val="00A07F34"/>
    <w:rsid w:val="00A11698"/>
    <w:rsid w:val="00A1252A"/>
    <w:rsid w:val="00A1299B"/>
    <w:rsid w:val="00A129C8"/>
    <w:rsid w:val="00A1302C"/>
    <w:rsid w:val="00A14A82"/>
    <w:rsid w:val="00A151AD"/>
    <w:rsid w:val="00A20B4A"/>
    <w:rsid w:val="00A20EF5"/>
    <w:rsid w:val="00A22154"/>
    <w:rsid w:val="00A2223C"/>
    <w:rsid w:val="00A2322F"/>
    <w:rsid w:val="00A249FC"/>
    <w:rsid w:val="00A24E30"/>
    <w:rsid w:val="00A25C38"/>
    <w:rsid w:val="00A25FBF"/>
    <w:rsid w:val="00A274EB"/>
    <w:rsid w:val="00A278A7"/>
    <w:rsid w:val="00A30B49"/>
    <w:rsid w:val="00A3109E"/>
    <w:rsid w:val="00A311A9"/>
    <w:rsid w:val="00A31FFF"/>
    <w:rsid w:val="00A321AA"/>
    <w:rsid w:val="00A3294D"/>
    <w:rsid w:val="00A34962"/>
    <w:rsid w:val="00A36BBE"/>
    <w:rsid w:val="00A36D23"/>
    <w:rsid w:val="00A372CD"/>
    <w:rsid w:val="00A40494"/>
    <w:rsid w:val="00A4109A"/>
    <w:rsid w:val="00A4191D"/>
    <w:rsid w:val="00A42025"/>
    <w:rsid w:val="00A42136"/>
    <w:rsid w:val="00A426D3"/>
    <w:rsid w:val="00A4307A"/>
    <w:rsid w:val="00A431D1"/>
    <w:rsid w:val="00A43C64"/>
    <w:rsid w:val="00A44914"/>
    <w:rsid w:val="00A44DC1"/>
    <w:rsid w:val="00A44F84"/>
    <w:rsid w:val="00A47EBB"/>
    <w:rsid w:val="00A51280"/>
    <w:rsid w:val="00A51592"/>
    <w:rsid w:val="00A518F1"/>
    <w:rsid w:val="00A51CDD"/>
    <w:rsid w:val="00A528B5"/>
    <w:rsid w:val="00A554C8"/>
    <w:rsid w:val="00A574AB"/>
    <w:rsid w:val="00A60774"/>
    <w:rsid w:val="00A60BF7"/>
    <w:rsid w:val="00A60D15"/>
    <w:rsid w:val="00A63AD9"/>
    <w:rsid w:val="00A64BD3"/>
    <w:rsid w:val="00A64D1C"/>
    <w:rsid w:val="00A64F60"/>
    <w:rsid w:val="00A6541B"/>
    <w:rsid w:val="00A656EB"/>
    <w:rsid w:val="00A66627"/>
    <w:rsid w:val="00A6730D"/>
    <w:rsid w:val="00A67F51"/>
    <w:rsid w:val="00A67FB7"/>
    <w:rsid w:val="00A71625"/>
    <w:rsid w:val="00A71B9B"/>
    <w:rsid w:val="00A726E2"/>
    <w:rsid w:val="00A729A4"/>
    <w:rsid w:val="00A73B6F"/>
    <w:rsid w:val="00A741E9"/>
    <w:rsid w:val="00A74C2E"/>
    <w:rsid w:val="00A751C7"/>
    <w:rsid w:val="00A75526"/>
    <w:rsid w:val="00A75D14"/>
    <w:rsid w:val="00A773CC"/>
    <w:rsid w:val="00A80326"/>
    <w:rsid w:val="00A80A1A"/>
    <w:rsid w:val="00A818EA"/>
    <w:rsid w:val="00A8267E"/>
    <w:rsid w:val="00A83452"/>
    <w:rsid w:val="00A83A81"/>
    <w:rsid w:val="00A84459"/>
    <w:rsid w:val="00A8601B"/>
    <w:rsid w:val="00A86B42"/>
    <w:rsid w:val="00A87844"/>
    <w:rsid w:val="00A90D88"/>
    <w:rsid w:val="00A90EEE"/>
    <w:rsid w:val="00A9127E"/>
    <w:rsid w:val="00A915C2"/>
    <w:rsid w:val="00A920B3"/>
    <w:rsid w:val="00A92511"/>
    <w:rsid w:val="00A93029"/>
    <w:rsid w:val="00A933AE"/>
    <w:rsid w:val="00A940A4"/>
    <w:rsid w:val="00A9413E"/>
    <w:rsid w:val="00A957A8"/>
    <w:rsid w:val="00A95CC5"/>
    <w:rsid w:val="00AA032B"/>
    <w:rsid w:val="00AA038C"/>
    <w:rsid w:val="00AA0B08"/>
    <w:rsid w:val="00AA0D34"/>
    <w:rsid w:val="00AA0F50"/>
    <w:rsid w:val="00AA12AF"/>
    <w:rsid w:val="00AA27F2"/>
    <w:rsid w:val="00AA313D"/>
    <w:rsid w:val="00AA3686"/>
    <w:rsid w:val="00AA3A15"/>
    <w:rsid w:val="00AA3C2A"/>
    <w:rsid w:val="00AA458F"/>
    <w:rsid w:val="00AA4859"/>
    <w:rsid w:val="00AA7A09"/>
    <w:rsid w:val="00AB0208"/>
    <w:rsid w:val="00AB09D8"/>
    <w:rsid w:val="00AB0F18"/>
    <w:rsid w:val="00AB2F6C"/>
    <w:rsid w:val="00AB3B50"/>
    <w:rsid w:val="00AB3ED8"/>
    <w:rsid w:val="00AB52A2"/>
    <w:rsid w:val="00AB5B42"/>
    <w:rsid w:val="00AB5CF4"/>
    <w:rsid w:val="00AB63B8"/>
    <w:rsid w:val="00AB6CDB"/>
    <w:rsid w:val="00AB77E1"/>
    <w:rsid w:val="00AB7C83"/>
    <w:rsid w:val="00AB7DB7"/>
    <w:rsid w:val="00AB7EF1"/>
    <w:rsid w:val="00AC05B1"/>
    <w:rsid w:val="00AC0B3A"/>
    <w:rsid w:val="00AC212C"/>
    <w:rsid w:val="00AC367C"/>
    <w:rsid w:val="00AC3EAB"/>
    <w:rsid w:val="00AC3F80"/>
    <w:rsid w:val="00AC59B0"/>
    <w:rsid w:val="00AC6F86"/>
    <w:rsid w:val="00AC78BD"/>
    <w:rsid w:val="00AD09FB"/>
    <w:rsid w:val="00AD0B83"/>
    <w:rsid w:val="00AD1F73"/>
    <w:rsid w:val="00AD217E"/>
    <w:rsid w:val="00AD2760"/>
    <w:rsid w:val="00AD356C"/>
    <w:rsid w:val="00AD3D71"/>
    <w:rsid w:val="00AD44B1"/>
    <w:rsid w:val="00AD5538"/>
    <w:rsid w:val="00AD6418"/>
    <w:rsid w:val="00AD68D4"/>
    <w:rsid w:val="00AD69D7"/>
    <w:rsid w:val="00AE027F"/>
    <w:rsid w:val="00AE14B0"/>
    <w:rsid w:val="00AE1A22"/>
    <w:rsid w:val="00AE207E"/>
    <w:rsid w:val="00AE2914"/>
    <w:rsid w:val="00AE3F30"/>
    <w:rsid w:val="00AE584C"/>
    <w:rsid w:val="00AE6D15"/>
    <w:rsid w:val="00AE79E1"/>
    <w:rsid w:val="00AF0630"/>
    <w:rsid w:val="00AF1571"/>
    <w:rsid w:val="00AF16E3"/>
    <w:rsid w:val="00AF1B4E"/>
    <w:rsid w:val="00AF574B"/>
    <w:rsid w:val="00AF5D91"/>
    <w:rsid w:val="00AF6F37"/>
    <w:rsid w:val="00AF7668"/>
    <w:rsid w:val="00AF7C33"/>
    <w:rsid w:val="00B003C8"/>
    <w:rsid w:val="00B01809"/>
    <w:rsid w:val="00B04182"/>
    <w:rsid w:val="00B05D06"/>
    <w:rsid w:val="00B05E2B"/>
    <w:rsid w:val="00B0604D"/>
    <w:rsid w:val="00B060A4"/>
    <w:rsid w:val="00B0753E"/>
    <w:rsid w:val="00B07AE3"/>
    <w:rsid w:val="00B1037C"/>
    <w:rsid w:val="00B10D20"/>
    <w:rsid w:val="00B11430"/>
    <w:rsid w:val="00B122EA"/>
    <w:rsid w:val="00B1233B"/>
    <w:rsid w:val="00B139ED"/>
    <w:rsid w:val="00B13DB1"/>
    <w:rsid w:val="00B16938"/>
    <w:rsid w:val="00B21AAF"/>
    <w:rsid w:val="00B224A4"/>
    <w:rsid w:val="00B224CC"/>
    <w:rsid w:val="00B23F74"/>
    <w:rsid w:val="00B24139"/>
    <w:rsid w:val="00B2542E"/>
    <w:rsid w:val="00B25A07"/>
    <w:rsid w:val="00B2624F"/>
    <w:rsid w:val="00B269B3"/>
    <w:rsid w:val="00B26B81"/>
    <w:rsid w:val="00B27AC4"/>
    <w:rsid w:val="00B301BB"/>
    <w:rsid w:val="00B30D08"/>
    <w:rsid w:val="00B318B4"/>
    <w:rsid w:val="00B32984"/>
    <w:rsid w:val="00B33411"/>
    <w:rsid w:val="00B33F25"/>
    <w:rsid w:val="00B340E6"/>
    <w:rsid w:val="00B353EB"/>
    <w:rsid w:val="00B376EF"/>
    <w:rsid w:val="00B419D8"/>
    <w:rsid w:val="00B434DA"/>
    <w:rsid w:val="00B439C4"/>
    <w:rsid w:val="00B43EE7"/>
    <w:rsid w:val="00B44CF0"/>
    <w:rsid w:val="00B4535E"/>
    <w:rsid w:val="00B45E99"/>
    <w:rsid w:val="00B4645D"/>
    <w:rsid w:val="00B4664E"/>
    <w:rsid w:val="00B468C3"/>
    <w:rsid w:val="00B47428"/>
    <w:rsid w:val="00B47BB0"/>
    <w:rsid w:val="00B50719"/>
    <w:rsid w:val="00B52A8C"/>
    <w:rsid w:val="00B53D52"/>
    <w:rsid w:val="00B556BD"/>
    <w:rsid w:val="00B565A2"/>
    <w:rsid w:val="00B577F0"/>
    <w:rsid w:val="00B6078A"/>
    <w:rsid w:val="00B6096F"/>
    <w:rsid w:val="00B6125C"/>
    <w:rsid w:val="00B62F65"/>
    <w:rsid w:val="00B632D8"/>
    <w:rsid w:val="00B636A8"/>
    <w:rsid w:val="00B63983"/>
    <w:rsid w:val="00B64EC0"/>
    <w:rsid w:val="00B66253"/>
    <w:rsid w:val="00B6632C"/>
    <w:rsid w:val="00B665C6"/>
    <w:rsid w:val="00B66A04"/>
    <w:rsid w:val="00B716B4"/>
    <w:rsid w:val="00B72DF4"/>
    <w:rsid w:val="00B73640"/>
    <w:rsid w:val="00B73BF3"/>
    <w:rsid w:val="00B7406E"/>
    <w:rsid w:val="00B747C7"/>
    <w:rsid w:val="00B74F60"/>
    <w:rsid w:val="00B7549C"/>
    <w:rsid w:val="00B755E8"/>
    <w:rsid w:val="00B75CD1"/>
    <w:rsid w:val="00B763EA"/>
    <w:rsid w:val="00B76D93"/>
    <w:rsid w:val="00B77068"/>
    <w:rsid w:val="00B77AC4"/>
    <w:rsid w:val="00B805AF"/>
    <w:rsid w:val="00B82B37"/>
    <w:rsid w:val="00B82BA8"/>
    <w:rsid w:val="00B82E3E"/>
    <w:rsid w:val="00B83183"/>
    <w:rsid w:val="00B837E9"/>
    <w:rsid w:val="00B841D1"/>
    <w:rsid w:val="00B84F90"/>
    <w:rsid w:val="00B85663"/>
    <w:rsid w:val="00B857FD"/>
    <w:rsid w:val="00B85B50"/>
    <w:rsid w:val="00B869EC"/>
    <w:rsid w:val="00B87350"/>
    <w:rsid w:val="00B878B9"/>
    <w:rsid w:val="00B9047A"/>
    <w:rsid w:val="00B90AC9"/>
    <w:rsid w:val="00B90AF9"/>
    <w:rsid w:val="00B90B1C"/>
    <w:rsid w:val="00B914DF"/>
    <w:rsid w:val="00B92ADA"/>
    <w:rsid w:val="00B9397A"/>
    <w:rsid w:val="00B948E1"/>
    <w:rsid w:val="00B95C8F"/>
    <w:rsid w:val="00B95C92"/>
    <w:rsid w:val="00B95D59"/>
    <w:rsid w:val="00B9620A"/>
    <w:rsid w:val="00B9633D"/>
    <w:rsid w:val="00B97395"/>
    <w:rsid w:val="00B97ACB"/>
    <w:rsid w:val="00B97EA1"/>
    <w:rsid w:val="00BA0E35"/>
    <w:rsid w:val="00BA1B38"/>
    <w:rsid w:val="00BA2B66"/>
    <w:rsid w:val="00BA2EBE"/>
    <w:rsid w:val="00BA3025"/>
    <w:rsid w:val="00BA4117"/>
    <w:rsid w:val="00BA7764"/>
    <w:rsid w:val="00BA7BDB"/>
    <w:rsid w:val="00BB0D00"/>
    <w:rsid w:val="00BB0F28"/>
    <w:rsid w:val="00BB1DBE"/>
    <w:rsid w:val="00BB2289"/>
    <w:rsid w:val="00BB2918"/>
    <w:rsid w:val="00BB397F"/>
    <w:rsid w:val="00BB458A"/>
    <w:rsid w:val="00BB47ED"/>
    <w:rsid w:val="00BB481D"/>
    <w:rsid w:val="00BB4ECA"/>
    <w:rsid w:val="00BB5DD5"/>
    <w:rsid w:val="00BB7071"/>
    <w:rsid w:val="00BC039E"/>
    <w:rsid w:val="00BC0698"/>
    <w:rsid w:val="00BC0B04"/>
    <w:rsid w:val="00BC1045"/>
    <w:rsid w:val="00BC1C2B"/>
    <w:rsid w:val="00BC2B90"/>
    <w:rsid w:val="00BC3EDC"/>
    <w:rsid w:val="00BC49F3"/>
    <w:rsid w:val="00BC4ADE"/>
    <w:rsid w:val="00BC5B4E"/>
    <w:rsid w:val="00BC5EE3"/>
    <w:rsid w:val="00BC6E4E"/>
    <w:rsid w:val="00BC7A26"/>
    <w:rsid w:val="00BD00D3"/>
    <w:rsid w:val="00BD0333"/>
    <w:rsid w:val="00BD160B"/>
    <w:rsid w:val="00BD1659"/>
    <w:rsid w:val="00BD23A4"/>
    <w:rsid w:val="00BD39E4"/>
    <w:rsid w:val="00BD3AA9"/>
    <w:rsid w:val="00BD4190"/>
    <w:rsid w:val="00BD4A18"/>
    <w:rsid w:val="00BD4EC2"/>
    <w:rsid w:val="00BD5E26"/>
    <w:rsid w:val="00BD63C3"/>
    <w:rsid w:val="00BD66B5"/>
    <w:rsid w:val="00BD67AA"/>
    <w:rsid w:val="00BD6A3A"/>
    <w:rsid w:val="00BD6DB2"/>
    <w:rsid w:val="00BD6F5E"/>
    <w:rsid w:val="00BD7BDA"/>
    <w:rsid w:val="00BE0009"/>
    <w:rsid w:val="00BE11CF"/>
    <w:rsid w:val="00BE179A"/>
    <w:rsid w:val="00BE21AB"/>
    <w:rsid w:val="00BE2AC0"/>
    <w:rsid w:val="00BE3900"/>
    <w:rsid w:val="00BE3D26"/>
    <w:rsid w:val="00BE42F5"/>
    <w:rsid w:val="00BE43F0"/>
    <w:rsid w:val="00BE46DB"/>
    <w:rsid w:val="00BE4E37"/>
    <w:rsid w:val="00BE50B9"/>
    <w:rsid w:val="00BE543A"/>
    <w:rsid w:val="00BE5460"/>
    <w:rsid w:val="00BE55CB"/>
    <w:rsid w:val="00BE6C30"/>
    <w:rsid w:val="00BE7166"/>
    <w:rsid w:val="00BE7A99"/>
    <w:rsid w:val="00BF000A"/>
    <w:rsid w:val="00BF0301"/>
    <w:rsid w:val="00BF03BD"/>
    <w:rsid w:val="00BF0DC8"/>
    <w:rsid w:val="00BF1372"/>
    <w:rsid w:val="00BF2464"/>
    <w:rsid w:val="00BF3824"/>
    <w:rsid w:val="00BF5FD8"/>
    <w:rsid w:val="00BF617A"/>
    <w:rsid w:val="00BF61E5"/>
    <w:rsid w:val="00BF7906"/>
    <w:rsid w:val="00BF7D2F"/>
    <w:rsid w:val="00C01E7F"/>
    <w:rsid w:val="00C02146"/>
    <w:rsid w:val="00C02A46"/>
    <w:rsid w:val="00C02C7C"/>
    <w:rsid w:val="00C02EA6"/>
    <w:rsid w:val="00C03282"/>
    <w:rsid w:val="00C0366F"/>
    <w:rsid w:val="00C0379D"/>
    <w:rsid w:val="00C03931"/>
    <w:rsid w:val="00C057EF"/>
    <w:rsid w:val="00C05B35"/>
    <w:rsid w:val="00C05FE3"/>
    <w:rsid w:val="00C06CE5"/>
    <w:rsid w:val="00C073F9"/>
    <w:rsid w:val="00C078FE"/>
    <w:rsid w:val="00C0791E"/>
    <w:rsid w:val="00C107C5"/>
    <w:rsid w:val="00C10A02"/>
    <w:rsid w:val="00C1359C"/>
    <w:rsid w:val="00C14202"/>
    <w:rsid w:val="00C1422E"/>
    <w:rsid w:val="00C17905"/>
    <w:rsid w:val="00C20379"/>
    <w:rsid w:val="00C2136D"/>
    <w:rsid w:val="00C214EE"/>
    <w:rsid w:val="00C21FF9"/>
    <w:rsid w:val="00C2314B"/>
    <w:rsid w:val="00C231D7"/>
    <w:rsid w:val="00C234B3"/>
    <w:rsid w:val="00C2398A"/>
    <w:rsid w:val="00C23E83"/>
    <w:rsid w:val="00C24171"/>
    <w:rsid w:val="00C24971"/>
    <w:rsid w:val="00C24AA1"/>
    <w:rsid w:val="00C26BBC"/>
    <w:rsid w:val="00C26BE5"/>
    <w:rsid w:val="00C26E4D"/>
    <w:rsid w:val="00C27909"/>
    <w:rsid w:val="00C27ADD"/>
    <w:rsid w:val="00C27B03"/>
    <w:rsid w:val="00C307E9"/>
    <w:rsid w:val="00C314E1"/>
    <w:rsid w:val="00C31CBA"/>
    <w:rsid w:val="00C3249E"/>
    <w:rsid w:val="00C34397"/>
    <w:rsid w:val="00C34451"/>
    <w:rsid w:val="00C363CB"/>
    <w:rsid w:val="00C36DEB"/>
    <w:rsid w:val="00C370C9"/>
    <w:rsid w:val="00C373E5"/>
    <w:rsid w:val="00C4095D"/>
    <w:rsid w:val="00C41748"/>
    <w:rsid w:val="00C418FC"/>
    <w:rsid w:val="00C42857"/>
    <w:rsid w:val="00C42D67"/>
    <w:rsid w:val="00C43372"/>
    <w:rsid w:val="00C43740"/>
    <w:rsid w:val="00C442EA"/>
    <w:rsid w:val="00C45541"/>
    <w:rsid w:val="00C456A0"/>
    <w:rsid w:val="00C50676"/>
    <w:rsid w:val="00C50DD8"/>
    <w:rsid w:val="00C50FDC"/>
    <w:rsid w:val="00C53189"/>
    <w:rsid w:val="00C536A4"/>
    <w:rsid w:val="00C56A1F"/>
    <w:rsid w:val="00C57635"/>
    <w:rsid w:val="00C601D2"/>
    <w:rsid w:val="00C60BFA"/>
    <w:rsid w:val="00C60E81"/>
    <w:rsid w:val="00C61D52"/>
    <w:rsid w:val="00C645F3"/>
    <w:rsid w:val="00C64615"/>
    <w:rsid w:val="00C65127"/>
    <w:rsid w:val="00C653F4"/>
    <w:rsid w:val="00C6579F"/>
    <w:rsid w:val="00C657AB"/>
    <w:rsid w:val="00C65BCC"/>
    <w:rsid w:val="00C66970"/>
    <w:rsid w:val="00C679E7"/>
    <w:rsid w:val="00C67B96"/>
    <w:rsid w:val="00C70C7F"/>
    <w:rsid w:val="00C70D8B"/>
    <w:rsid w:val="00C70FD9"/>
    <w:rsid w:val="00C71491"/>
    <w:rsid w:val="00C720AB"/>
    <w:rsid w:val="00C7216F"/>
    <w:rsid w:val="00C72BDB"/>
    <w:rsid w:val="00C749E6"/>
    <w:rsid w:val="00C766C2"/>
    <w:rsid w:val="00C77CF4"/>
    <w:rsid w:val="00C80170"/>
    <w:rsid w:val="00C80519"/>
    <w:rsid w:val="00C830C0"/>
    <w:rsid w:val="00C84671"/>
    <w:rsid w:val="00C84827"/>
    <w:rsid w:val="00C84919"/>
    <w:rsid w:val="00C85340"/>
    <w:rsid w:val="00C85BB5"/>
    <w:rsid w:val="00C85C1A"/>
    <w:rsid w:val="00C8691C"/>
    <w:rsid w:val="00C90883"/>
    <w:rsid w:val="00C9510C"/>
    <w:rsid w:val="00C96FBB"/>
    <w:rsid w:val="00C973ED"/>
    <w:rsid w:val="00C976C7"/>
    <w:rsid w:val="00CA00BD"/>
    <w:rsid w:val="00CA025C"/>
    <w:rsid w:val="00CA064E"/>
    <w:rsid w:val="00CA15C5"/>
    <w:rsid w:val="00CA168A"/>
    <w:rsid w:val="00CA1924"/>
    <w:rsid w:val="00CA357E"/>
    <w:rsid w:val="00CA35AD"/>
    <w:rsid w:val="00CA44A1"/>
    <w:rsid w:val="00CA44F9"/>
    <w:rsid w:val="00CA4A69"/>
    <w:rsid w:val="00CA529C"/>
    <w:rsid w:val="00CA58E6"/>
    <w:rsid w:val="00CA5A9C"/>
    <w:rsid w:val="00CA6A44"/>
    <w:rsid w:val="00CB0AC1"/>
    <w:rsid w:val="00CB0EA7"/>
    <w:rsid w:val="00CB1038"/>
    <w:rsid w:val="00CB1938"/>
    <w:rsid w:val="00CB195D"/>
    <w:rsid w:val="00CB2A33"/>
    <w:rsid w:val="00CB342E"/>
    <w:rsid w:val="00CB4179"/>
    <w:rsid w:val="00CB480C"/>
    <w:rsid w:val="00CB4C10"/>
    <w:rsid w:val="00CB5AA2"/>
    <w:rsid w:val="00CB5ACA"/>
    <w:rsid w:val="00CB6C83"/>
    <w:rsid w:val="00CB7862"/>
    <w:rsid w:val="00CB7B00"/>
    <w:rsid w:val="00CC125A"/>
    <w:rsid w:val="00CC1BBD"/>
    <w:rsid w:val="00CC26F1"/>
    <w:rsid w:val="00CC2E7C"/>
    <w:rsid w:val="00CC3523"/>
    <w:rsid w:val="00CC3BCF"/>
    <w:rsid w:val="00CC3E0C"/>
    <w:rsid w:val="00CC45C6"/>
    <w:rsid w:val="00CC4BCF"/>
    <w:rsid w:val="00CC58D3"/>
    <w:rsid w:val="00CC625B"/>
    <w:rsid w:val="00CC6299"/>
    <w:rsid w:val="00CC64BB"/>
    <w:rsid w:val="00CC6E67"/>
    <w:rsid w:val="00CC6E68"/>
    <w:rsid w:val="00CC784D"/>
    <w:rsid w:val="00CD05C0"/>
    <w:rsid w:val="00CD0897"/>
    <w:rsid w:val="00CD1BE5"/>
    <w:rsid w:val="00CD29F3"/>
    <w:rsid w:val="00CD4568"/>
    <w:rsid w:val="00CD5BDA"/>
    <w:rsid w:val="00CD618C"/>
    <w:rsid w:val="00CD628C"/>
    <w:rsid w:val="00CD78E7"/>
    <w:rsid w:val="00CD7D63"/>
    <w:rsid w:val="00CD7E8E"/>
    <w:rsid w:val="00CE0161"/>
    <w:rsid w:val="00CE093E"/>
    <w:rsid w:val="00CE171B"/>
    <w:rsid w:val="00CE18EC"/>
    <w:rsid w:val="00CE1E0F"/>
    <w:rsid w:val="00CE295E"/>
    <w:rsid w:val="00CE2DBA"/>
    <w:rsid w:val="00CE3075"/>
    <w:rsid w:val="00CE372D"/>
    <w:rsid w:val="00CE51A5"/>
    <w:rsid w:val="00CE5918"/>
    <w:rsid w:val="00CE6D09"/>
    <w:rsid w:val="00CE6D38"/>
    <w:rsid w:val="00CE787A"/>
    <w:rsid w:val="00CE7D6E"/>
    <w:rsid w:val="00CF0604"/>
    <w:rsid w:val="00CF2133"/>
    <w:rsid w:val="00CF3961"/>
    <w:rsid w:val="00CF3C81"/>
    <w:rsid w:val="00CF4CAB"/>
    <w:rsid w:val="00CF6403"/>
    <w:rsid w:val="00CF6469"/>
    <w:rsid w:val="00CF7805"/>
    <w:rsid w:val="00D008CD"/>
    <w:rsid w:val="00D01627"/>
    <w:rsid w:val="00D018FC"/>
    <w:rsid w:val="00D0337B"/>
    <w:rsid w:val="00D03B65"/>
    <w:rsid w:val="00D03E5F"/>
    <w:rsid w:val="00D04796"/>
    <w:rsid w:val="00D0485E"/>
    <w:rsid w:val="00D04DAE"/>
    <w:rsid w:val="00D04DDE"/>
    <w:rsid w:val="00D06995"/>
    <w:rsid w:val="00D079B2"/>
    <w:rsid w:val="00D10E31"/>
    <w:rsid w:val="00D114E9"/>
    <w:rsid w:val="00D12061"/>
    <w:rsid w:val="00D124E3"/>
    <w:rsid w:val="00D12649"/>
    <w:rsid w:val="00D132B3"/>
    <w:rsid w:val="00D13797"/>
    <w:rsid w:val="00D13DD9"/>
    <w:rsid w:val="00D13ED6"/>
    <w:rsid w:val="00D146EF"/>
    <w:rsid w:val="00D14C32"/>
    <w:rsid w:val="00D166F3"/>
    <w:rsid w:val="00D17BDD"/>
    <w:rsid w:val="00D20423"/>
    <w:rsid w:val="00D20874"/>
    <w:rsid w:val="00D21474"/>
    <w:rsid w:val="00D227F3"/>
    <w:rsid w:val="00D24248"/>
    <w:rsid w:val="00D25092"/>
    <w:rsid w:val="00D26113"/>
    <w:rsid w:val="00D266D7"/>
    <w:rsid w:val="00D276C6"/>
    <w:rsid w:val="00D2795D"/>
    <w:rsid w:val="00D27C70"/>
    <w:rsid w:val="00D30221"/>
    <w:rsid w:val="00D30572"/>
    <w:rsid w:val="00D31C0A"/>
    <w:rsid w:val="00D31FDD"/>
    <w:rsid w:val="00D3239C"/>
    <w:rsid w:val="00D32790"/>
    <w:rsid w:val="00D33040"/>
    <w:rsid w:val="00D33ED1"/>
    <w:rsid w:val="00D34D0C"/>
    <w:rsid w:val="00D35EB7"/>
    <w:rsid w:val="00D37157"/>
    <w:rsid w:val="00D371F2"/>
    <w:rsid w:val="00D3733A"/>
    <w:rsid w:val="00D3765C"/>
    <w:rsid w:val="00D37D5F"/>
    <w:rsid w:val="00D40906"/>
    <w:rsid w:val="00D424DE"/>
    <w:rsid w:val="00D429C6"/>
    <w:rsid w:val="00D43514"/>
    <w:rsid w:val="00D440DB"/>
    <w:rsid w:val="00D45B23"/>
    <w:rsid w:val="00D46554"/>
    <w:rsid w:val="00D475E8"/>
    <w:rsid w:val="00D47748"/>
    <w:rsid w:val="00D501D5"/>
    <w:rsid w:val="00D50846"/>
    <w:rsid w:val="00D50F20"/>
    <w:rsid w:val="00D51142"/>
    <w:rsid w:val="00D516BB"/>
    <w:rsid w:val="00D522F1"/>
    <w:rsid w:val="00D54ABF"/>
    <w:rsid w:val="00D54C44"/>
    <w:rsid w:val="00D54CC3"/>
    <w:rsid w:val="00D55406"/>
    <w:rsid w:val="00D576A6"/>
    <w:rsid w:val="00D57B16"/>
    <w:rsid w:val="00D57DBD"/>
    <w:rsid w:val="00D6041A"/>
    <w:rsid w:val="00D60F8C"/>
    <w:rsid w:val="00D61CBA"/>
    <w:rsid w:val="00D627F5"/>
    <w:rsid w:val="00D62B5D"/>
    <w:rsid w:val="00D62CC7"/>
    <w:rsid w:val="00D633EB"/>
    <w:rsid w:val="00D63E93"/>
    <w:rsid w:val="00D669BC"/>
    <w:rsid w:val="00D67B44"/>
    <w:rsid w:val="00D67F44"/>
    <w:rsid w:val="00D67FCC"/>
    <w:rsid w:val="00D70BDC"/>
    <w:rsid w:val="00D718AB"/>
    <w:rsid w:val="00D71AAB"/>
    <w:rsid w:val="00D71B47"/>
    <w:rsid w:val="00D733DB"/>
    <w:rsid w:val="00D739B1"/>
    <w:rsid w:val="00D739D8"/>
    <w:rsid w:val="00D75F81"/>
    <w:rsid w:val="00D760BE"/>
    <w:rsid w:val="00D76782"/>
    <w:rsid w:val="00D777F7"/>
    <w:rsid w:val="00D77B9E"/>
    <w:rsid w:val="00D81F55"/>
    <w:rsid w:val="00D826C4"/>
    <w:rsid w:val="00D82FF7"/>
    <w:rsid w:val="00D8368A"/>
    <w:rsid w:val="00D83C4D"/>
    <w:rsid w:val="00D8423B"/>
    <w:rsid w:val="00D847FE"/>
    <w:rsid w:val="00D858A4"/>
    <w:rsid w:val="00D85C16"/>
    <w:rsid w:val="00D87990"/>
    <w:rsid w:val="00D902D5"/>
    <w:rsid w:val="00D9061F"/>
    <w:rsid w:val="00D913E8"/>
    <w:rsid w:val="00D92E05"/>
    <w:rsid w:val="00D93136"/>
    <w:rsid w:val="00D9381C"/>
    <w:rsid w:val="00D93B34"/>
    <w:rsid w:val="00D943D0"/>
    <w:rsid w:val="00D94865"/>
    <w:rsid w:val="00D95466"/>
    <w:rsid w:val="00D95A0C"/>
    <w:rsid w:val="00D964EA"/>
    <w:rsid w:val="00D966D0"/>
    <w:rsid w:val="00D97D18"/>
    <w:rsid w:val="00D97D5E"/>
    <w:rsid w:val="00DA0C59"/>
    <w:rsid w:val="00DA3693"/>
    <w:rsid w:val="00DA3991"/>
    <w:rsid w:val="00DA4547"/>
    <w:rsid w:val="00DA4EFC"/>
    <w:rsid w:val="00DA5635"/>
    <w:rsid w:val="00DA568C"/>
    <w:rsid w:val="00DA610E"/>
    <w:rsid w:val="00DA74EF"/>
    <w:rsid w:val="00DB0529"/>
    <w:rsid w:val="00DB0689"/>
    <w:rsid w:val="00DB085A"/>
    <w:rsid w:val="00DB6060"/>
    <w:rsid w:val="00DB6AE9"/>
    <w:rsid w:val="00DB6BC2"/>
    <w:rsid w:val="00DB6D37"/>
    <w:rsid w:val="00DB719C"/>
    <w:rsid w:val="00DB7E6C"/>
    <w:rsid w:val="00DC0072"/>
    <w:rsid w:val="00DC1D1B"/>
    <w:rsid w:val="00DC22AE"/>
    <w:rsid w:val="00DC22DF"/>
    <w:rsid w:val="00DC2A75"/>
    <w:rsid w:val="00DC2C27"/>
    <w:rsid w:val="00DC427B"/>
    <w:rsid w:val="00DC4927"/>
    <w:rsid w:val="00DC5D6E"/>
    <w:rsid w:val="00DC6855"/>
    <w:rsid w:val="00DC6C65"/>
    <w:rsid w:val="00DC7180"/>
    <w:rsid w:val="00DD2A58"/>
    <w:rsid w:val="00DD2C50"/>
    <w:rsid w:val="00DD3052"/>
    <w:rsid w:val="00DD3843"/>
    <w:rsid w:val="00DD3D65"/>
    <w:rsid w:val="00DD4D5E"/>
    <w:rsid w:val="00DD4E67"/>
    <w:rsid w:val="00DD5A29"/>
    <w:rsid w:val="00DD5D9D"/>
    <w:rsid w:val="00DD6184"/>
    <w:rsid w:val="00DD6C78"/>
    <w:rsid w:val="00DD6D49"/>
    <w:rsid w:val="00DD6EA9"/>
    <w:rsid w:val="00DD7463"/>
    <w:rsid w:val="00DD7474"/>
    <w:rsid w:val="00DD7B22"/>
    <w:rsid w:val="00DE0157"/>
    <w:rsid w:val="00DE06E4"/>
    <w:rsid w:val="00DE1066"/>
    <w:rsid w:val="00DE1E80"/>
    <w:rsid w:val="00DE2038"/>
    <w:rsid w:val="00DE270F"/>
    <w:rsid w:val="00DE358C"/>
    <w:rsid w:val="00DE35CB"/>
    <w:rsid w:val="00DE4C59"/>
    <w:rsid w:val="00DE52D2"/>
    <w:rsid w:val="00DE5BFC"/>
    <w:rsid w:val="00DE6009"/>
    <w:rsid w:val="00DE6D12"/>
    <w:rsid w:val="00DE749C"/>
    <w:rsid w:val="00DE7962"/>
    <w:rsid w:val="00DF01CF"/>
    <w:rsid w:val="00DF091A"/>
    <w:rsid w:val="00DF21E9"/>
    <w:rsid w:val="00DF2B6D"/>
    <w:rsid w:val="00DF4004"/>
    <w:rsid w:val="00DF554F"/>
    <w:rsid w:val="00E00F14"/>
    <w:rsid w:val="00E013A2"/>
    <w:rsid w:val="00E01572"/>
    <w:rsid w:val="00E01FE3"/>
    <w:rsid w:val="00E0227E"/>
    <w:rsid w:val="00E03CCE"/>
    <w:rsid w:val="00E045A3"/>
    <w:rsid w:val="00E053B7"/>
    <w:rsid w:val="00E06386"/>
    <w:rsid w:val="00E06E69"/>
    <w:rsid w:val="00E07D6A"/>
    <w:rsid w:val="00E105B0"/>
    <w:rsid w:val="00E108CB"/>
    <w:rsid w:val="00E11E65"/>
    <w:rsid w:val="00E121D5"/>
    <w:rsid w:val="00E12499"/>
    <w:rsid w:val="00E12C9F"/>
    <w:rsid w:val="00E12DDA"/>
    <w:rsid w:val="00E13FE6"/>
    <w:rsid w:val="00E17A4E"/>
    <w:rsid w:val="00E17C95"/>
    <w:rsid w:val="00E2242C"/>
    <w:rsid w:val="00E22875"/>
    <w:rsid w:val="00E22FCD"/>
    <w:rsid w:val="00E23485"/>
    <w:rsid w:val="00E24EB4"/>
    <w:rsid w:val="00E2502A"/>
    <w:rsid w:val="00E25B0B"/>
    <w:rsid w:val="00E25E9B"/>
    <w:rsid w:val="00E25F3A"/>
    <w:rsid w:val="00E26888"/>
    <w:rsid w:val="00E2705D"/>
    <w:rsid w:val="00E27274"/>
    <w:rsid w:val="00E27E20"/>
    <w:rsid w:val="00E30374"/>
    <w:rsid w:val="00E3071F"/>
    <w:rsid w:val="00E320ED"/>
    <w:rsid w:val="00E321D6"/>
    <w:rsid w:val="00E32637"/>
    <w:rsid w:val="00E33AFB"/>
    <w:rsid w:val="00E33BE0"/>
    <w:rsid w:val="00E34218"/>
    <w:rsid w:val="00E344DF"/>
    <w:rsid w:val="00E34D24"/>
    <w:rsid w:val="00E3598B"/>
    <w:rsid w:val="00E36D36"/>
    <w:rsid w:val="00E36FDF"/>
    <w:rsid w:val="00E37413"/>
    <w:rsid w:val="00E42D09"/>
    <w:rsid w:val="00E42E34"/>
    <w:rsid w:val="00E43B5C"/>
    <w:rsid w:val="00E46282"/>
    <w:rsid w:val="00E508DF"/>
    <w:rsid w:val="00E518BF"/>
    <w:rsid w:val="00E51920"/>
    <w:rsid w:val="00E5209B"/>
    <w:rsid w:val="00E5216E"/>
    <w:rsid w:val="00E52610"/>
    <w:rsid w:val="00E54BD8"/>
    <w:rsid w:val="00E5599C"/>
    <w:rsid w:val="00E55E0F"/>
    <w:rsid w:val="00E561D1"/>
    <w:rsid w:val="00E606C4"/>
    <w:rsid w:val="00E608E3"/>
    <w:rsid w:val="00E60D05"/>
    <w:rsid w:val="00E60D3F"/>
    <w:rsid w:val="00E61532"/>
    <w:rsid w:val="00E62B48"/>
    <w:rsid w:val="00E6305D"/>
    <w:rsid w:val="00E63C1C"/>
    <w:rsid w:val="00E64588"/>
    <w:rsid w:val="00E64FDB"/>
    <w:rsid w:val="00E65024"/>
    <w:rsid w:val="00E6533D"/>
    <w:rsid w:val="00E6584F"/>
    <w:rsid w:val="00E66C18"/>
    <w:rsid w:val="00E6757C"/>
    <w:rsid w:val="00E679D3"/>
    <w:rsid w:val="00E67CC8"/>
    <w:rsid w:val="00E67F09"/>
    <w:rsid w:val="00E72251"/>
    <w:rsid w:val="00E72779"/>
    <w:rsid w:val="00E730B0"/>
    <w:rsid w:val="00E74E9C"/>
    <w:rsid w:val="00E74F7C"/>
    <w:rsid w:val="00E75451"/>
    <w:rsid w:val="00E75FDD"/>
    <w:rsid w:val="00E76338"/>
    <w:rsid w:val="00E7633C"/>
    <w:rsid w:val="00E7735A"/>
    <w:rsid w:val="00E77797"/>
    <w:rsid w:val="00E77CEA"/>
    <w:rsid w:val="00E81468"/>
    <w:rsid w:val="00E814FC"/>
    <w:rsid w:val="00E8162C"/>
    <w:rsid w:val="00E82344"/>
    <w:rsid w:val="00E831C4"/>
    <w:rsid w:val="00E84876"/>
    <w:rsid w:val="00E84AC5"/>
    <w:rsid w:val="00E84C82"/>
    <w:rsid w:val="00E84D64"/>
    <w:rsid w:val="00E857FD"/>
    <w:rsid w:val="00E85BCB"/>
    <w:rsid w:val="00E85C22"/>
    <w:rsid w:val="00E87408"/>
    <w:rsid w:val="00E90AB3"/>
    <w:rsid w:val="00E90CAE"/>
    <w:rsid w:val="00E914C4"/>
    <w:rsid w:val="00E9203A"/>
    <w:rsid w:val="00E934F5"/>
    <w:rsid w:val="00E94303"/>
    <w:rsid w:val="00E94C99"/>
    <w:rsid w:val="00E955A2"/>
    <w:rsid w:val="00E96147"/>
    <w:rsid w:val="00E96596"/>
    <w:rsid w:val="00E96961"/>
    <w:rsid w:val="00E96E12"/>
    <w:rsid w:val="00EA01F0"/>
    <w:rsid w:val="00EA0A12"/>
    <w:rsid w:val="00EA1568"/>
    <w:rsid w:val="00EA1836"/>
    <w:rsid w:val="00EA1DD8"/>
    <w:rsid w:val="00EA2645"/>
    <w:rsid w:val="00EA2A21"/>
    <w:rsid w:val="00EA3D27"/>
    <w:rsid w:val="00EA4095"/>
    <w:rsid w:val="00EA4963"/>
    <w:rsid w:val="00EA4CA0"/>
    <w:rsid w:val="00EA506F"/>
    <w:rsid w:val="00EA69FA"/>
    <w:rsid w:val="00EA70E8"/>
    <w:rsid w:val="00EA72EC"/>
    <w:rsid w:val="00EB0E7B"/>
    <w:rsid w:val="00EB11CB"/>
    <w:rsid w:val="00EB13A6"/>
    <w:rsid w:val="00EB1E00"/>
    <w:rsid w:val="00EB223A"/>
    <w:rsid w:val="00EB275A"/>
    <w:rsid w:val="00EB2A3B"/>
    <w:rsid w:val="00EB44CC"/>
    <w:rsid w:val="00EB550B"/>
    <w:rsid w:val="00EB5FBF"/>
    <w:rsid w:val="00EB6A8C"/>
    <w:rsid w:val="00EB786A"/>
    <w:rsid w:val="00EC0FD0"/>
    <w:rsid w:val="00EC1578"/>
    <w:rsid w:val="00EC1C72"/>
    <w:rsid w:val="00EC2466"/>
    <w:rsid w:val="00EC3CC9"/>
    <w:rsid w:val="00EC4001"/>
    <w:rsid w:val="00EC44EE"/>
    <w:rsid w:val="00EC4B64"/>
    <w:rsid w:val="00EC5EA2"/>
    <w:rsid w:val="00EC5FA3"/>
    <w:rsid w:val="00EC680A"/>
    <w:rsid w:val="00EC6A17"/>
    <w:rsid w:val="00EC724B"/>
    <w:rsid w:val="00EC7DF7"/>
    <w:rsid w:val="00ED166E"/>
    <w:rsid w:val="00ED1F48"/>
    <w:rsid w:val="00ED21A5"/>
    <w:rsid w:val="00ED30B4"/>
    <w:rsid w:val="00ED39B1"/>
    <w:rsid w:val="00ED3A40"/>
    <w:rsid w:val="00ED488F"/>
    <w:rsid w:val="00ED6739"/>
    <w:rsid w:val="00ED6B20"/>
    <w:rsid w:val="00ED6C49"/>
    <w:rsid w:val="00EE12F5"/>
    <w:rsid w:val="00EE22EE"/>
    <w:rsid w:val="00EE2BED"/>
    <w:rsid w:val="00EE32FD"/>
    <w:rsid w:val="00EE3632"/>
    <w:rsid w:val="00EE374B"/>
    <w:rsid w:val="00EE3D1E"/>
    <w:rsid w:val="00EE3FB8"/>
    <w:rsid w:val="00EE444E"/>
    <w:rsid w:val="00EE45EE"/>
    <w:rsid w:val="00EE4F96"/>
    <w:rsid w:val="00EE6C65"/>
    <w:rsid w:val="00EE77EA"/>
    <w:rsid w:val="00EE7804"/>
    <w:rsid w:val="00EF09A5"/>
    <w:rsid w:val="00EF1BF3"/>
    <w:rsid w:val="00EF36EB"/>
    <w:rsid w:val="00EF3B64"/>
    <w:rsid w:val="00EF3E08"/>
    <w:rsid w:val="00EF4C71"/>
    <w:rsid w:val="00EF4CB7"/>
    <w:rsid w:val="00EF64F4"/>
    <w:rsid w:val="00EF68A0"/>
    <w:rsid w:val="00EF696F"/>
    <w:rsid w:val="00EF78F2"/>
    <w:rsid w:val="00F00278"/>
    <w:rsid w:val="00F034F5"/>
    <w:rsid w:val="00F03B21"/>
    <w:rsid w:val="00F042F2"/>
    <w:rsid w:val="00F046B9"/>
    <w:rsid w:val="00F0713A"/>
    <w:rsid w:val="00F07444"/>
    <w:rsid w:val="00F07696"/>
    <w:rsid w:val="00F101F1"/>
    <w:rsid w:val="00F1106E"/>
    <w:rsid w:val="00F11BB5"/>
    <w:rsid w:val="00F130C6"/>
    <w:rsid w:val="00F133B3"/>
    <w:rsid w:val="00F139BB"/>
    <w:rsid w:val="00F1417B"/>
    <w:rsid w:val="00F14502"/>
    <w:rsid w:val="00F148B9"/>
    <w:rsid w:val="00F14FBE"/>
    <w:rsid w:val="00F1552B"/>
    <w:rsid w:val="00F15F25"/>
    <w:rsid w:val="00F1618E"/>
    <w:rsid w:val="00F170D3"/>
    <w:rsid w:val="00F2087D"/>
    <w:rsid w:val="00F218A6"/>
    <w:rsid w:val="00F22870"/>
    <w:rsid w:val="00F22E94"/>
    <w:rsid w:val="00F22F65"/>
    <w:rsid w:val="00F23941"/>
    <w:rsid w:val="00F24B62"/>
    <w:rsid w:val="00F25406"/>
    <w:rsid w:val="00F26002"/>
    <w:rsid w:val="00F26376"/>
    <w:rsid w:val="00F268EF"/>
    <w:rsid w:val="00F26C3B"/>
    <w:rsid w:val="00F304AD"/>
    <w:rsid w:val="00F32030"/>
    <w:rsid w:val="00F33C5F"/>
    <w:rsid w:val="00F3415C"/>
    <w:rsid w:val="00F34B99"/>
    <w:rsid w:val="00F35B93"/>
    <w:rsid w:val="00F372EC"/>
    <w:rsid w:val="00F37542"/>
    <w:rsid w:val="00F4020A"/>
    <w:rsid w:val="00F42F2C"/>
    <w:rsid w:val="00F435A4"/>
    <w:rsid w:val="00F43DE4"/>
    <w:rsid w:val="00F441B8"/>
    <w:rsid w:val="00F44FCE"/>
    <w:rsid w:val="00F451C1"/>
    <w:rsid w:val="00F4662A"/>
    <w:rsid w:val="00F46B1B"/>
    <w:rsid w:val="00F47440"/>
    <w:rsid w:val="00F475FA"/>
    <w:rsid w:val="00F47652"/>
    <w:rsid w:val="00F52286"/>
    <w:rsid w:val="00F5250C"/>
    <w:rsid w:val="00F526E4"/>
    <w:rsid w:val="00F52DAB"/>
    <w:rsid w:val="00F52DEC"/>
    <w:rsid w:val="00F53B49"/>
    <w:rsid w:val="00F543F0"/>
    <w:rsid w:val="00F54DE2"/>
    <w:rsid w:val="00F55865"/>
    <w:rsid w:val="00F56652"/>
    <w:rsid w:val="00F56BD9"/>
    <w:rsid w:val="00F5757C"/>
    <w:rsid w:val="00F57B74"/>
    <w:rsid w:val="00F612AC"/>
    <w:rsid w:val="00F61779"/>
    <w:rsid w:val="00F645C2"/>
    <w:rsid w:val="00F65B38"/>
    <w:rsid w:val="00F67467"/>
    <w:rsid w:val="00F67CCA"/>
    <w:rsid w:val="00F70088"/>
    <w:rsid w:val="00F703E1"/>
    <w:rsid w:val="00F7129A"/>
    <w:rsid w:val="00F71603"/>
    <w:rsid w:val="00F7300E"/>
    <w:rsid w:val="00F7342C"/>
    <w:rsid w:val="00F7378A"/>
    <w:rsid w:val="00F75C52"/>
    <w:rsid w:val="00F75E4B"/>
    <w:rsid w:val="00F75F84"/>
    <w:rsid w:val="00F7696D"/>
    <w:rsid w:val="00F7709D"/>
    <w:rsid w:val="00F772BE"/>
    <w:rsid w:val="00F77BDF"/>
    <w:rsid w:val="00F80ABC"/>
    <w:rsid w:val="00F81D29"/>
    <w:rsid w:val="00F838D6"/>
    <w:rsid w:val="00F83B03"/>
    <w:rsid w:val="00F84937"/>
    <w:rsid w:val="00F84E92"/>
    <w:rsid w:val="00F858B2"/>
    <w:rsid w:val="00F85B41"/>
    <w:rsid w:val="00F8641B"/>
    <w:rsid w:val="00F86558"/>
    <w:rsid w:val="00F86AF1"/>
    <w:rsid w:val="00F86F6A"/>
    <w:rsid w:val="00F870E0"/>
    <w:rsid w:val="00F87572"/>
    <w:rsid w:val="00F876D9"/>
    <w:rsid w:val="00F87E7B"/>
    <w:rsid w:val="00F91AF2"/>
    <w:rsid w:val="00F91C4D"/>
    <w:rsid w:val="00F92752"/>
    <w:rsid w:val="00F92E5B"/>
    <w:rsid w:val="00F92FD9"/>
    <w:rsid w:val="00F93042"/>
    <w:rsid w:val="00F95B48"/>
    <w:rsid w:val="00F95E90"/>
    <w:rsid w:val="00F969A9"/>
    <w:rsid w:val="00F97445"/>
    <w:rsid w:val="00F97DB5"/>
    <w:rsid w:val="00FA0B4A"/>
    <w:rsid w:val="00FA118C"/>
    <w:rsid w:val="00FA2115"/>
    <w:rsid w:val="00FA2D3A"/>
    <w:rsid w:val="00FA39C7"/>
    <w:rsid w:val="00FA3C92"/>
    <w:rsid w:val="00FA56A4"/>
    <w:rsid w:val="00FA62C6"/>
    <w:rsid w:val="00FA6684"/>
    <w:rsid w:val="00FA7077"/>
    <w:rsid w:val="00FA731E"/>
    <w:rsid w:val="00FA7704"/>
    <w:rsid w:val="00FA7E49"/>
    <w:rsid w:val="00FB0C75"/>
    <w:rsid w:val="00FB123D"/>
    <w:rsid w:val="00FB1E0E"/>
    <w:rsid w:val="00FB2B38"/>
    <w:rsid w:val="00FB2BA8"/>
    <w:rsid w:val="00FB2D9C"/>
    <w:rsid w:val="00FB2E77"/>
    <w:rsid w:val="00FB39A9"/>
    <w:rsid w:val="00FB3A66"/>
    <w:rsid w:val="00FB50A3"/>
    <w:rsid w:val="00FB53C9"/>
    <w:rsid w:val="00FC08B9"/>
    <w:rsid w:val="00FC0C1C"/>
    <w:rsid w:val="00FC0D99"/>
    <w:rsid w:val="00FC184D"/>
    <w:rsid w:val="00FC1DB3"/>
    <w:rsid w:val="00FC3619"/>
    <w:rsid w:val="00FC485C"/>
    <w:rsid w:val="00FC5331"/>
    <w:rsid w:val="00FC60AC"/>
    <w:rsid w:val="00FC6358"/>
    <w:rsid w:val="00FC696C"/>
    <w:rsid w:val="00FC6CD3"/>
    <w:rsid w:val="00FC72A1"/>
    <w:rsid w:val="00FD033C"/>
    <w:rsid w:val="00FD0407"/>
    <w:rsid w:val="00FD18E8"/>
    <w:rsid w:val="00FD19C8"/>
    <w:rsid w:val="00FD1EA1"/>
    <w:rsid w:val="00FD2FE4"/>
    <w:rsid w:val="00FD320D"/>
    <w:rsid w:val="00FD4154"/>
    <w:rsid w:val="00FD46BB"/>
    <w:rsid w:val="00FD474B"/>
    <w:rsid w:val="00FD47C3"/>
    <w:rsid w:val="00FD5261"/>
    <w:rsid w:val="00FD6690"/>
    <w:rsid w:val="00FD7B2A"/>
    <w:rsid w:val="00FD7B36"/>
    <w:rsid w:val="00FE02FC"/>
    <w:rsid w:val="00FE19BD"/>
    <w:rsid w:val="00FE1B2A"/>
    <w:rsid w:val="00FE23DE"/>
    <w:rsid w:val="00FE2C81"/>
    <w:rsid w:val="00FE3024"/>
    <w:rsid w:val="00FE3461"/>
    <w:rsid w:val="00FE5525"/>
    <w:rsid w:val="00FE5E09"/>
    <w:rsid w:val="00FE6999"/>
    <w:rsid w:val="00FE6E52"/>
    <w:rsid w:val="00FE7DD4"/>
    <w:rsid w:val="00FF23BC"/>
    <w:rsid w:val="00FF30BA"/>
    <w:rsid w:val="00FF6BBE"/>
    <w:rsid w:val="00FF6EE5"/>
    <w:rsid w:val="00FF752F"/>
    <w:rsid w:val="00FF7E6D"/>
    <w:rsid w:val="00FF7FF8"/>
    <w:rsid w:val="46765C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unhideWhenUsed="0" w:uiPriority="99" w:semiHidden="0" w:name="header"/>
    <w:lsdException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9"/>
    <w:qFormat/>
    <w:uiPriority w:val="1"/>
    <w:pPr>
      <w:autoSpaceDE w:val="0"/>
      <w:autoSpaceDN w:val="0"/>
      <w:adjustRightInd w:val="0"/>
      <w:spacing w:before="100" w:beforeLines="100" w:after="100" w:afterLines="100"/>
      <w:jc w:val="left"/>
      <w:outlineLvl w:val="0"/>
    </w:pPr>
    <w:rPr>
      <w:rFonts w:ascii="Arial" w:hAnsi="Arial" w:eastAsia="黑体" w:cs="黑体"/>
      <w:kern w:val="0"/>
      <w:szCs w:val="32"/>
    </w:rPr>
  </w:style>
  <w:style w:type="paragraph" w:styleId="3">
    <w:name w:val="heading 2"/>
    <w:basedOn w:val="1"/>
    <w:next w:val="1"/>
    <w:link w:val="16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9"/>
    <w:semiHidden/>
    <w:unhideWhenUsed/>
    <w:qFormat/>
    <w:uiPriority w:val="0"/>
    <w:pPr>
      <w:keepNext/>
      <w:keepLines/>
      <w:spacing w:before="260" w:after="260" w:line="416" w:lineRule="auto"/>
      <w:outlineLvl w:val="2"/>
    </w:pPr>
    <w:rPr>
      <w:b/>
      <w:bCs/>
      <w:sz w:val="32"/>
      <w:szCs w:val="32"/>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link w:val="156"/>
    <w:semiHidden/>
    <w:qFormat/>
    <w:uiPriority w:val="0"/>
    <w:pPr>
      <w:shd w:val="clear" w:color="auto" w:fill="000080"/>
    </w:pPr>
  </w:style>
  <w:style w:type="paragraph" w:styleId="10">
    <w:name w:val="annotation text"/>
    <w:basedOn w:val="1"/>
    <w:link w:val="146"/>
    <w:unhideWhenUsed/>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link w:val="155"/>
    <w:unhideWhenUsed/>
    <w:qFormat/>
    <w:uiPriority w:val="1"/>
    <w:pPr>
      <w:autoSpaceDE w:val="0"/>
      <w:autoSpaceDN w:val="0"/>
      <w:adjustRightInd w:val="0"/>
      <w:ind w:left="538"/>
      <w:jc w:val="left"/>
    </w:pPr>
    <w:rPr>
      <w:rFonts w:ascii="宋体" w:cs="宋体"/>
      <w:kern w:val="0"/>
      <w:szCs w:val="21"/>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qFormat/>
    <w:uiPriority w:val="39"/>
    <w:pPr>
      <w:tabs>
        <w:tab w:val="right" w:leader="dot" w:pos="9241"/>
      </w:tabs>
      <w:ind w:firstLine="100" w:firstLineChars="100"/>
      <w:jc w:val="left"/>
    </w:pPr>
    <w:rPr>
      <w:rFonts w:ascii="宋体"/>
      <w:szCs w:val="21"/>
    </w:rPr>
  </w:style>
  <w:style w:type="paragraph" w:styleId="16">
    <w:name w:val="Plain Text"/>
    <w:basedOn w:val="1"/>
    <w:link w:val="163"/>
    <w:qFormat/>
    <w:uiPriority w:val="0"/>
    <w:rPr>
      <w:rFonts w:hAnsi="Courier New" w:cs="Courier New" w:asciiTheme="minorEastAsia" w:eastAsiaTheme="minorEastAsia"/>
    </w:rPr>
  </w:style>
  <w:style w:type="paragraph" w:styleId="17">
    <w:name w:val="toc 8"/>
    <w:basedOn w:val="1"/>
    <w:next w:val="1"/>
    <w:semiHidden/>
    <w:qFormat/>
    <w:uiPriority w:val="0"/>
    <w:pPr>
      <w:tabs>
        <w:tab w:val="right" w:leader="dot" w:pos="9241"/>
      </w:tabs>
      <w:ind w:firstLine="607" w:firstLineChars="600"/>
      <w:jc w:val="left"/>
    </w:pPr>
    <w:rPr>
      <w:rFonts w:ascii="宋体"/>
      <w:szCs w:val="21"/>
    </w:rPr>
  </w:style>
  <w:style w:type="paragraph" w:styleId="18">
    <w:name w:val="index 3"/>
    <w:basedOn w:val="1"/>
    <w:next w:val="1"/>
    <w:qFormat/>
    <w:uiPriority w:val="0"/>
    <w:pPr>
      <w:ind w:left="630" w:hanging="210"/>
      <w:jc w:val="left"/>
    </w:pPr>
    <w:rPr>
      <w:rFonts w:ascii="Calibri" w:hAnsi="Calibri"/>
      <w:sz w:val="20"/>
      <w:szCs w:val="20"/>
    </w:rPr>
  </w:style>
  <w:style w:type="paragraph" w:styleId="19">
    <w:name w:val="Date"/>
    <w:basedOn w:val="1"/>
    <w:next w:val="1"/>
    <w:link w:val="160"/>
    <w:qFormat/>
    <w:uiPriority w:val="0"/>
    <w:pPr>
      <w:ind w:left="100" w:leftChars="2500"/>
    </w:pPr>
  </w:style>
  <w:style w:type="paragraph" w:styleId="20">
    <w:name w:val="endnote text"/>
    <w:basedOn w:val="1"/>
    <w:link w:val="154"/>
    <w:semiHidden/>
    <w:qFormat/>
    <w:uiPriority w:val="0"/>
    <w:pPr>
      <w:snapToGrid w:val="0"/>
      <w:jc w:val="left"/>
    </w:pPr>
  </w:style>
  <w:style w:type="paragraph" w:styleId="21">
    <w:name w:val="Balloon Text"/>
    <w:basedOn w:val="1"/>
    <w:link w:val="147"/>
    <w:qFormat/>
    <w:uiPriority w:val="0"/>
    <w:rPr>
      <w:sz w:val="18"/>
      <w:szCs w:val="18"/>
    </w:rPr>
  </w:style>
  <w:style w:type="paragraph" w:styleId="22">
    <w:name w:val="footer"/>
    <w:basedOn w:val="1"/>
    <w:link w:val="153"/>
    <w:uiPriority w:val="99"/>
    <w:pPr>
      <w:snapToGrid w:val="0"/>
      <w:ind w:right="210" w:rightChars="100"/>
      <w:jc w:val="right"/>
    </w:pPr>
    <w:rPr>
      <w:sz w:val="18"/>
      <w:szCs w:val="18"/>
    </w:rPr>
  </w:style>
  <w:style w:type="paragraph" w:styleId="23">
    <w:name w:val="header"/>
    <w:basedOn w:val="1"/>
    <w:link w:val="152"/>
    <w:uiPriority w:val="99"/>
    <w:pPr>
      <w:snapToGrid w:val="0"/>
      <w:jc w:val="left"/>
    </w:pPr>
    <w:rPr>
      <w:sz w:val="18"/>
      <w:szCs w:val="18"/>
    </w:rPr>
  </w:style>
  <w:style w:type="paragraph" w:styleId="24">
    <w:name w:val="toc 1"/>
    <w:basedOn w:val="1"/>
    <w:next w:val="1"/>
    <w:qFormat/>
    <w:uiPriority w:val="39"/>
    <w:pPr>
      <w:tabs>
        <w:tab w:val="right" w:leader="dot" w:pos="9242"/>
      </w:tabs>
      <w:spacing w:before="78" w:beforeLines="25" w:after="78" w:afterLines="25"/>
      <w:jc w:val="left"/>
    </w:pPr>
    <w:rPr>
      <w:szCs w:val="21"/>
    </w:rPr>
  </w:style>
  <w:style w:type="paragraph" w:styleId="25">
    <w:name w:val="toc 4"/>
    <w:basedOn w:val="1"/>
    <w:next w:val="1"/>
    <w:semiHidden/>
    <w:qFormat/>
    <w:uiPriority w:val="0"/>
    <w:pPr>
      <w:tabs>
        <w:tab w:val="right" w:leader="dot" w:pos="9241"/>
      </w:tabs>
      <w:ind w:firstLine="200" w:firstLineChars="200"/>
      <w:jc w:val="left"/>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28"/>
    <w:qFormat/>
    <w:uiPriority w:val="0"/>
    <w:pPr>
      <w:tabs>
        <w:tab w:val="right" w:leader="dot" w:pos="9299"/>
      </w:tabs>
      <w:jc w:val="left"/>
    </w:pPr>
    <w:rPr>
      <w:rFonts w:ascii="宋体"/>
      <w:szCs w:val="21"/>
    </w:rPr>
  </w:style>
  <w:style w:type="paragraph" w:customStyle="1" w:styleId="28">
    <w:name w:val="段"/>
    <w:link w:val="4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9">
    <w:name w:val="footnote text"/>
    <w:basedOn w:val="1"/>
    <w:link w:val="151"/>
    <w:qFormat/>
    <w:uiPriority w:val="0"/>
    <w:pPr>
      <w:numPr>
        <w:ilvl w:val="0"/>
        <w:numId w:val="1"/>
      </w:numPr>
      <w:snapToGrid w:val="0"/>
      <w:jc w:val="left"/>
    </w:pPr>
    <w:rPr>
      <w:rFonts w:ascii="宋体"/>
      <w:sz w:val="18"/>
      <w:szCs w:val="18"/>
    </w:rPr>
  </w:style>
  <w:style w:type="paragraph" w:styleId="30">
    <w:name w:val="toc 6"/>
    <w:basedOn w:val="1"/>
    <w:next w:val="1"/>
    <w:semiHidden/>
    <w:qFormat/>
    <w:uiPriority w:val="0"/>
    <w:pPr>
      <w:tabs>
        <w:tab w:val="right" w:leader="dot" w:pos="9241"/>
      </w:tabs>
      <w:ind w:firstLine="400" w:firstLineChars="400"/>
      <w:jc w:val="left"/>
    </w:pPr>
    <w:rPr>
      <w:rFonts w:ascii="宋体"/>
      <w:szCs w:val="21"/>
    </w:rPr>
  </w:style>
  <w:style w:type="paragraph" w:styleId="31">
    <w:name w:val="index 7"/>
    <w:basedOn w:val="1"/>
    <w:next w:val="1"/>
    <w:qFormat/>
    <w:uiPriority w:val="0"/>
    <w:pPr>
      <w:ind w:left="1470" w:hanging="210"/>
      <w:jc w:val="left"/>
    </w:pPr>
    <w:rPr>
      <w:rFonts w:ascii="Calibri" w:hAnsi="Calibri"/>
      <w:sz w:val="20"/>
      <w:szCs w:val="20"/>
    </w:rPr>
  </w:style>
  <w:style w:type="paragraph" w:styleId="32">
    <w:name w:val="index 9"/>
    <w:basedOn w:val="1"/>
    <w:next w:val="1"/>
    <w:qFormat/>
    <w:uiPriority w:val="0"/>
    <w:pPr>
      <w:ind w:left="1890" w:hanging="210"/>
      <w:jc w:val="left"/>
    </w:pPr>
    <w:rPr>
      <w:rFonts w:ascii="Calibri" w:hAnsi="Calibri"/>
      <w:sz w:val="20"/>
      <w:szCs w:val="20"/>
    </w:rPr>
  </w:style>
  <w:style w:type="paragraph" w:styleId="33">
    <w:name w:val="toc 2"/>
    <w:basedOn w:val="1"/>
    <w:next w:val="1"/>
    <w:qFormat/>
    <w:uiPriority w:val="39"/>
    <w:pPr>
      <w:tabs>
        <w:tab w:val="right" w:leader="dot" w:pos="9242"/>
      </w:tabs>
    </w:pPr>
    <w:rPr>
      <w:rFonts w:ascii="宋体"/>
      <w:szCs w:val="21"/>
    </w:rPr>
  </w:style>
  <w:style w:type="paragraph" w:styleId="34">
    <w:name w:val="toc 9"/>
    <w:basedOn w:val="1"/>
    <w:next w:val="1"/>
    <w:semiHidden/>
    <w:qFormat/>
    <w:uiPriority w:val="0"/>
    <w:pPr>
      <w:ind w:left="1470"/>
      <w:jc w:val="left"/>
    </w:pPr>
    <w:rPr>
      <w:sz w:val="20"/>
      <w:szCs w:val="20"/>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index 2"/>
    <w:basedOn w:val="1"/>
    <w:next w:val="1"/>
    <w:qFormat/>
    <w:uiPriority w:val="0"/>
    <w:pPr>
      <w:ind w:left="420" w:hanging="210"/>
      <w:jc w:val="left"/>
    </w:pPr>
    <w:rPr>
      <w:rFonts w:ascii="Calibri" w:hAnsi="Calibri"/>
      <w:sz w:val="20"/>
      <w:szCs w:val="20"/>
    </w:rPr>
  </w:style>
  <w:style w:type="paragraph" w:styleId="37">
    <w:name w:val="annotation subject"/>
    <w:basedOn w:val="10"/>
    <w:next w:val="10"/>
    <w:link w:val="148"/>
    <w:qFormat/>
    <w:uiPriority w:val="0"/>
    <w:rPr>
      <w:b/>
      <w:bCs/>
    </w:rPr>
  </w:style>
  <w:style w:type="table" w:styleId="39">
    <w:name w:val="Table Grid"/>
    <w:basedOn w:val="38"/>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1">
    <w:name w:val="Strong"/>
    <w:basedOn w:val="40"/>
    <w:qFormat/>
    <w:uiPriority w:val="22"/>
    <w:rPr>
      <w:b/>
      <w:bCs/>
    </w:rPr>
  </w:style>
  <w:style w:type="character" w:styleId="42">
    <w:name w:val="endnote reference"/>
    <w:semiHidden/>
    <w:qFormat/>
    <w:uiPriority w:val="0"/>
    <w:rPr>
      <w:vertAlign w:val="superscript"/>
    </w:rPr>
  </w:style>
  <w:style w:type="character" w:styleId="43">
    <w:name w:val="page number"/>
    <w:qFormat/>
    <w:uiPriority w:val="0"/>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basedOn w:val="40"/>
    <w:qFormat/>
    <w:uiPriority w:val="20"/>
    <w:rPr>
      <w:i/>
      <w:iCs/>
    </w:rPr>
  </w:style>
  <w:style w:type="character" w:styleId="46">
    <w:name w:val="Hyperlink"/>
    <w:uiPriority w:val="99"/>
    <w:rPr>
      <w:color w:val="0000FF"/>
      <w:spacing w:val="0"/>
      <w:w w:val="100"/>
      <w:szCs w:val="21"/>
      <w:u w:val="single"/>
    </w:rPr>
  </w:style>
  <w:style w:type="character" w:styleId="47">
    <w:name w:val="annotation reference"/>
    <w:unhideWhenUsed/>
    <w:qFormat/>
    <w:uiPriority w:val="99"/>
    <w:rPr>
      <w:sz w:val="21"/>
      <w:szCs w:val="21"/>
    </w:rPr>
  </w:style>
  <w:style w:type="character" w:styleId="48">
    <w:name w:val="footnote reference"/>
    <w:semiHidden/>
    <w:qFormat/>
    <w:uiPriority w:val="0"/>
    <w:rPr>
      <w:vertAlign w:val="superscript"/>
    </w:rPr>
  </w:style>
  <w:style w:type="character" w:customStyle="1" w:styleId="49">
    <w:name w:val="段 Char"/>
    <w:link w:val="28"/>
    <w:qFormat/>
    <w:uiPriority w:val="0"/>
    <w:rPr>
      <w:rFonts w:ascii="宋体"/>
      <w:sz w:val="21"/>
      <w:lang w:val="en-US" w:eastAsia="zh-CN" w:bidi="ar-SA"/>
    </w:rPr>
  </w:style>
  <w:style w:type="paragraph" w:customStyle="1" w:styleId="50">
    <w:name w:val="一级条标题"/>
    <w:next w:val="28"/>
    <w:qFormat/>
    <w:uiPriority w:val="0"/>
    <w:pPr>
      <w:kinsoku w:val="0"/>
      <w:overflowPunct w:val="0"/>
      <w:spacing w:before="156" w:beforeLines="50" w:after="156" w:afterLines="50"/>
      <w:outlineLvl w:val="2"/>
    </w:pPr>
    <w:rPr>
      <w:rFonts w:ascii="黑体" w:hAnsi="Times New Roman" w:eastAsia="黑体" w:cs="黑体"/>
      <w:sz w:val="21"/>
      <w:szCs w:val="21"/>
      <w:lang w:val="en-US" w:eastAsia="zh-CN" w:bidi="ar-SA"/>
    </w:rPr>
  </w:style>
  <w:style w:type="paragraph" w:customStyle="1" w:styleId="51">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2">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章标题"/>
    <w:next w:val="28"/>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4">
    <w:name w:val="二级条标题"/>
    <w:basedOn w:val="50"/>
    <w:next w:val="28"/>
    <w:uiPriority w:val="0"/>
    <w:pPr>
      <w:spacing w:before="50" w:after="50"/>
      <w:outlineLvl w:val="3"/>
    </w:pPr>
  </w:style>
  <w:style w:type="paragraph" w:customStyle="1" w:styleId="55">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6">
    <w:name w:val="列项——（一级）"/>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57">
    <w:name w:val="列项●（二级）"/>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58">
    <w:name w:val="目次、标准名称标题"/>
    <w:basedOn w:val="1"/>
    <w:next w:val="28"/>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9">
    <w:name w:val="三级条标题"/>
    <w:basedOn w:val="54"/>
    <w:next w:val="28"/>
    <w:uiPriority w:val="0"/>
    <w:pPr>
      <w:numPr>
        <w:ilvl w:val="3"/>
        <w:numId w:val="3"/>
      </w:numPr>
      <w:outlineLvl w:val="4"/>
    </w:pPr>
  </w:style>
  <w:style w:type="paragraph" w:customStyle="1" w:styleId="60">
    <w:name w:val="示例"/>
    <w:next w:val="61"/>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2">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63">
    <w:name w:val="四级条标题"/>
    <w:basedOn w:val="59"/>
    <w:next w:val="28"/>
    <w:uiPriority w:val="0"/>
    <w:pPr>
      <w:numPr>
        <w:ilvl w:val="4"/>
      </w:numPr>
      <w:outlineLvl w:val="5"/>
    </w:pPr>
  </w:style>
  <w:style w:type="paragraph" w:customStyle="1" w:styleId="64">
    <w:name w:val="五级条标题"/>
    <w:basedOn w:val="63"/>
    <w:next w:val="28"/>
    <w:uiPriority w:val="0"/>
    <w:pPr>
      <w:numPr>
        <w:ilvl w:val="5"/>
      </w:numPr>
      <w:outlineLvl w:val="6"/>
    </w:pPr>
  </w:style>
  <w:style w:type="paragraph" w:customStyle="1" w:styleId="65">
    <w:name w:val="注："/>
    <w:next w:val="28"/>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6">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8">
    <w:name w:val="列项◆（三级）"/>
    <w:basedOn w:val="1"/>
    <w:uiPriority w:val="0"/>
    <w:pPr>
      <w:numPr>
        <w:ilvl w:val="2"/>
        <w:numId w:val="2"/>
      </w:numPr>
    </w:pPr>
    <w:rPr>
      <w:rFonts w:ascii="宋体"/>
      <w:szCs w:val="21"/>
    </w:rPr>
  </w:style>
  <w:style w:type="paragraph" w:customStyle="1" w:styleId="69">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70">
    <w:name w:val="示例×："/>
    <w:basedOn w:val="53"/>
    <w:qFormat/>
    <w:uiPriority w:val="0"/>
    <w:pPr>
      <w:numPr>
        <w:ilvl w:val="0"/>
        <w:numId w:val="8"/>
      </w:numPr>
      <w:spacing w:before="0" w:beforeLines="0" w:after="0" w:afterLines="0"/>
      <w:outlineLvl w:val="9"/>
    </w:pPr>
    <w:rPr>
      <w:rFonts w:ascii="宋体" w:eastAsia="宋体"/>
      <w:sz w:val="18"/>
      <w:szCs w:val="18"/>
    </w:rPr>
  </w:style>
  <w:style w:type="paragraph" w:customStyle="1" w:styleId="71">
    <w:name w:val="二级无"/>
    <w:basedOn w:val="54"/>
    <w:uiPriority w:val="0"/>
    <w:pPr>
      <w:spacing w:before="0" w:beforeLines="0" w:after="0" w:afterLines="0"/>
    </w:pPr>
    <w:rPr>
      <w:rFonts w:ascii="宋体" w:eastAsia="宋体"/>
    </w:rPr>
  </w:style>
  <w:style w:type="paragraph" w:customStyle="1" w:styleId="72">
    <w:name w:val="注：（正文）"/>
    <w:basedOn w:val="65"/>
    <w:next w:val="28"/>
    <w:uiPriority w:val="0"/>
  </w:style>
  <w:style w:type="paragraph" w:customStyle="1" w:styleId="73">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4">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5">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6">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7">
    <w:name w:val="标准书眉_偶数页"/>
    <w:basedOn w:val="52"/>
    <w:next w:val="1"/>
    <w:uiPriority w:val="0"/>
    <w:pPr>
      <w:jc w:val="left"/>
    </w:p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参考文献"/>
    <w:basedOn w:val="1"/>
    <w:next w:val="28"/>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参考文献、索引标题"/>
    <w:basedOn w:val="1"/>
    <w:next w:val="28"/>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1">
    <w:name w:val="发布"/>
    <w:uiPriority w:val="0"/>
    <w:rPr>
      <w:rFonts w:ascii="黑体" w:eastAsia="黑体"/>
      <w:spacing w:val="85"/>
      <w:w w:val="100"/>
      <w:position w:val="3"/>
      <w:sz w:val="28"/>
      <w:szCs w:val="28"/>
    </w:rPr>
  </w:style>
  <w:style w:type="paragraph" w:customStyle="1" w:styleId="82">
    <w:name w:val="发布部门"/>
    <w:next w:val="28"/>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3">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4">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6">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
    <w:basedOn w:val="86"/>
    <w:qFormat/>
    <w:uiPriority w:val="0"/>
    <w:pPr>
      <w:framePr w:wrap="around"/>
      <w:spacing w:before="370" w:line="400" w:lineRule="exact"/>
    </w:pPr>
    <w:rPr>
      <w:rFonts w:ascii="Times New Roman"/>
      <w:sz w:val="28"/>
      <w:szCs w:val="28"/>
    </w:rPr>
  </w:style>
  <w:style w:type="paragraph" w:customStyle="1" w:styleId="88">
    <w:name w:val="封面一致性程度标识"/>
    <w:basedOn w:val="87"/>
    <w:uiPriority w:val="0"/>
    <w:pPr>
      <w:framePr w:wrap="around"/>
      <w:spacing w:before="440"/>
    </w:pPr>
    <w:rPr>
      <w:rFonts w:ascii="宋体" w:eastAsia="宋体"/>
    </w:rPr>
  </w:style>
  <w:style w:type="paragraph" w:customStyle="1" w:styleId="89">
    <w:name w:val="封面标准文稿类别"/>
    <w:basedOn w:val="88"/>
    <w:uiPriority w:val="0"/>
    <w:pPr>
      <w:framePr w:wrap="around"/>
      <w:spacing w:after="160" w:line="240" w:lineRule="auto"/>
    </w:pPr>
    <w:rPr>
      <w:sz w:val="24"/>
    </w:rPr>
  </w:style>
  <w:style w:type="paragraph" w:customStyle="1" w:styleId="90">
    <w:name w:val="封面标准文稿编辑信息"/>
    <w:basedOn w:val="89"/>
    <w:qFormat/>
    <w:uiPriority w:val="0"/>
    <w:pPr>
      <w:framePr w:wrap="around"/>
      <w:spacing w:before="180" w:line="180" w:lineRule="exact"/>
    </w:pPr>
    <w:rPr>
      <w:sz w:val="21"/>
    </w:rPr>
  </w:style>
  <w:style w:type="paragraph" w:customStyle="1" w:styleId="91">
    <w:name w:val="封面正文"/>
    <w:uiPriority w:val="0"/>
    <w:pPr>
      <w:jc w:val="both"/>
    </w:pPr>
    <w:rPr>
      <w:rFonts w:ascii="Times New Roman" w:hAnsi="Times New Roman" w:eastAsia="宋体" w:cs="Times New Roman"/>
      <w:lang w:val="en-US" w:eastAsia="zh-CN" w:bidi="ar-SA"/>
    </w:rPr>
  </w:style>
  <w:style w:type="paragraph" w:customStyle="1" w:styleId="92">
    <w:name w:val="附录标识"/>
    <w:basedOn w:val="1"/>
    <w:next w:val="28"/>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3">
    <w:name w:val="附录标题"/>
    <w:basedOn w:val="28"/>
    <w:next w:val="28"/>
    <w:uiPriority w:val="0"/>
    <w:pPr>
      <w:ind w:firstLine="0" w:firstLineChars="0"/>
      <w:jc w:val="center"/>
    </w:pPr>
    <w:rPr>
      <w:rFonts w:ascii="黑体" w:eastAsia="黑体"/>
    </w:rPr>
  </w:style>
  <w:style w:type="paragraph" w:customStyle="1" w:styleId="94">
    <w:name w:val="附录表标号"/>
    <w:basedOn w:val="1"/>
    <w:next w:val="28"/>
    <w:uiPriority w:val="0"/>
    <w:pPr>
      <w:numPr>
        <w:ilvl w:val="0"/>
        <w:numId w:val="11"/>
      </w:numPr>
      <w:tabs>
        <w:tab w:val="clear" w:pos="0"/>
      </w:tabs>
      <w:spacing w:line="14" w:lineRule="exact"/>
      <w:ind w:left="811" w:hanging="448"/>
      <w:jc w:val="center"/>
      <w:outlineLvl w:val="0"/>
    </w:pPr>
    <w:rPr>
      <w:color w:val="FFFFFF"/>
    </w:rPr>
  </w:style>
  <w:style w:type="paragraph" w:customStyle="1" w:styleId="95">
    <w:name w:val="附录表标题"/>
    <w:basedOn w:val="1"/>
    <w:next w:val="28"/>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96">
    <w:name w:val="附录二级条标题"/>
    <w:basedOn w:val="1"/>
    <w:next w:val="28"/>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7">
    <w:name w:val="附录二级无"/>
    <w:basedOn w:val="96"/>
    <w:qFormat/>
    <w:uiPriority w:val="0"/>
    <w:pPr>
      <w:tabs>
        <w:tab w:val="clear" w:pos="360"/>
      </w:tabs>
      <w:spacing w:before="0" w:beforeLines="0" w:after="0" w:afterLines="0"/>
    </w:pPr>
    <w:rPr>
      <w:rFonts w:ascii="宋体" w:eastAsia="宋体"/>
      <w:szCs w:val="21"/>
    </w:rPr>
  </w:style>
  <w:style w:type="paragraph" w:customStyle="1" w:styleId="98">
    <w:name w:val="附录公式"/>
    <w:basedOn w:val="28"/>
    <w:next w:val="28"/>
    <w:link w:val="99"/>
    <w:qFormat/>
    <w:uiPriority w:val="0"/>
  </w:style>
  <w:style w:type="character" w:customStyle="1" w:styleId="99">
    <w:name w:val="附录公式 Char"/>
    <w:basedOn w:val="49"/>
    <w:link w:val="98"/>
    <w:qFormat/>
    <w:uiPriority w:val="0"/>
    <w:rPr>
      <w:rFonts w:ascii="宋体"/>
      <w:sz w:val="21"/>
      <w:lang w:val="en-US" w:eastAsia="zh-CN" w:bidi="ar-SA"/>
    </w:rPr>
  </w:style>
  <w:style w:type="paragraph" w:customStyle="1" w:styleId="100">
    <w:name w:val="附录公式编号制表符"/>
    <w:basedOn w:val="1"/>
    <w:next w:val="28"/>
    <w:qFormat/>
    <w:uiPriority w:val="0"/>
    <w:pPr>
      <w:widowControl/>
      <w:tabs>
        <w:tab w:val="center" w:pos="4201"/>
        <w:tab w:val="right" w:leader="dot" w:pos="9298"/>
      </w:tabs>
      <w:autoSpaceDE w:val="0"/>
      <w:autoSpaceDN w:val="0"/>
    </w:pPr>
    <w:rPr>
      <w:rFonts w:ascii="宋体"/>
      <w:kern w:val="0"/>
      <w:szCs w:val="20"/>
    </w:rPr>
  </w:style>
  <w:style w:type="paragraph" w:customStyle="1" w:styleId="101">
    <w:name w:val="附录三级条标题"/>
    <w:basedOn w:val="96"/>
    <w:next w:val="28"/>
    <w:qFormat/>
    <w:uiPriority w:val="0"/>
    <w:pPr>
      <w:numPr>
        <w:ilvl w:val="4"/>
      </w:numPr>
      <w:outlineLvl w:val="4"/>
    </w:pPr>
  </w:style>
  <w:style w:type="paragraph" w:customStyle="1" w:styleId="102">
    <w:name w:val="附录三级无"/>
    <w:basedOn w:val="101"/>
    <w:qFormat/>
    <w:uiPriority w:val="0"/>
    <w:pPr>
      <w:tabs>
        <w:tab w:val="clear" w:pos="360"/>
      </w:tabs>
      <w:spacing w:before="0" w:beforeLines="0" w:after="0" w:afterLines="0"/>
    </w:pPr>
    <w:rPr>
      <w:rFonts w:ascii="宋体" w:eastAsia="宋体"/>
      <w:szCs w:val="21"/>
    </w:rPr>
  </w:style>
  <w:style w:type="paragraph" w:customStyle="1" w:styleId="103">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4">
    <w:name w:val="附录四级条标题"/>
    <w:basedOn w:val="101"/>
    <w:next w:val="28"/>
    <w:qFormat/>
    <w:uiPriority w:val="0"/>
    <w:pPr>
      <w:numPr>
        <w:ilvl w:val="5"/>
      </w:numPr>
      <w:outlineLvl w:val="5"/>
    </w:pPr>
  </w:style>
  <w:style w:type="paragraph" w:customStyle="1" w:styleId="105">
    <w:name w:val="附录四级无"/>
    <w:basedOn w:val="104"/>
    <w:qFormat/>
    <w:uiPriority w:val="0"/>
    <w:pPr>
      <w:tabs>
        <w:tab w:val="clear" w:pos="360"/>
      </w:tabs>
      <w:spacing w:before="0" w:beforeLines="0" w:after="0" w:afterLines="0"/>
    </w:pPr>
    <w:rPr>
      <w:rFonts w:ascii="宋体" w:eastAsia="宋体"/>
      <w:szCs w:val="21"/>
    </w:rPr>
  </w:style>
  <w:style w:type="paragraph" w:customStyle="1" w:styleId="106">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7">
    <w:name w:val="附录图标题"/>
    <w:basedOn w:val="1"/>
    <w:next w:val="28"/>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08">
    <w:name w:val="附录五级条标题"/>
    <w:basedOn w:val="104"/>
    <w:next w:val="28"/>
    <w:qFormat/>
    <w:uiPriority w:val="0"/>
    <w:pPr>
      <w:numPr>
        <w:ilvl w:val="6"/>
      </w:numPr>
      <w:outlineLvl w:val="6"/>
    </w:pPr>
  </w:style>
  <w:style w:type="paragraph" w:customStyle="1" w:styleId="109">
    <w:name w:val="附录五级无"/>
    <w:basedOn w:val="108"/>
    <w:qFormat/>
    <w:uiPriority w:val="0"/>
    <w:pPr>
      <w:tabs>
        <w:tab w:val="clear" w:pos="360"/>
      </w:tabs>
      <w:spacing w:before="0" w:beforeLines="0" w:after="0" w:afterLines="0"/>
    </w:pPr>
    <w:rPr>
      <w:rFonts w:ascii="宋体" w:eastAsia="宋体"/>
      <w:szCs w:val="21"/>
    </w:rPr>
  </w:style>
  <w:style w:type="paragraph" w:customStyle="1" w:styleId="110">
    <w:name w:val="附录章标题"/>
    <w:next w:val="28"/>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1">
    <w:name w:val="附录一级条标题"/>
    <w:basedOn w:val="110"/>
    <w:next w:val="28"/>
    <w:qFormat/>
    <w:uiPriority w:val="0"/>
    <w:pPr>
      <w:numPr>
        <w:ilvl w:val="2"/>
      </w:numPr>
      <w:autoSpaceDN w:val="0"/>
      <w:spacing w:before="50" w:beforeLines="50" w:after="50" w:afterLines="50"/>
      <w:outlineLvl w:val="2"/>
    </w:pPr>
  </w:style>
  <w:style w:type="paragraph" w:customStyle="1" w:styleId="112">
    <w:name w:val="附录一级无"/>
    <w:basedOn w:val="111"/>
    <w:qFormat/>
    <w:uiPriority w:val="0"/>
    <w:pPr>
      <w:tabs>
        <w:tab w:val="clear" w:pos="360"/>
      </w:tabs>
      <w:spacing w:before="0" w:beforeLines="0" w:after="0" w:afterLines="0"/>
    </w:pPr>
    <w:rPr>
      <w:rFonts w:ascii="宋体" w:eastAsia="宋体"/>
      <w:szCs w:val="21"/>
    </w:rPr>
  </w:style>
  <w:style w:type="paragraph" w:customStyle="1" w:styleId="113">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其他标准标志"/>
    <w:basedOn w:val="74"/>
    <w:qFormat/>
    <w:uiPriority w:val="0"/>
    <w:pPr>
      <w:framePr w:w="6101" w:wrap="around" w:vAnchor="page" w:hAnchor="page" w:x="4673" w:y="942"/>
    </w:pPr>
    <w:rPr>
      <w:w w:val="130"/>
    </w:rPr>
  </w:style>
  <w:style w:type="paragraph" w:customStyle="1" w:styleId="1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9">
    <w:name w:val="其他发布部门"/>
    <w:basedOn w:val="82"/>
    <w:qFormat/>
    <w:uiPriority w:val="0"/>
    <w:pPr>
      <w:framePr w:wrap="around" w:y="15310"/>
      <w:spacing w:line="0" w:lineRule="atLeast"/>
    </w:pPr>
    <w:rPr>
      <w:rFonts w:ascii="黑体" w:eastAsia="黑体"/>
      <w:b w:val="0"/>
    </w:rPr>
  </w:style>
  <w:style w:type="paragraph" w:customStyle="1" w:styleId="120">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1">
    <w:name w:val="三级无"/>
    <w:basedOn w:val="59"/>
    <w:qFormat/>
    <w:uiPriority w:val="0"/>
    <w:pPr>
      <w:spacing w:before="0" w:beforeLines="0" w:after="0" w:afterLines="0"/>
    </w:pPr>
    <w:rPr>
      <w:rFonts w:ascii="宋体" w:eastAsia="宋体"/>
    </w:rPr>
  </w:style>
  <w:style w:type="paragraph" w:customStyle="1" w:styleId="122">
    <w:name w:val="实施日期"/>
    <w:basedOn w:val="83"/>
    <w:uiPriority w:val="0"/>
    <w:pPr>
      <w:framePr w:wrap="around" w:vAnchor="page" w:hAnchor="text"/>
      <w:jc w:val="right"/>
    </w:pPr>
  </w:style>
  <w:style w:type="paragraph" w:customStyle="1" w:styleId="123">
    <w:name w:val="示例后文字"/>
    <w:basedOn w:val="28"/>
    <w:next w:val="28"/>
    <w:qFormat/>
    <w:uiPriority w:val="0"/>
    <w:pPr>
      <w:ind w:firstLine="360"/>
    </w:pPr>
    <w:rPr>
      <w:sz w:val="18"/>
    </w:rPr>
  </w:style>
  <w:style w:type="paragraph" w:customStyle="1" w:styleId="124">
    <w:name w:val="首示例"/>
    <w:next w:val="28"/>
    <w:link w:val="12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5">
    <w:name w:val="首示例 Char"/>
    <w:link w:val="124"/>
    <w:qFormat/>
    <w:uiPriority w:val="0"/>
    <w:rPr>
      <w:rFonts w:ascii="宋体" w:hAnsi="宋体"/>
      <w:kern w:val="2"/>
      <w:sz w:val="18"/>
      <w:szCs w:val="18"/>
    </w:rPr>
  </w:style>
  <w:style w:type="paragraph" w:customStyle="1" w:styleId="126">
    <w:name w:val="四级无"/>
    <w:basedOn w:val="63"/>
    <w:qFormat/>
    <w:uiPriority w:val="0"/>
    <w:pPr>
      <w:spacing w:before="0" w:beforeLines="0" w:after="0" w:afterLines="0"/>
    </w:pPr>
    <w:rPr>
      <w:rFonts w:ascii="宋体" w:eastAsia="宋体"/>
    </w:rPr>
  </w:style>
  <w:style w:type="paragraph" w:customStyle="1" w:styleId="127">
    <w:name w:val="条文脚注"/>
    <w:basedOn w:val="29"/>
    <w:qFormat/>
    <w:uiPriority w:val="0"/>
    <w:pPr>
      <w:numPr>
        <w:numId w:val="0"/>
      </w:numPr>
      <w:jc w:val="both"/>
    </w:pPr>
  </w:style>
  <w:style w:type="paragraph" w:customStyle="1" w:styleId="128">
    <w:name w:val="图标脚注说明"/>
    <w:basedOn w:val="28"/>
    <w:qFormat/>
    <w:uiPriority w:val="0"/>
    <w:pPr>
      <w:ind w:left="840" w:hanging="420" w:firstLineChars="0"/>
    </w:pPr>
    <w:rPr>
      <w:sz w:val="18"/>
      <w:szCs w:val="18"/>
    </w:rPr>
  </w:style>
  <w:style w:type="paragraph" w:customStyle="1" w:styleId="129">
    <w:name w:val="图表脚注说明"/>
    <w:basedOn w:val="1"/>
    <w:qFormat/>
    <w:uiPriority w:val="0"/>
    <w:pPr>
      <w:numPr>
        <w:ilvl w:val="0"/>
        <w:numId w:val="15"/>
      </w:numPr>
    </w:pPr>
    <w:rPr>
      <w:rFonts w:ascii="宋体"/>
      <w:sz w:val="18"/>
      <w:szCs w:val="18"/>
    </w:rPr>
  </w:style>
  <w:style w:type="paragraph" w:customStyle="1" w:styleId="130">
    <w:name w:val="图的脚注"/>
    <w:next w:val="2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2">
    <w:name w:val="五级无"/>
    <w:basedOn w:val="64"/>
    <w:qFormat/>
    <w:uiPriority w:val="0"/>
    <w:pPr>
      <w:spacing w:before="0" w:beforeLines="0" w:after="0" w:afterLines="0"/>
    </w:pPr>
    <w:rPr>
      <w:rFonts w:ascii="宋体" w:eastAsia="宋体"/>
    </w:rPr>
  </w:style>
  <w:style w:type="paragraph" w:customStyle="1" w:styleId="133">
    <w:name w:val="一级无"/>
    <w:basedOn w:val="50"/>
    <w:qFormat/>
    <w:uiPriority w:val="0"/>
    <w:pPr>
      <w:spacing w:before="0" w:beforeLines="0" w:after="0" w:afterLines="0"/>
    </w:pPr>
    <w:rPr>
      <w:rFonts w:ascii="宋体" w:eastAsia="宋体"/>
    </w:rPr>
  </w:style>
  <w:style w:type="paragraph" w:customStyle="1" w:styleId="134">
    <w:name w:val="正文表标题"/>
    <w:next w:val="28"/>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35">
    <w:name w:val="正文公式编号制表符"/>
    <w:basedOn w:val="28"/>
    <w:next w:val="28"/>
    <w:qFormat/>
    <w:uiPriority w:val="0"/>
    <w:pPr>
      <w:ind w:firstLine="0" w:firstLineChars="0"/>
    </w:pPr>
  </w:style>
  <w:style w:type="paragraph" w:customStyle="1" w:styleId="136">
    <w:name w:val="正文图标题"/>
    <w:next w:val="28"/>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7">
    <w:name w:val="终结线"/>
    <w:basedOn w:val="1"/>
    <w:qFormat/>
    <w:uiPriority w:val="0"/>
    <w:pPr>
      <w:framePr w:hSpace="181" w:vSpace="181" w:wrap="around" w:vAnchor="text" w:hAnchor="margin" w:xAlign="center" w:y="285"/>
    </w:pPr>
  </w:style>
  <w:style w:type="paragraph" w:customStyle="1" w:styleId="138">
    <w:name w:val="其他发布日期"/>
    <w:basedOn w:val="83"/>
    <w:qFormat/>
    <w:uiPriority w:val="0"/>
    <w:pPr>
      <w:framePr w:wrap="around" w:vAnchor="page" w:hAnchor="text" w:x="1419"/>
    </w:pPr>
  </w:style>
  <w:style w:type="paragraph" w:customStyle="1" w:styleId="139">
    <w:name w:val="其他实施日期"/>
    <w:basedOn w:val="122"/>
    <w:qFormat/>
    <w:uiPriority w:val="0"/>
    <w:pPr>
      <w:framePr w:wrap="around"/>
    </w:pPr>
  </w:style>
  <w:style w:type="paragraph" w:customStyle="1" w:styleId="140">
    <w:name w:val="封面标准名称2"/>
    <w:basedOn w:val="86"/>
    <w:qFormat/>
    <w:uiPriority w:val="0"/>
    <w:pPr>
      <w:framePr w:wrap="around" w:y="4469"/>
      <w:spacing w:before="630" w:beforeLines="630"/>
    </w:pPr>
  </w:style>
  <w:style w:type="paragraph" w:customStyle="1" w:styleId="141">
    <w:name w:val="封面标准英文名称2"/>
    <w:basedOn w:val="87"/>
    <w:qFormat/>
    <w:uiPriority w:val="0"/>
    <w:pPr>
      <w:framePr w:wrap="around" w:y="4469"/>
    </w:pPr>
  </w:style>
  <w:style w:type="paragraph" w:customStyle="1" w:styleId="142">
    <w:name w:val="封面一致性程度标识2"/>
    <w:basedOn w:val="88"/>
    <w:qFormat/>
    <w:uiPriority w:val="0"/>
    <w:pPr>
      <w:framePr w:wrap="around" w:y="4469"/>
    </w:pPr>
  </w:style>
  <w:style w:type="paragraph" w:customStyle="1" w:styleId="143">
    <w:name w:val="封面标准文稿类别2"/>
    <w:basedOn w:val="89"/>
    <w:qFormat/>
    <w:uiPriority w:val="0"/>
    <w:pPr>
      <w:framePr w:wrap="around" w:y="4469"/>
    </w:pPr>
  </w:style>
  <w:style w:type="paragraph" w:customStyle="1" w:styleId="144">
    <w:name w:val="封面标准文稿编辑信息2"/>
    <w:basedOn w:val="90"/>
    <w:qFormat/>
    <w:uiPriority w:val="0"/>
    <w:pPr>
      <w:framePr w:wrap="around" w:y="4469"/>
    </w:p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46">
    <w:name w:val="批注文字 Char"/>
    <w:link w:val="10"/>
    <w:qFormat/>
    <w:uiPriority w:val="0"/>
    <w:rPr>
      <w:kern w:val="2"/>
      <w:sz w:val="21"/>
      <w:szCs w:val="24"/>
    </w:rPr>
  </w:style>
  <w:style w:type="character" w:customStyle="1" w:styleId="147">
    <w:name w:val="批注框文本 Char"/>
    <w:link w:val="21"/>
    <w:qFormat/>
    <w:uiPriority w:val="0"/>
    <w:rPr>
      <w:kern w:val="2"/>
      <w:sz w:val="18"/>
      <w:szCs w:val="18"/>
    </w:rPr>
  </w:style>
  <w:style w:type="character" w:customStyle="1" w:styleId="148">
    <w:name w:val="批注主题 Char"/>
    <w:link w:val="37"/>
    <w:qFormat/>
    <w:uiPriority w:val="0"/>
    <w:rPr>
      <w:b/>
      <w:bCs/>
      <w:kern w:val="2"/>
      <w:sz w:val="21"/>
      <w:szCs w:val="24"/>
    </w:rPr>
  </w:style>
  <w:style w:type="character" w:customStyle="1" w:styleId="149">
    <w:name w:val="标题 1 Char"/>
    <w:link w:val="2"/>
    <w:qFormat/>
    <w:uiPriority w:val="1"/>
    <w:rPr>
      <w:rFonts w:ascii="Arial" w:hAnsi="Arial" w:eastAsia="黑体" w:cs="黑体"/>
      <w:sz w:val="21"/>
      <w:szCs w:val="32"/>
    </w:rPr>
  </w:style>
  <w:style w:type="paragraph" w:customStyle="1" w:styleId="150">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151">
    <w:name w:val="脚注文本 Char"/>
    <w:link w:val="29"/>
    <w:qFormat/>
    <w:uiPriority w:val="0"/>
    <w:rPr>
      <w:rFonts w:ascii="宋体"/>
      <w:kern w:val="2"/>
      <w:sz w:val="18"/>
      <w:szCs w:val="18"/>
    </w:rPr>
  </w:style>
  <w:style w:type="character" w:customStyle="1" w:styleId="152">
    <w:name w:val="页眉 Char"/>
    <w:link w:val="23"/>
    <w:qFormat/>
    <w:uiPriority w:val="99"/>
    <w:rPr>
      <w:kern w:val="2"/>
      <w:sz w:val="18"/>
      <w:szCs w:val="18"/>
    </w:rPr>
  </w:style>
  <w:style w:type="character" w:customStyle="1" w:styleId="153">
    <w:name w:val="页脚 Char"/>
    <w:link w:val="22"/>
    <w:qFormat/>
    <w:uiPriority w:val="99"/>
    <w:rPr>
      <w:kern w:val="2"/>
      <w:sz w:val="18"/>
      <w:szCs w:val="18"/>
    </w:rPr>
  </w:style>
  <w:style w:type="character" w:customStyle="1" w:styleId="154">
    <w:name w:val="尾注文本 Char"/>
    <w:link w:val="20"/>
    <w:semiHidden/>
    <w:qFormat/>
    <w:uiPriority w:val="0"/>
    <w:rPr>
      <w:kern w:val="2"/>
      <w:sz w:val="21"/>
      <w:szCs w:val="24"/>
    </w:rPr>
  </w:style>
  <w:style w:type="character" w:customStyle="1" w:styleId="155">
    <w:name w:val="正文文本 Char"/>
    <w:link w:val="12"/>
    <w:qFormat/>
    <w:uiPriority w:val="1"/>
    <w:rPr>
      <w:rFonts w:ascii="宋体" w:cs="宋体"/>
      <w:sz w:val="21"/>
      <w:szCs w:val="21"/>
    </w:rPr>
  </w:style>
  <w:style w:type="character" w:customStyle="1" w:styleId="156">
    <w:name w:val="文档结构图 Char"/>
    <w:link w:val="9"/>
    <w:semiHidden/>
    <w:qFormat/>
    <w:uiPriority w:val="0"/>
    <w:rPr>
      <w:kern w:val="2"/>
      <w:sz w:val="21"/>
      <w:szCs w:val="24"/>
      <w:shd w:val="clear" w:color="auto" w:fill="000080"/>
    </w:rPr>
  </w:style>
  <w:style w:type="paragraph" w:styleId="157">
    <w:name w:val="List Paragraph"/>
    <w:basedOn w:val="1"/>
    <w:qFormat/>
    <w:uiPriority w:val="1"/>
    <w:pPr>
      <w:autoSpaceDE w:val="0"/>
      <w:autoSpaceDN w:val="0"/>
      <w:adjustRightInd w:val="0"/>
      <w:jc w:val="left"/>
    </w:pPr>
    <w:rPr>
      <w:rFonts w:eastAsia="等线"/>
      <w:kern w:val="0"/>
      <w:sz w:val="24"/>
    </w:rPr>
  </w:style>
  <w:style w:type="paragraph" w:customStyle="1" w:styleId="158">
    <w:name w:val="Table Paragraph"/>
    <w:basedOn w:val="1"/>
    <w:qFormat/>
    <w:uiPriority w:val="1"/>
    <w:pPr>
      <w:autoSpaceDE w:val="0"/>
      <w:autoSpaceDN w:val="0"/>
      <w:adjustRightInd w:val="0"/>
      <w:jc w:val="left"/>
    </w:pPr>
    <w:rPr>
      <w:rFonts w:eastAsia="等线"/>
      <w:kern w:val="0"/>
      <w:sz w:val="24"/>
    </w:rPr>
  </w:style>
  <w:style w:type="table" w:customStyle="1" w:styleId="159">
    <w:name w:val="网格型1"/>
    <w:basedOn w:val="3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0">
    <w:name w:val="日期 Char"/>
    <w:link w:val="19"/>
    <w:qFormat/>
    <w:uiPriority w:val="0"/>
    <w:rPr>
      <w:kern w:val="2"/>
      <w:sz w:val="21"/>
      <w:szCs w:val="24"/>
    </w:rPr>
  </w:style>
  <w:style w:type="paragraph" w:customStyle="1" w:styleId="161">
    <w:name w:val="表格内容文字"/>
    <w:basedOn w:val="16"/>
    <w:qFormat/>
    <w:uiPriority w:val="99"/>
    <w:pPr>
      <w:jc w:val="center"/>
    </w:pPr>
    <w:rPr>
      <w:rFonts w:ascii="Times New Roman" w:hAnsi="Times New Roman" w:eastAsia="宋体"/>
      <w:sz w:val="18"/>
      <w:szCs w:val="18"/>
    </w:rPr>
  </w:style>
  <w:style w:type="paragraph" w:customStyle="1" w:styleId="162">
    <w:name w:val="表格表头文字"/>
    <w:basedOn w:val="16"/>
    <w:qFormat/>
    <w:uiPriority w:val="99"/>
    <w:rPr>
      <w:rFonts w:ascii="宋体" w:eastAsia="黑体"/>
      <w:sz w:val="18"/>
      <w:szCs w:val="21"/>
    </w:rPr>
  </w:style>
  <w:style w:type="character" w:customStyle="1" w:styleId="163">
    <w:name w:val="纯文本 Char"/>
    <w:basedOn w:val="40"/>
    <w:link w:val="16"/>
    <w:qFormat/>
    <w:uiPriority w:val="0"/>
    <w:rPr>
      <w:rFonts w:hAnsi="Courier New" w:cs="Courier New" w:asciiTheme="minorEastAsia" w:eastAsiaTheme="minorEastAsia"/>
      <w:kern w:val="2"/>
      <w:sz w:val="21"/>
      <w:szCs w:val="24"/>
    </w:rPr>
  </w:style>
  <w:style w:type="paragraph" w:customStyle="1" w:styleId="16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65">
    <w:name w:val="未处理的提及1"/>
    <w:basedOn w:val="40"/>
    <w:semiHidden/>
    <w:unhideWhenUsed/>
    <w:qFormat/>
    <w:uiPriority w:val="99"/>
    <w:rPr>
      <w:color w:val="605E5C"/>
      <w:shd w:val="clear" w:color="auto" w:fill="E1DFDD"/>
    </w:rPr>
  </w:style>
  <w:style w:type="character" w:customStyle="1" w:styleId="166">
    <w:name w:val="标题 2 Char"/>
    <w:basedOn w:val="40"/>
    <w:link w:val="3"/>
    <w:qFormat/>
    <w:uiPriority w:val="0"/>
    <w:rPr>
      <w:rFonts w:asciiTheme="majorHAnsi" w:hAnsiTheme="majorHAnsi" w:eastAsiaTheme="majorEastAsia" w:cstheme="majorBidi"/>
      <w:b/>
      <w:bCs/>
      <w:kern w:val="2"/>
      <w:sz w:val="32"/>
      <w:szCs w:val="32"/>
    </w:rPr>
  </w:style>
  <w:style w:type="paragraph" w:customStyle="1" w:styleId="167">
    <w:name w:val="xl66"/>
    <w:basedOn w:val="1"/>
    <w:qFormat/>
    <w:uiPriority w:val="0"/>
    <w:pPr>
      <w:widowControl/>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line="360" w:lineRule="auto"/>
      <w:ind w:firstLine="200" w:firstLineChars="200"/>
      <w:jc w:val="center"/>
    </w:pPr>
    <w:rPr>
      <w:rFonts w:ascii="宋体" w:hAnsi="宋体" w:eastAsia="方正仿宋_GBK"/>
      <w:kern w:val="0"/>
      <w:sz w:val="24"/>
      <w:szCs w:val="20"/>
      <w:lang w:eastAsia="en-US" w:bidi="en-US"/>
    </w:rPr>
  </w:style>
  <w:style w:type="table" w:customStyle="1" w:styleId="168">
    <w:name w:val="Table Normal1"/>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69">
    <w:name w:val="标题 3 Char"/>
    <w:basedOn w:val="40"/>
    <w:link w:val="4"/>
    <w:semiHidden/>
    <w:qFormat/>
    <w:uiPriority w:val="0"/>
    <w:rPr>
      <w:b/>
      <w:bCs/>
      <w:kern w:val="2"/>
      <w:sz w:val="32"/>
      <w:szCs w:val="32"/>
    </w:rPr>
  </w:style>
  <w:style w:type="paragraph" w:customStyle="1" w:styleId="170">
    <w:name w:val="标准文件_正文表标题"/>
    <w:next w:val="1"/>
    <w:qFormat/>
    <w:uiPriority w:val="0"/>
    <w:pPr>
      <w:tabs>
        <w:tab w:val="left" w:pos="0"/>
      </w:tabs>
      <w:spacing w:before="50" w:beforeLines="50" w:after="50" w:afterLines="50"/>
      <w:ind w:left="1844"/>
      <w:jc w:val="center"/>
    </w:pPr>
    <w:rPr>
      <w:rFonts w:ascii="黑体" w:hAnsi="Times New Roman" w:eastAsia="黑体" w:cs="Times New Roman"/>
      <w:sz w:val="21"/>
      <w:lang w:val="en-US" w:eastAsia="zh-CN" w:bidi="ar-SA"/>
    </w:rPr>
  </w:style>
  <w:style w:type="paragraph" w:customStyle="1" w:styleId="171">
    <w:name w:val="标准文件_二级条标题"/>
    <w:next w:val="1"/>
    <w:qFormat/>
    <w:uiPriority w:val="0"/>
    <w:pPr>
      <w:widowControl w:val="0"/>
      <w:numPr>
        <w:ilvl w:val="3"/>
        <w:numId w:val="18"/>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72">
    <w:name w:val="标准文件_三级条标题"/>
    <w:basedOn w:val="171"/>
    <w:next w:val="1"/>
    <w:qFormat/>
    <w:uiPriority w:val="0"/>
    <w:pPr>
      <w:widowControl/>
      <w:numPr>
        <w:ilvl w:val="4"/>
      </w:numPr>
      <w:outlineLvl w:val="3"/>
    </w:pPr>
  </w:style>
  <w:style w:type="paragraph" w:customStyle="1" w:styleId="173">
    <w:name w:val="标准文件_四级条标题"/>
    <w:next w:val="1"/>
    <w:qFormat/>
    <w:uiPriority w:val="0"/>
    <w:pPr>
      <w:widowControl w:val="0"/>
      <w:numPr>
        <w:ilvl w:val="5"/>
        <w:numId w:val="18"/>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74">
    <w:name w:val="标准文件_五级条标题"/>
    <w:next w:val="1"/>
    <w:qFormat/>
    <w:uiPriority w:val="0"/>
    <w:pPr>
      <w:widowControl w:val="0"/>
      <w:numPr>
        <w:ilvl w:val="6"/>
        <w:numId w:val="18"/>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75">
    <w:name w:val="标准文件_章标题"/>
    <w:next w:val="1"/>
    <w:qFormat/>
    <w:uiPriority w:val="0"/>
    <w:pPr>
      <w:numPr>
        <w:ilvl w:val="1"/>
        <w:numId w:val="18"/>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76">
    <w:name w:val="标准文件_一级条标题"/>
    <w:basedOn w:val="175"/>
    <w:next w:val="1"/>
    <w:qFormat/>
    <w:uiPriority w:val="0"/>
    <w:pPr>
      <w:numPr>
        <w:ilvl w:val="2"/>
      </w:numPr>
      <w:spacing w:before="50" w:beforeLines="50" w:after="50" w:afterLines="50"/>
      <w:outlineLvl w:val="1"/>
    </w:pPr>
  </w:style>
  <w:style w:type="paragraph" w:customStyle="1" w:styleId="177">
    <w:name w:val="前言标题"/>
    <w:next w:val="1"/>
    <w:qFormat/>
    <w:uiPriority w:val="0"/>
    <w:pPr>
      <w:numPr>
        <w:ilvl w:val="0"/>
        <w:numId w:val="18"/>
      </w:numPr>
      <w:shd w:val="clear" w:color="FFFFFF" w:fill="FFFFFF"/>
      <w:spacing w:before="540" w:after="60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334;&#24230;&#20113;&#21516;&#27493;&#30424;\&#22823;&#27668;&#25152;2018\2017&#24180;&#20197;&#26469;&#35838;&#39064;\2018-2019&#32508;&#21512;&#25490;&#25918;&#26631;&#20934;\outcome&#32508;&#25490;&#26631;&#20934;\&#32508;&#21512;&#25490;&#25918;&#26631;&#20934;2019.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5031326D06E743BF16916576F63E44" ma:contentTypeVersion="2" ma:contentTypeDescription="Create a new document." ma:contentTypeScope="" ma:versionID="b20b970ecd8fa664dc119ce00f4923af">
  <xsd:schema xmlns:xsd="http://www.w3.org/2001/XMLSchema" xmlns:xs="http://www.w3.org/2001/XMLSchema" xmlns:p="http://schemas.microsoft.com/office/2006/metadata/properties" xmlns:ns3="5ef99138-6e85-49fc-b1fe-9d0963e997b3" targetNamespace="http://schemas.microsoft.com/office/2006/metadata/properties" ma:root="true" ma:fieldsID="1bd230b7290f96723d80bc9f08bc2668" ns3:_="">
    <xsd:import namespace="5ef99138-6e85-49fc-b1fe-9d0963e997b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9138-6e85-49fc-b1fe-9d0963e99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87BAD-720C-4D6C-B596-713971DBC338}">
  <ds:schemaRefs/>
</ds:datastoreItem>
</file>

<file path=customXml/itemProps3.xml><?xml version="1.0" encoding="utf-8"?>
<ds:datastoreItem xmlns:ds="http://schemas.openxmlformats.org/officeDocument/2006/customXml" ds:itemID="{31FE80F0-400F-49CC-B982-4DE4506E889A}">
  <ds:schemaRefs/>
</ds:datastoreItem>
</file>

<file path=customXml/itemProps4.xml><?xml version="1.0" encoding="utf-8"?>
<ds:datastoreItem xmlns:ds="http://schemas.openxmlformats.org/officeDocument/2006/customXml" ds:itemID="{1A3BCCB9-DFF7-46BE-AB43-17CFA5C97BC4}">
  <ds:schemaRefs/>
</ds:datastoreItem>
</file>

<file path=customXml/itemProps5.xml><?xml version="1.0" encoding="utf-8"?>
<ds:datastoreItem xmlns:ds="http://schemas.openxmlformats.org/officeDocument/2006/customXml" ds:itemID="{195C8638-CEBA-435B-BA05-85E0F5DD9860}">
  <ds:schemaRefs/>
</ds:datastoreItem>
</file>

<file path=docProps/app.xml><?xml version="1.0" encoding="utf-8"?>
<Properties xmlns="http://schemas.openxmlformats.org/officeDocument/2006/extended-properties" xmlns:vt="http://schemas.openxmlformats.org/officeDocument/2006/docPropsVTypes">
  <Template>综合排放标准2019.2.14</Template>
  <Pages>19</Pages>
  <Words>2394</Words>
  <Characters>13650</Characters>
  <Lines>113</Lines>
  <Paragraphs>32</Paragraphs>
  <TotalTime>0</TotalTime>
  <ScaleCrop>false</ScaleCrop>
  <LinksUpToDate>false</LinksUpToDate>
  <CharactersWithSpaces>16012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2021-01-29T01:56:00Z</dcterms:created>
  <dcterms:modified xsi:type="dcterms:W3CDTF">2021-04-08T07:04:15Z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0x010100A75031326D06E743BF16916576F63E44</vt:lpwstr>
  </property>
  <property fmtid="{D5CDD505-2E9C-101B-9397-08002B2CF9AE}" pid="3" name="MTWinEqns">
    <vt:bool>true</vt:bool>
  </property>
  <property fmtid="{D5CDD505-2E9C-101B-9397-08002B2CF9AE}" pid="4" name="MTEquationNumber2">
    <vt:lpwstr>(#S1.#E1)</vt:lpwstr>
  </property>
  <property fmtid="{D5CDD505-2E9C-101B-9397-08002B2CF9AE}" pid="5" name="KSOProductBuildVer">
    <vt:lpwstr>2052-11.1.0.10356</vt:lpwstr>
  </property>
  <property fmtid="{D5CDD505-2E9C-101B-9397-08002B2CF9AE}" pid="6" name="ICV">
    <vt:lpwstr>3BB283902CAD4E58B3BD2106C9EB4CBA</vt:lpwstr>
  </property>
</Properties>
</file>