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F" w:rsidRPr="007F186C" w:rsidRDefault="002061CF" w:rsidP="002061CF">
      <w:pPr>
        <w:spacing w:line="360" w:lineRule="auto"/>
        <w:jc w:val="center"/>
        <w:rPr>
          <w:b/>
          <w:sz w:val="32"/>
          <w:szCs w:val="32"/>
        </w:rPr>
      </w:pPr>
      <w:r w:rsidRPr="007F186C">
        <w:rPr>
          <w:b/>
          <w:sz w:val="32"/>
          <w:szCs w:val="32"/>
        </w:rPr>
        <w:t>2015</w:t>
      </w:r>
      <w:r w:rsidRPr="007F186C">
        <w:rPr>
          <w:rFonts w:hAnsi="宋体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5</w:t>
      </w:r>
      <w:r w:rsidRPr="007F186C">
        <w:rPr>
          <w:rFonts w:hAnsi="宋体"/>
          <w:b/>
          <w:sz w:val="32"/>
          <w:szCs w:val="32"/>
        </w:rPr>
        <w:t>月第</w:t>
      </w:r>
      <w:r>
        <w:rPr>
          <w:rFonts w:hint="eastAsia"/>
          <w:b/>
          <w:sz w:val="32"/>
          <w:szCs w:val="32"/>
        </w:rPr>
        <w:t>3</w:t>
      </w:r>
      <w:r w:rsidRPr="007F186C">
        <w:rPr>
          <w:rFonts w:hAnsi="宋体"/>
          <w:b/>
          <w:sz w:val="32"/>
          <w:szCs w:val="32"/>
        </w:rPr>
        <w:t>周国际磷肥大事清单</w:t>
      </w:r>
    </w:p>
    <w:p w:rsidR="002061CF" w:rsidRPr="007F186C" w:rsidRDefault="002061CF" w:rsidP="002061CF">
      <w:pPr>
        <w:spacing w:line="360" w:lineRule="auto"/>
      </w:pPr>
    </w:p>
    <w:p w:rsidR="002061CF" w:rsidRPr="007F186C" w:rsidRDefault="002061CF" w:rsidP="002061CF">
      <w:pPr>
        <w:spacing w:line="360" w:lineRule="auto"/>
        <w:rPr>
          <w:b/>
        </w:rPr>
      </w:pPr>
      <w:r w:rsidRPr="007F186C">
        <w:rPr>
          <w:rFonts w:hAnsi="宋体"/>
          <w:b/>
        </w:rPr>
        <w:t>一、要闻概览</w:t>
      </w:r>
    </w:p>
    <w:p w:rsidR="006D3056" w:rsidRDefault="002061CF">
      <w:r>
        <w:rPr>
          <w:rFonts w:hint="eastAsia"/>
        </w:rPr>
        <w:t>1</w:t>
      </w:r>
      <w:r>
        <w:rPr>
          <w:rFonts w:hint="eastAsia"/>
        </w:rPr>
        <w:t>．据报道，印度</w:t>
      </w:r>
      <w:r>
        <w:rPr>
          <w:rFonts w:hint="eastAsia"/>
        </w:rPr>
        <w:t>MMTC</w:t>
      </w:r>
      <w:r>
        <w:rPr>
          <w:rFonts w:hint="eastAsia"/>
        </w:rPr>
        <w:t>公司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日的招标已经有三个公司出价了。</w:t>
      </w:r>
    </w:p>
    <w:p w:rsidR="002061CF" w:rsidRDefault="002061CF">
      <w:r>
        <w:rPr>
          <w:rFonts w:hint="eastAsia"/>
        </w:rPr>
        <w:t>2</w:t>
      </w:r>
      <w:r>
        <w:rPr>
          <w:rFonts w:hint="eastAsia"/>
        </w:rPr>
        <w:t>．印度</w:t>
      </w:r>
      <w:r>
        <w:rPr>
          <w:rFonts w:hint="eastAsia"/>
        </w:rPr>
        <w:t>RCF</w:t>
      </w:r>
      <w:r>
        <w:rPr>
          <w:rFonts w:hint="eastAsia"/>
        </w:rPr>
        <w:t>公司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日的招标已经有六个公司出价了。</w:t>
      </w:r>
    </w:p>
    <w:p w:rsidR="002061CF" w:rsidRDefault="002061CF">
      <w:r>
        <w:rPr>
          <w:rFonts w:hint="eastAsia"/>
        </w:rPr>
        <w:t>3</w:t>
      </w:r>
      <w:r>
        <w:rPr>
          <w:rFonts w:hint="eastAsia"/>
        </w:rPr>
        <w:t>．</w:t>
      </w:r>
      <w:proofErr w:type="spellStart"/>
      <w:r>
        <w:rPr>
          <w:rFonts w:hint="eastAsia"/>
        </w:rPr>
        <w:t>EuroChem</w:t>
      </w:r>
      <w:proofErr w:type="spellEnd"/>
      <w:r>
        <w:rPr>
          <w:rFonts w:hint="eastAsia"/>
        </w:rPr>
        <w:t>公司有</w:t>
      </w:r>
      <w:r>
        <w:rPr>
          <w:rFonts w:hint="eastAsia"/>
        </w:rPr>
        <w:t>2.5-3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销往土耳其，价格在</w:t>
      </w:r>
      <w:r>
        <w:rPr>
          <w:rFonts w:hint="eastAsia"/>
        </w:rPr>
        <w:t>480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4</w:t>
      </w:r>
      <w:r>
        <w:rPr>
          <w:rFonts w:hint="eastAsia"/>
        </w:rPr>
        <w:t>．</w:t>
      </w:r>
      <w:proofErr w:type="spellStart"/>
      <w:r>
        <w:rPr>
          <w:rFonts w:hint="eastAsia"/>
        </w:rPr>
        <w:t>EuroChem</w:t>
      </w:r>
      <w:proofErr w:type="spellEnd"/>
      <w:r>
        <w:rPr>
          <w:rFonts w:hint="eastAsia"/>
        </w:rPr>
        <w:t>公司有</w:t>
      </w:r>
      <w:r>
        <w:rPr>
          <w:rFonts w:hint="eastAsia"/>
        </w:rPr>
        <w:t>1-1.5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销往拉丁美洲。</w:t>
      </w:r>
    </w:p>
    <w:p w:rsidR="002061CF" w:rsidRDefault="002061CF">
      <w:r>
        <w:rPr>
          <w:rFonts w:hint="eastAsia"/>
        </w:rPr>
        <w:t>5</w:t>
      </w:r>
      <w:r>
        <w:rPr>
          <w:rFonts w:hint="eastAsia"/>
        </w:rPr>
        <w:t>．美国</w:t>
      </w:r>
      <w:r>
        <w:rPr>
          <w:rFonts w:hint="eastAsia"/>
        </w:rPr>
        <w:t>Mosaic</w:t>
      </w:r>
      <w:r>
        <w:rPr>
          <w:rFonts w:hint="eastAsia"/>
        </w:rPr>
        <w:t>公司有</w:t>
      </w:r>
      <w:r>
        <w:rPr>
          <w:rFonts w:hint="eastAsia"/>
        </w:rPr>
        <w:t>3</w:t>
      </w:r>
      <w:r>
        <w:rPr>
          <w:rFonts w:hint="eastAsia"/>
        </w:rPr>
        <w:t>万吨</w:t>
      </w:r>
      <w:r>
        <w:rPr>
          <w:rFonts w:hint="eastAsia"/>
        </w:rPr>
        <w:t>DAP/MAP</w:t>
      </w:r>
      <w:r>
        <w:rPr>
          <w:rFonts w:hint="eastAsia"/>
        </w:rPr>
        <w:t>销往拉丁美洲，价格在</w:t>
      </w:r>
      <w:r>
        <w:rPr>
          <w:rFonts w:hint="eastAsia"/>
        </w:rPr>
        <w:t>474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吨，六七月份装运。</w:t>
      </w:r>
    </w:p>
    <w:p w:rsidR="002061CF" w:rsidRPr="007F186C" w:rsidRDefault="002061CF" w:rsidP="002061CF">
      <w:pPr>
        <w:spacing w:line="360" w:lineRule="auto"/>
      </w:pPr>
      <w:r w:rsidRPr="007F186C">
        <w:rPr>
          <w:rFonts w:hAnsi="宋体"/>
          <w:b/>
        </w:rPr>
        <w:t>二、价格指数</w:t>
      </w:r>
    </w:p>
    <w:tbl>
      <w:tblPr>
        <w:tblW w:w="0" w:type="auto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2126"/>
        <w:gridCol w:w="1559"/>
        <w:gridCol w:w="1559"/>
        <w:gridCol w:w="1560"/>
      </w:tblGrid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21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14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日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DAP</w:t>
            </w: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68</w:t>
            </w:r>
            <w:r w:rsidRPr="007F186C">
              <w:t>-4</w:t>
            </w:r>
            <w:r>
              <w:rPr>
                <w:rFonts w:hint="eastAsia"/>
              </w:rPr>
              <w:t>72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510</w:t>
            </w:r>
            <w:r w:rsidRPr="007F186C">
              <w:t>-51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510</w:t>
            </w:r>
            <w:r>
              <w:rPr>
                <w:rFonts w:hint="eastAsia"/>
              </w:rPr>
              <w:t>-515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480-510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proofErr w:type="spellStart"/>
            <w:r>
              <w:t>n.m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proofErr w:type="spellStart"/>
            <w:r>
              <w:t>n.m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proofErr w:type="spellStart"/>
            <w:r>
              <w:t>n.m</w:t>
            </w:r>
            <w:proofErr w:type="spellEnd"/>
            <w:r>
              <w:t>.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68</w:t>
            </w:r>
            <w:r>
              <w:t>-4</w:t>
            </w: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68</w:t>
            </w:r>
            <w:r>
              <w:t>-4</w:t>
            </w:r>
            <w:r>
              <w:rPr>
                <w:rFonts w:hint="eastAsia"/>
              </w:rPr>
              <w:t>70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68</w:t>
            </w:r>
            <w:r>
              <w:t>-4</w:t>
            </w:r>
            <w:r>
              <w:rPr>
                <w:rFonts w:hint="eastAsia"/>
              </w:rPr>
              <w:t>70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沙特散装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74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472-475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proofErr w:type="spellStart"/>
            <w:r w:rsidRPr="007F186C">
              <w:t>n.m</w:t>
            </w:r>
            <w:proofErr w:type="spellEnd"/>
            <w:r w:rsidRPr="007F186C">
              <w:t>.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proofErr w:type="spellStart"/>
            <w:r w:rsidRPr="007F186C">
              <w:t>n.m</w:t>
            </w:r>
            <w:proofErr w:type="spellEnd"/>
            <w:r w:rsidRPr="007F186C">
              <w:t>.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proofErr w:type="spellStart"/>
            <w:r w:rsidRPr="007F186C">
              <w:t>n.m</w:t>
            </w:r>
            <w:proofErr w:type="spellEnd"/>
            <w:r w:rsidRPr="007F186C">
              <w:t>.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450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450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450-4</w:t>
            </w:r>
            <w:r>
              <w:rPr>
                <w:rFonts w:hint="eastAsia"/>
              </w:rPr>
              <w:t>60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澳大利亚散装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462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</w:t>
            </w:r>
            <w:r w:rsidRPr="007F186C">
              <w:t>fob</w:t>
            </w:r>
            <w:r w:rsidRPr="007F186C">
              <w:rPr>
                <w:rFonts w:hAnsi="宋体"/>
              </w:rPr>
              <w:t>现货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46</w:t>
            </w:r>
            <w:r>
              <w:rPr>
                <w:rFonts w:hint="eastAsia"/>
              </w:rPr>
              <w:t>6</w:t>
            </w:r>
            <w:r w:rsidRPr="007F186C">
              <w:t>-4</w:t>
            </w:r>
            <w:r>
              <w:rPr>
                <w:rFonts w:hint="eastAsia"/>
              </w:rPr>
              <w:t>80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46</w:t>
            </w:r>
            <w:r>
              <w:rPr>
                <w:rFonts w:hint="eastAsia"/>
              </w:rPr>
              <w:t>6</w:t>
            </w:r>
            <w:r w:rsidRPr="007F186C">
              <w:t>-4</w:t>
            </w:r>
            <w:r>
              <w:rPr>
                <w:rFonts w:hint="eastAsia"/>
              </w:rPr>
              <w:t>80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462-475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比荷</w:t>
            </w:r>
            <w:proofErr w:type="gramStart"/>
            <w:r w:rsidRPr="007F186C">
              <w:rPr>
                <w:rFonts w:hAnsi="宋体"/>
              </w:rPr>
              <w:t>卢</w:t>
            </w:r>
            <w:proofErr w:type="gramEnd"/>
            <w:r w:rsidRPr="007F186C">
              <w:rPr>
                <w:rFonts w:hAnsi="宋体"/>
              </w:rPr>
              <w:t>散装</w:t>
            </w:r>
            <w:proofErr w:type="spellStart"/>
            <w:r w:rsidRPr="007F186C">
              <w:t>fca</w:t>
            </w:r>
            <w:proofErr w:type="spellEnd"/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52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525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525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印度散装</w:t>
            </w:r>
            <w:proofErr w:type="spellStart"/>
            <w:r w:rsidRPr="007F186C">
              <w:t>cfr</w:t>
            </w:r>
            <w:proofErr w:type="spellEnd"/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478-485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478-48</w:t>
            </w: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478-485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美国国内</w:t>
            </w:r>
            <w:r w:rsidRPr="007F186C">
              <w:t>Nola</w:t>
            </w:r>
            <w:r w:rsidRPr="007F186C">
              <w:rPr>
                <w:rFonts w:hAnsi="宋体"/>
              </w:rPr>
              <w:t>港（美元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20</w:t>
            </w:r>
            <w:r w:rsidRPr="007F186C">
              <w:t>-4</w:t>
            </w:r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10</w:t>
            </w:r>
            <w:r w:rsidRPr="007F186C">
              <w:t>-4</w:t>
            </w:r>
            <w:r>
              <w:rPr>
                <w:rFonts w:hint="eastAsia"/>
              </w:rPr>
              <w:t>25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2061CF">
            <w:pPr>
              <w:spacing w:line="360" w:lineRule="auto"/>
              <w:jc w:val="center"/>
            </w:pPr>
            <w:r>
              <w:t>405-4</w:t>
            </w:r>
            <w:r>
              <w:rPr>
                <w:rFonts w:hint="eastAsia"/>
              </w:rPr>
              <w:t>15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美国福罗里达中部（美元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445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445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440-445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GTSP</w:t>
            </w: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保加利亚散装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380-390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380-390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380-390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 w:rsidR="00D93DF4">
              <w:rPr>
                <w:rFonts w:hint="eastAsia"/>
                <w:kern w:val="0"/>
              </w:rPr>
              <w:t>2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="00D93DF4">
              <w:rPr>
                <w:rFonts w:hint="eastAsia"/>
                <w:kern w:val="0"/>
              </w:rPr>
              <w:t>9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D93DF4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 w:rsidR="00D93DF4">
              <w:rPr>
                <w:rFonts w:hint="eastAsia"/>
                <w:kern w:val="0"/>
              </w:rPr>
              <w:t>2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="00D93DF4">
              <w:rPr>
                <w:rFonts w:hint="eastAsia"/>
                <w:kern w:val="0"/>
              </w:rPr>
              <w:t>9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D93DF4">
            <w:pPr>
              <w:spacing w:line="360" w:lineRule="auto"/>
              <w:jc w:val="center"/>
            </w:pPr>
            <w:r w:rsidRPr="007F186C">
              <w:rPr>
                <w:kern w:val="0"/>
              </w:rPr>
              <w:t>3</w:t>
            </w:r>
            <w:r w:rsidR="00D93DF4"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 w:rsidR="00D93DF4"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proofErr w:type="spellStart"/>
            <w:r>
              <w:rPr>
                <w:rFonts w:hint="eastAsia"/>
                <w:kern w:val="0"/>
              </w:rPr>
              <w:t>n.m</w:t>
            </w:r>
            <w:proofErr w:type="spellEnd"/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2061CF" w:rsidRPr="007F186C" w:rsidRDefault="00D93DF4" w:rsidP="00D93DF4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  <w:kern w:val="0"/>
              </w:rPr>
              <w:t>n.m</w:t>
            </w:r>
            <w:proofErr w:type="spellEnd"/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60" w:type="dxa"/>
            <w:vAlign w:val="center"/>
          </w:tcPr>
          <w:p w:rsidR="002061CF" w:rsidRPr="007F186C" w:rsidRDefault="00D93DF4" w:rsidP="00382A9D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  <w:kern w:val="0"/>
              </w:rPr>
              <w:t>n.m</w:t>
            </w:r>
            <w:proofErr w:type="spellEnd"/>
            <w:r>
              <w:rPr>
                <w:rFonts w:hint="eastAsia"/>
                <w:kern w:val="0"/>
              </w:rPr>
              <w:t>.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黎巴嫩散装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375-380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375-380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375-380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墨西哥散装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D93DF4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中国袋装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MAP</w:t>
            </w: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2061CF" w:rsidRPr="007F186C" w:rsidRDefault="00D93DF4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60" w:type="dxa"/>
            <w:vAlign w:val="center"/>
          </w:tcPr>
          <w:p w:rsidR="002061CF" w:rsidRPr="007F186C" w:rsidRDefault="00D93DF4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D93DF4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2061CF" w:rsidRPr="007F186C" w:rsidRDefault="00D93DF4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60" w:type="dxa"/>
            <w:vAlign w:val="center"/>
          </w:tcPr>
          <w:p w:rsidR="002061CF" w:rsidRPr="007F186C" w:rsidRDefault="00D93DF4" w:rsidP="00D93DF4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60</w:t>
            </w:r>
            <w:r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巴西散装</w:t>
            </w:r>
            <w:proofErr w:type="spellStart"/>
            <w:r w:rsidRPr="007F186C">
              <w:t>cfr</w:t>
            </w:r>
            <w:proofErr w:type="spellEnd"/>
          </w:p>
        </w:tc>
        <w:tc>
          <w:tcPr>
            <w:tcW w:w="1559" w:type="dxa"/>
            <w:vAlign w:val="center"/>
          </w:tcPr>
          <w:p w:rsidR="002061CF" w:rsidRPr="007F186C" w:rsidRDefault="002061CF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 w:rsidR="00D93DF4"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-</w:t>
            </w:r>
            <w:r w:rsidR="00D93DF4">
              <w:rPr>
                <w:rFonts w:hint="eastAsia"/>
                <w:kern w:val="0"/>
              </w:rPr>
              <w:t>500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D93DF4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 w:rsidR="00D93DF4">
              <w:rPr>
                <w:rFonts w:hint="eastAsia"/>
                <w:kern w:val="0"/>
              </w:rPr>
              <w:t>96</w:t>
            </w:r>
            <w:r w:rsidRPr="007F186C">
              <w:rPr>
                <w:kern w:val="0"/>
              </w:rPr>
              <w:t>-</w:t>
            </w:r>
            <w:r w:rsidR="00D93DF4">
              <w:rPr>
                <w:rFonts w:hint="eastAsia"/>
                <w:kern w:val="0"/>
              </w:rPr>
              <w:t>500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D93DF4">
            <w:pPr>
              <w:spacing w:line="360" w:lineRule="auto"/>
              <w:jc w:val="center"/>
            </w:pPr>
            <w:r w:rsidRPr="007F186C">
              <w:t>4</w:t>
            </w:r>
            <w:r>
              <w:rPr>
                <w:rFonts w:hint="eastAsia"/>
              </w:rPr>
              <w:t>8</w:t>
            </w:r>
            <w:r w:rsidR="00D93DF4">
              <w:rPr>
                <w:rFonts w:hint="eastAsia"/>
              </w:rPr>
              <w:t>5</w:t>
            </w:r>
            <w:r w:rsidRPr="007F186C">
              <w:t>-4</w:t>
            </w:r>
            <w:r w:rsidR="00D93DF4">
              <w:rPr>
                <w:rFonts w:hint="eastAsia"/>
              </w:rPr>
              <w:t>92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磷酸</w:t>
            </w: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695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</w:t>
            </w:r>
            <w:proofErr w:type="spellStart"/>
            <w:r w:rsidRPr="007F186C">
              <w:t>cfr</w:t>
            </w:r>
            <w:proofErr w:type="spellEnd"/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805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805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805</w:t>
            </w: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磷矿石</w:t>
            </w: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</w:tr>
      <w:tr w:rsidR="002061CF" w:rsidRPr="007F186C" w:rsidTr="00382A9D">
        <w:trPr>
          <w:trHeight w:val="680"/>
          <w:jc w:val="center"/>
        </w:trPr>
        <w:tc>
          <w:tcPr>
            <w:tcW w:w="1597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卡萨布兰卡</w:t>
            </w:r>
            <w:r w:rsidRPr="007F186C">
              <w:t>fob</w:t>
            </w:r>
            <w:r w:rsidRPr="007F186C">
              <w:rPr>
                <w:rFonts w:hAnsi="宋体"/>
              </w:rPr>
              <w:t>（</w:t>
            </w:r>
            <w:r w:rsidRPr="007F186C">
              <w:t>70%BPL</w:t>
            </w:r>
            <w:r w:rsidRPr="007F186C">
              <w:rPr>
                <w:rFonts w:hAnsi="宋体"/>
              </w:rPr>
              <w:t>）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60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110-140</w:t>
            </w:r>
          </w:p>
        </w:tc>
      </w:tr>
    </w:tbl>
    <w:p w:rsidR="002061CF" w:rsidRPr="007F186C" w:rsidRDefault="002061CF" w:rsidP="002061CF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559"/>
        <w:gridCol w:w="1559"/>
        <w:gridCol w:w="1559"/>
      </w:tblGrid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航线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吨位（万吨）</w:t>
            </w:r>
          </w:p>
        </w:tc>
        <w:tc>
          <w:tcPr>
            <w:tcW w:w="1559" w:type="dxa"/>
          </w:tcPr>
          <w:p w:rsidR="002061CF" w:rsidRPr="007F186C" w:rsidRDefault="002061CF" w:rsidP="00D93D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Pr="007F186C">
              <w:rPr>
                <w:rFonts w:hAnsi="宋体"/>
              </w:rPr>
              <w:t>月</w:t>
            </w:r>
            <w:r w:rsidR="00D93DF4">
              <w:rPr>
                <w:rFonts w:hint="eastAsia"/>
              </w:rPr>
              <w:t>21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2061CF" w:rsidRPr="007F186C" w:rsidRDefault="00D93DF4" w:rsidP="00D93D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2061CF"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14</w:t>
            </w:r>
            <w:r w:rsidR="002061CF"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2061CF" w:rsidRPr="007F186C" w:rsidRDefault="00D93DF4" w:rsidP="00D93D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2061CF"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7</w:t>
            </w:r>
            <w:r w:rsidR="002061CF" w:rsidRPr="007F186C">
              <w:rPr>
                <w:rFonts w:hAnsi="宋体"/>
              </w:rPr>
              <w:t>日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4.5-5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26-30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26-30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中国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5-5.5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24-28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巴基斯坦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3.5-4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33-37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18-25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21-28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lastRenderedPageBreak/>
              <w:t>北非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3-3.5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28-32</w:t>
            </w:r>
          </w:p>
        </w:tc>
      </w:tr>
      <w:tr w:rsidR="002061CF" w:rsidRPr="007F186C" w:rsidTr="00382A9D">
        <w:trPr>
          <w:trHeight w:val="680"/>
        </w:trPr>
        <w:tc>
          <w:tcPr>
            <w:tcW w:w="2093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4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2061CF" w:rsidRPr="007F186C" w:rsidRDefault="002061CF" w:rsidP="00382A9D">
            <w:pPr>
              <w:spacing w:line="360" w:lineRule="auto"/>
              <w:jc w:val="center"/>
            </w:pPr>
            <w:r w:rsidRPr="007F186C">
              <w:t>13-14</w:t>
            </w:r>
          </w:p>
        </w:tc>
      </w:tr>
    </w:tbl>
    <w:p w:rsidR="002061CF" w:rsidRPr="007F186C" w:rsidRDefault="002061CF" w:rsidP="002061CF">
      <w:pPr>
        <w:spacing w:line="360" w:lineRule="auto"/>
        <w:rPr>
          <w:b/>
        </w:rPr>
      </w:pPr>
      <w:r w:rsidRPr="007F186C">
        <w:rPr>
          <w:rFonts w:hAnsi="宋体"/>
          <w:b/>
        </w:rPr>
        <w:t>三、市场预测</w:t>
      </w:r>
    </w:p>
    <w:p w:rsidR="002061CF" w:rsidRPr="007F186C" w:rsidRDefault="00D93DF4" w:rsidP="002061CF">
      <w:pPr>
        <w:spacing w:line="360" w:lineRule="auto"/>
        <w:ind w:firstLineChars="200" w:firstLine="560"/>
      </w:pPr>
      <w:r>
        <w:rPr>
          <w:rFonts w:hAnsi="宋体" w:hint="eastAsia"/>
        </w:rPr>
        <w:t>稳定</w:t>
      </w:r>
    </w:p>
    <w:p w:rsidR="002061CF" w:rsidRPr="001B6CF8" w:rsidRDefault="002061CF" w:rsidP="002061CF">
      <w:pPr>
        <w:spacing w:line="360" w:lineRule="auto"/>
        <w:rPr>
          <w:b/>
        </w:rPr>
      </w:pPr>
      <w:r w:rsidRPr="007F186C">
        <w:rPr>
          <w:rFonts w:hAnsi="宋体"/>
          <w:b/>
        </w:rPr>
        <w:t>四、市场分析</w:t>
      </w:r>
    </w:p>
    <w:p w:rsidR="002061CF" w:rsidRDefault="00D93DF4" w:rsidP="00D93DF4">
      <w:pPr>
        <w:spacing w:line="360" w:lineRule="auto"/>
        <w:ind w:firstLineChars="200" w:firstLine="560"/>
      </w:pPr>
      <w:r>
        <w:rPr>
          <w:rFonts w:hint="eastAsia"/>
        </w:rPr>
        <w:t>本周西方</w:t>
      </w:r>
      <w:r w:rsidR="009056A6">
        <w:rPr>
          <w:rFonts w:hint="eastAsia"/>
        </w:rPr>
        <w:t>磷肥</w:t>
      </w:r>
      <w:r>
        <w:rPr>
          <w:rFonts w:hint="eastAsia"/>
        </w:rPr>
        <w:t>市场保持上涨趋势，</w:t>
      </w:r>
      <w:r w:rsidR="009056A6">
        <w:rPr>
          <w:rFonts w:hint="eastAsia"/>
        </w:rPr>
        <w:t>巴西有一些</w:t>
      </w:r>
      <w:r w:rsidR="009056A6">
        <w:rPr>
          <w:rFonts w:hint="eastAsia"/>
        </w:rPr>
        <w:t>11-44-0</w:t>
      </w:r>
      <w:r w:rsidR="009056A6">
        <w:rPr>
          <w:rFonts w:hint="eastAsia"/>
        </w:rPr>
        <w:t>的小单贸易，阿根廷的</w:t>
      </w:r>
      <w:r w:rsidR="009056A6">
        <w:rPr>
          <w:rFonts w:hint="eastAsia"/>
        </w:rPr>
        <w:t>DAP</w:t>
      </w:r>
      <w:r w:rsidR="009056A6">
        <w:rPr>
          <w:rFonts w:hint="eastAsia"/>
        </w:rPr>
        <w:t>销售，美国港口的驳船交易，立陶宛出售到土耳其的一批磷肥。土耳其市场展现出一定的强势，因为本周立陶宛的一大批</w:t>
      </w:r>
      <w:r w:rsidR="009056A6">
        <w:rPr>
          <w:rFonts w:hint="eastAsia"/>
        </w:rPr>
        <w:t>DAP</w:t>
      </w:r>
      <w:r w:rsidR="009056A6">
        <w:rPr>
          <w:rFonts w:hint="eastAsia"/>
        </w:rPr>
        <w:t>到港，价格在</w:t>
      </w:r>
      <w:r w:rsidR="009056A6">
        <w:rPr>
          <w:rFonts w:hint="eastAsia"/>
        </w:rPr>
        <w:t>500</w:t>
      </w:r>
      <w:r w:rsidR="009056A6">
        <w:rPr>
          <w:rFonts w:hint="eastAsia"/>
        </w:rPr>
        <w:t>美元</w:t>
      </w:r>
      <w:r w:rsidR="009056A6">
        <w:rPr>
          <w:rFonts w:hint="eastAsia"/>
        </w:rPr>
        <w:t>/</w:t>
      </w:r>
      <w:r w:rsidR="009056A6">
        <w:rPr>
          <w:rFonts w:hint="eastAsia"/>
        </w:rPr>
        <w:t>吨</w:t>
      </w:r>
      <w:r w:rsidR="009056A6">
        <w:rPr>
          <w:rFonts w:hint="eastAsia"/>
        </w:rPr>
        <w:t xml:space="preserve"> </w:t>
      </w:r>
      <w:proofErr w:type="spellStart"/>
      <w:r w:rsidR="009056A6">
        <w:rPr>
          <w:rFonts w:hint="eastAsia"/>
        </w:rPr>
        <w:t>cfr</w:t>
      </w:r>
      <w:proofErr w:type="spellEnd"/>
      <w:r w:rsidR="009056A6">
        <w:rPr>
          <w:rFonts w:hint="eastAsia"/>
        </w:rPr>
        <w:t>。</w:t>
      </w:r>
    </w:p>
    <w:p w:rsidR="009056A6" w:rsidRDefault="009056A6" w:rsidP="00D93DF4">
      <w:pPr>
        <w:spacing w:line="360" w:lineRule="auto"/>
        <w:ind w:firstLineChars="200" w:firstLine="560"/>
      </w:pPr>
      <w:r>
        <w:rPr>
          <w:rFonts w:hint="eastAsia"/>
        </w:rPr>
        <w:t>然而东方国家磷肥市场低迷，主要是由于巴基斯坦和印度买方市场近几周都</w:t>
      </w:r>
      <w:proofErr w:type="gramStart"/>
      <w:r>
        <w:rPr>
          <w:rFonts w:hint="eastAsia"/>
        </w:rPr>
        <w:t>忙于国</w:t>
      </w:r>
      <w:proofErr w:type="gramEnd"/>
      <w:r>
        <w:rPr>
          <w:rFonts w:hint="eastAsia"/>
        </w:rPr>
        <w:t>家里的一些活动。</w:t>
      </w:r>
    </w:p>
    <w:p w:rsidR="009056A6" w:rsidRDefault="00EF1C0D" w:rsidP="00D93DF4">
      <w:pPr>
        <w:spacing w:line="360" w:lineRule="auto"/>
        <w:ind w:firstLineChars="200" w:firstLine="560"/>
      </w:pPr>
      <w:r>
        <w:rPr>
          <w:rFonts w:hint="eastAsia"/>
        </w:rPr>
        <w:t>欧洲市场也是持续低落，预计将持续到本季度末。</w:t>
      </w:r>
    </w:p>
    <w:p w:rsidR="00EF1C0D" w:rsidRDefault="00EF1C0D" w:rsidP="00D93DF4">
      <w:pPr>
        <w:spacing w:line="360" w:lineRule="auto"/>
        <w:ind w:firstLineChars="200" w:firstLine="560"/>
      </w:pPr>
      <w:r>
        <w:rPr>
          <w:rFonts w:hint="eastAsia"/>
        </w:rPr>
        <w:t>中国很多生产商都开展年度设备维护，一定程度上限制了产品出口量。</w:t>
      </w:r>
    </w:p>
    <w:p w:rsidR="00EF1C0D" w:rsidRPr="007F186C" w:rsidRDefault="00EF1C0D" w:rsidP="00EF1C0D">
      <w:pPr>
        <w:spacing w:line="360" w:lineRule="auto"/>
        <w:rPr>
          <w:b/>
        </w:rPr>
      </w:pPr>
      <w:r w:rsidRPr="007F186C">
        <w:rPr>
          <w:rFonts w:hAnsi="宋体"/>
          <w:b/>
        </w:rPr>
        <w:t>五、磷肥买方市场</w:t>
      </w:r>
    </w:p>
    <w:p w:rsidR="00EF1C0D" w:rsidRDefault="00EF1C0D" w:rsidP="00EF1C0D">
      <w:pPr>
        <w:spacing w:line="360" w:lineRule="auto"/>
        <w:rPr>
          <w:rFonts w:hint="eastAsia"/>
          <w:b/>
        </w:rPr>
      </w:pPr>
      <w:r w:rsidRPr="007F186C">
        <w:rPr>
          <w:b/>
        </w:rPr>
        <w:t>1.</w:t>
      </w:r>
      <w:r w:rsidR="00900400">
        <w:rPr>
          <w:rFonts w:hint="eastAsia"/>
          <w:b/>
        </w:rPr>
        <w:t>印度</w:t>
      </w:r>
    </w:p>
    <w:p w:rsidR="00900400" w:rsidRDefault="00DD51B7" w:rsidP="00DD51B7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由于印度忙于准备下周的</w:t>
      </w:r>
      <w:r>
        <w:rPr>
          <w:rFonts w:hint="eastAsia"/>
        </w:rPr>
        <w:t>IFA</w:t>
      </w:r>
      <w:r>
        <w:rPr>
          <w:rFonts w:hint="eastAsia"/>
        </w:rPr>
        <w:t>年度会议，</w:t>
      </w:r>
      <w:r w:rsidRPr="00DD51B7">
        <w:rPr>
          <w:rFonts w:hint="eastAsia"/>
        </w:rPr>
        <w:t>本周没有</w:t>
      </w:r>
      <w:r>
        <w:rPr>
          <w:rFonts w:hint="eastAsia"/>
        </w:rPr>
        <w:t>DAP</w:t>
      </w:r>
      <w:r>
        <w:rPr>
          <w:rFonts w:hint="eastAsia"/>
        </w:rPr>
        <w:t>的贸易单交易。</w:t>
      </w:r>
    </w:p>
    <w:p w:rsidR="00DD51B7" w:rsidRDefault="00DD51B7" w:rsidP="00DD51B7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MMTC</w:t>
      </w:r>
      <w:r>
        <w:rPr>
          <w:rFonts w:hint="eastAsia"/>
        </w:rPr>
        <w:t>公司接到了来自</w:t>
      </w:r>
      <w:proofErr w:type="spellStart"/>
      <w:r>
        <w:rPr>
          <w:rFonts w:hint="eastAsia"/>
        </w:rPr>
        <w:t>Fertrade</w:t>
      </w:r>
      <w:proofErr w:type="spellEnd"/>
      <w:r>
        <w:rPr>
          <w:rFonts w:hint="eastAsia"/>
        </w:rPr>
        <w:t>公司的两份订单，价格在</w:t>
      </w:r>
      <w:r>
        <w:rPr>
          <w:rFonts w:hint="eastAsia"/>
        </w:rPr>
        <w:t>342.50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 w:rsidR="00D728B8">
        <w:rPr>
          <w:rFonts w:hint="eastAsia"/>
        </w:rPr>
        <w:t>。</w:t>
      </w:r>
    </w:p>
    <w:p w:rsidR="00D728B8" w:rsidRPr="00DD51B7" w:rsidRDefault="00D728B8" w:rsidP="00DD51B7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最新临时</w:t>
      </w:r>
      <w:r w:rsidR="00A90889">
        <w:rPr>
          <w:rFonts w:hint="eastAsia"/>
        </w:rPr>
        <w:t>固定资产投资</w:t>
      </w:r>
      <w:r>
        <w:rPr>
          <w:rFonts w:hint="eastAsia"/>
        </w:rPr>
        <w:t>数据显示四月份</w:t>
      </w:r>
      <w:r>
        <w:rPr>
          <w:rFonts w:hint="eastAsia"/>
        </w:rPr>
        <w:t>DAP</w:t>
      </w:r>
      <w:r w:rsidR="00A90889">
        <w:rPr>
          <w:rFonts w:hint="eastAsia"/>
        </w:rPr>
        <w:t>产品</w:t>
      </w:r>
      <w:r>
        <w:rPr>
          <w:rFonts w:hint="eastAsia"/>
        </w:rPr>
        <w:t>产量是</w:t>
      </w:r>
      <w:r>
        <w:rPr>
          <w:rFonts w:hint="eastAsia"/>
        </w:rPr>
        <w:t>14.65</w:t>
      </w:r>
      <w:r>
        <w:rPr>
          <w:rFonts w:hint="eastAsia"/>
        </w:rPr>
        <w:t>万吨，</w:t>
      </w:r>
      <w:r w:rsidR="00A90889">
        <w:rPr>
          <w:rFonts w:hint="eastAsia"/>
        </w:rPr>
        <w:t>三月份产量是</w:t>
      </w:r>
      <w:r w:rsidR="00A90889">
        <w:rPr>
          <w:rFonts w:hint="eastAsia"/>
        </w:rPr>
        <w:t>36.13</w:t>
      </w:r>
      <w:r w:rsidR="00A90889">
        <w:rPr>
          <w:rFonts w:hint="eastAsia"/>
        </w:rPr>
        <w:t>万吨</w:t>
      </w:r>
      <w:r w:rsidR="00DC613A">
        <w:rPr>
          <w:rFonts w:hint="eastAsia"/>
        </w:rPr>
        <w:t>；</w:t>
      </w:r>
      <w:r w:rsidR="00A90889">
        <w:rPr>
          <w:rFonts w:hint="eastAsia"/>
        </w:rPr>
        <w:t>四月份进口量是</w:t>
      </w:r>
      <w:r w:rsidR="00A90889">
        <w:rPr>
          <w:rFonts w:hint="eastAsia"/>
        </w:rPr>
        <w:t>51.9</w:t>
      </w:r>
      <w:r w:rsidR="00A90889">
        <w:rPr>
          <w:rFonts w:hint="eastAsia"/>
        </w:rPr>
        <w:t>万吨，三月份</w:t>
      </w:r>
      <w:r w:rsidR="00A90889">
        <w:rPr>
          <w:rFonts w:hint="eastAsia"/>
        </w:rPr>
        <w:lastRenderedPageBreak/>
        <w:t>进口量</w:t>
      </w:r>
      <w:r w:rsidR="00A90889">
        <w:rPr>
          <w:rFonts w:hint="eastAsia"/>
        </w:rPr>
        <w:t>9.7</w:t>
      </w:r>
      <w:r w:rsidR="00A90889">
        <w:rPr>
          <w:rFonts w:hint="eastAsia"/>
        </w:rPr>
        <w:t>万吨</w:t>
      </w:r>
      <w:r w:rsidR="00DC613A">
        <w:rPr>
          <w:rFonts w:hint="eastAsia"/>
        </w:rPr>
        <w:t>；</w:t>
      </w:r>
      <w:r w:rsidR="00A90889">
        <w:rPr>
          <w:rFonts w:hint="eastAsia"/>
        </w:rPr>
        <w:t>四月份销售额</w:t>
      </w:r>
      <w:r w:rsidR="00A90889">
        <w:rPr>
          <w:rFonts w:hint="eastAsia"/>
        </w:rPr>
        <w:t>31.02</w:t>
      </w:r>
      <w:r w:rsidR="00A90889">
        <w:rPr>
          <w:rFonts w:hint="eastAsia"/>
        </w:rPr>
        <w:t>万吨，三月份的销售额是</w:t>
      </w:r>
      <w:r w:rsidR="00A90889">
        <w:rPr>
          <w:rFonts w:hint="eastAsia"/>
        </w:rPr>
        <w:t>75.5</w:t>
      </w:r>
      <w:r w:rsidR="00A90889">
        <w:rPr>
          <w:rFonts w:hint="eastAsia"/>
        </w:rPr>
        <w:t>万吨。</w:t>
      </w:r>
      <w:r w:rsidR="00DC613A">
        <w:rPr>
          <w:rFonts w:hint="eastAsia"/>
        </w:rPr>
        <w:t>复合肥四月份的产量是</w:t>
      </w:r>
      <w:r w:rsidR="00DC613A">
        <w:rPr>
          <w:rFonts w:hint="eastAsia"/>
        </w:rPr>
        <w:t>49.13</w:t>
      </w:r>
      <w:r w:rsidR="00DC613A">
        <w:rPr>
          <w:rFonts w:hint="eastAsia"/>
        </w:rPr>
        <w:t>万吨，三月份是</w:t>
      </w:r>
      <w:r w:rsidR="00DC613A">
        <w:rPr>
          <w:rFonts w:hint="eastAsia"/>
        </w:rPr>
        <w:t>49.9</w:t>
      </w:r>
      <w:r w:rsidR="00DC613A">
        <w:rPr>
          <w:rFonts w:hint="eastAsia"/>
        </w:rPr>
        <w:t>万吨；四月份进口量是</w:t>
      </w:r>
      <w:r w:rsidR="00DC613A">
        <w:rPr>
          <w:rFonts w:hint="eastAsia"/>
        </w:rPr>
        <w:t>14</w:t>
      </w:r>
      <w:r w:rsidR="00DC613A">
        <w:rPr>
          <w:rFonts w:hint="eastAsia"/>
        </w:rPr>
        <w:t>万吨，三月份无进口；四月份的销售额是</w:t>
      </w:r>
      <w:r w:rsidR="00DC613A">
        <w:rPr>
          <w:rFonts w:hint="eastAsia"/>
        </w:rPr>
        <w:t>23.45</w:t>
      </w:r>
      <w:r w:rsidR="00DC613A">
        <w:rPr>
          <w:rFonts w:hint="eastAsia"/>
        </w:rPr>
        <w:t>万吨，三月份的销售额是</w:t>
      </w:r>
      <w:r w:rsidR="00DC613A">
        <w:rPr>
          <w:rFonts w:hint="eastAsia"/>
        </w:rPr>
        <w:t>92.2</w:t>
      </w:r>
      <w:r w:rsidR="00DC613A">
        <w:rPr>
          <w:rFonts w:hint="eastAsia"/>
        </w:rPr>
        <w:t>万吨。</w:t>
      </w:r>
    </w:p>
    <w:p w:rsidR="003E79F0" w:rsidRPr="00DC613A" w:rsidRDefault="003E79F0" w:rsidP="003E79F0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越南</w:t>
      </w:r>
    </w:p>
    <w:p w:rsidR="00900400" w:rsidRDefault="003E79F0" w:rsidP="003E79F0">
      <w:pPr>
        <w:spacing w:line="360" w:lineRule="auto"/>
        <w:ind w:firstLineChars="200" w:firstLine="560"/>
        <w:rPr>
          <w:rFonts w:hint="eastAsia"/>
        </w:rPr>
      </w:pPr>
      <w:r w:rsidRPr="003E79F0">
        <w:rPr>
          <w:rFonts w:hint="eastAsia"/>
        </w:rPr>
        <w:t>深褐色的中国</w:t>
      </w:r>
      <w:r w:rsidRPr="003E79F0">
        <w:rPr>
          <w:rFonts w:hint="eastAsia"/>
        </w:rPr>
        <w:t>DAP</w:t>
      </w:r>
      <w:r>
        <w:rPr>
          <w:rFonts w:hint="eastAsia"/>
        </w:rPr>
        <w:t>近期买卖价格在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。一些进口商声称边境贸易的价格可以更低，买家看不到市场价格的潜力也就不再追求更低的价格。</w:t>
      </w:r>
    </w:p>
    <w:p w:rsidR="003E79F0" w:rsidRPr="003E79F0" w:rsidRDefault="00EA3D35" w:rsidP="003E79F0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四</w:t>
      </w:r>
      <w:r w:rsidR="003E79F0">
        <w:rPr>
          <w:rFonts w:hint="eastAsia"/>
        </w:rPr>
        <w:t>份的</w:t>
      </w:r>
      <w:r w:rsidR="003E79F0">
        <w:rPr>
          <w:rFonts w:hint="eastAsia"/>
        </w:rPr>
        <w:t>DAP</w:t>
      </w:r>
      <w:r w:rsidR="003E79F0">
        <w:rPr>
          <w:rFonts w:hint="eastAsia"/>
        </w:rPr>
        <w:t>进口量在</w:t>
      </w:r>
      <w:r w:rsidR="003E79F0">
        <w:rPr>
          <w:rFonts w:hint="eastAsia"/>
        </w:rPr>
        <w:t>7.7</w:t>
      </w:r>
      <w:r>
        <w:rPr>
          <w:rFonts w:hint="eastAsia"/>
        </w:rPr>
        <w:t>万吨，比上月的</w:t>
      </w:r>
      <w:r>
        <w:rPr>
          <w:rFonts w:hint="eastAsia"/>
        </w:rPr>
        <w:t>7.68</w:t>
      </w:r>
      <w:r>
        <w:rPr>
          <w:rFonts w:hint="eastAsia"/>
        </w:rPr>
        <w:t>万吨稍微提升。</w:t>
      </w:r>
    </w:p>
    <w:p w:rsidR="00900400" w:rsidRDefault="00EA3D35" w:rsidP="00EF1C0D">
      <w:pPr>
        <w:spacing w:line="360" w:lineRule="auto"/>
        <w:rPr>
          <w:rFonts w:hint="eastAsia"/>
          <w:b/>
        </w:rPr>
      </w:pPr>
      <w:r w:rsidRPr="00EA3D35">
        <w:rPr>
          <w:rFonts w:hint="eastAsia"/>
          <w:b/>
        </w:rPr>
        <w:t>3.</w:t>
      </w:r>
      <w:r w:rsidRPr="00EA3D35">
        <w:rPr>
          <w:rFonts w:hint="eastAsia"/>
          <w:b/>
        </w:rPr>
        <w:t>美国</w:t>
      </w:r>
    </w:p>
    <w:p w:rsidR="00EA3D35" w:rsidRDefault="00B00213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Mosaic</w:t>
      </w:r>
      <w:r>
        <w:rPr>
          <w:rFonts w:hint="eastAsia"/>
        </w:rPr>
        <w:t>公司本周已经售出好几船的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425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B00213" w:rsidRDefault="00B00213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据报道，美国港口七月份的驳船价格已经小幅度上涨到了</w:t>
      </w:r>
      <w:r>
        <w:rPr>
          <w:rFonts w:hint="eastAsia"/>
        </w:rPr>
        <w:t>430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吨，但是这个价格并没有达到。</w:t>
      </w:r>
    </w:p>
    <w:p w:rsidR="00B00213" w:rsidRDefault="00B00213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GMAP</w:t>
      </w:r>
      <w:r>
        <w:rPr>
          <w:rFonts w:hint="eastAsia"/>
        </w:rPr>
        <w:t>的售出价格比</w:t>
      </w:r>
      <w:r>
        <w:rPr>
          <w:rFonts w:hint="eastAsia"/>
        </w:rPr>
        <w:t>DAP</w:t>
      </w:r>
      <w:r>
        <w:rPr>
          <w:rFonts w:hint="eastAsia"/>
        </w:rPr>
        <w:t>的高出</w:t>
      </w:r>
      <w:r>
        <w:rPr>
          <w:rFonts w:hint="eastAsia"/>
        </w:rPr>
        <w:t>10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B00213" w:rsidRDefault="00B00213" w:rsidP="00B00213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美国中西部和河流港口库存较低。</w:t>
      </w:r>
    </w:p>
    <w:p w:rsidR="00B00213" w:rsidRPr="00B00213" w:rsidRDefault="00B00213" w:rsidP="00B00213">
      <w:pPr>
        <w:spacing w:line="360" w:lineRule="auto"/>
        <w:rPr>
          <w:rFonts w:hint="eastAsia"/>
          <w:b/>
        </w:rPr>
      </w:pPr>
      <w:r w:rsidRPr="00B00213">
        <w:rPr>
          <w:rFonts w:hint="eastAsia"/>
          <w:b/>
        </w:rPr>
        <w:t>4.</w:t>
      </w:r>
      <w:r w:rsidRPr="00B00213">
        <w:rPr>
          <w:rFonts w:hint="eastAsia"/>
          <w:b/>
        </w:rPr>
        <w:t>阿根廷</w:t>
      </w:r>
    </w:p>
    <w:p w:rsidR="00EA3D35" w:rsidRDefault="00B00213" w:rsidP="00EA3D35">
      <w:pPr>
        <w:spacing w:line="360" w:lineRule="auto"/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EuroChem</w:t>
      </w:r>
      <w:proofErr w:type="spellEnd"/>
      <w:r>
        <w:rPr>
          <w:rFonts w:hint="eastAsia"/>
        </w:rPr>
        <w:t>公司卖了</w:t>
      </w:r>
      <w:r>
        <w:rPr>
          <w:rFonts w:hint="eastAsia"/>
        </w:rPr>
        <w:t>1-1.5</w:t>
      </w:r>
      <w:r>
        <w:rPr>
          <w:rFonts w:hint="eastAsia"/>
        </w:rPr>
        <w:t>万吨的磷肥给</w:t>
      </w:r>
      <w:proofErr w:type="spellStart"/>
      <w:r>
        <w:rPr>
          <w:rFonts w:hint="eastAsia"/>
        </w:rPr>
        <w:t>Nitron</w:t>
      </w:r>
      <w:proofErr w:type="spellEnd"/>
      <w:r>
        <w:rPr>
          <w:rFonts w:hint="eastAsia"/>
        </w:rPr>
        <w:t>，价格在</w:t>
      </w:r>
      <w:r>
        <w:rPr>
          <w:rFonts w:hint="eastAsia"/>
        </w:rPr>
        <w:t>480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B00213" w:rsidRPr="00B00213" w:rsidRDefault="00B00213" w:rsidP="00B00213">
      <w:pPr>
        <w:spacing w:line="360" w:lineRule="auto"/>
        <w:rPr>
          <w:rFonts w:hint="eastAsia"/>
          <w:b/>
        </w:rPr>
      </w:pPr>
      <w:r w:rsidRPr="00B00213">
        <w:rPr>
          <w:rFonts w:hint="eastAsia"/>
          <w:b/>
        </w:rPr>
        <w:t>5.</w:t>
      </w:r>
      <w:r w:rsidRPr="00B00213">
        <w:rPr>
          <w:rFonts w:hint="eastAsia"/>
          <w:b/>
        </w:rPr>
        <w:t>巴西</w:t>
      </w:r>
    </w:p>
    <w:p w:rsidR="00EA3D35" w:rsidRPr="00EA3D35" w:rsidRDefault="00B00213" w:rsidP="00EA3D35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有报道称，</w:t>
      </w:r>
      <w:r w:rsidR="0049141E">
        <w:rPr>
          <w:rFonts w:hint="eastAsia"/>
        </w:rPr>
        <w:t>本周的</w:t>
      </w:r>
      <w:r w:rsidR="0049141E">
        <w:rPr>
          <w:rFonts w:hint="eastAsia"/>
        </w:rPr>
        <w:t>MAP 11-52-0</w:t>
      </w:r>
      <w:r w:rsidR="0049141E">
        <w:rPr>
          <w:rFonts w:hint="eastAsia"/>
        </w:rPr>
        <w:t>的价格区间</w:t>
      </w:r>
      <w:r w:rsidR="0049141E">
        <w:rPr>
          <w:rFonts w:hint="eastAsia"/>
        </w:rPr>
        <w:t>495-505</w:t>
      </w:r>
      <w:r w:rsidR="0049141E">
        <w:rPr>
          <w:rFonts w:hint="eastAsia"/>
        </w:rPr>
        <w:t>美元</w:t>
      </w:r>
      <w:r w:rsidR="0049141E">
        <w:rPr>
          <w:rFonts w:hint="eastAsia"/>
        </w:rPr>
        <w:t>/</w:t>
      </w:r>
      <w:r w:rsidR="0049141E">
        <w:rPr>
          <w:rFonts w:hint="eastAsia"/>
        </w:rPr>
        <w:t>吨</w:t>
      </w:r>
      <w:r w:rsidR="0049141E">
        <w:rPr>
          <w:rFonts w:hint="eastAsia"/>
        </w:rPr>
        <w:t xml:space="preserve"> </w:t>
      </w:r>
      <w:proofErr w:type="spellStart"/>
      <w:r w:rsidR="0049141E">
        <w:rPr>
          <w:rFonts w:hint="eastAsia"/>
        </w:rPr>
        <w:t>cfr</w:t>
      </w:r>
      <w:proofErr w:type="spellEnd"/>
      <w:r w:rsidR="0049141E">
        <w:rPr>
          <w:rFonts w:hint="eastAsia"/>
        </w:rPr>
        <w:t>，甚至有达到</w:t>
      </w:r>
      <w:r w:rsidR="0049141E">
        <w:rPr>
          <w:rFonts w:hint="eastAsia"/>
        </w:rPr>
        <w:t>510</w:t>
      </w:r>
      <w:r w:rsidR="0049141E">
        <w:rPr>
          <w:rFonts w:hint="eastAsia"/>
        </w:rPr>
        <w:t>美元</w:t>
      </w:r>
      <w:r w:rsidR="0049141E">
        <w:rPr>
          <w:rFonts w:hint="eastAsia"/>
        </w:rPr>
        <w:t>/</w:t>
      </w:r>
      <w:r w:rsidR="0049141E">
        <w:rPr>
          <w:rFonts w:hint="eastAsia"/>
        </w:rPr>
        <w:t>吨，但是并没有交易完成被报道了。</w:t>
      </w:r>
    </w:p>
    <w:p w:rsidR="00EA3D35" w:rsidRDefault="0049141E" w:rsidP="00EA3D35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Koch</w:t>
      </w:r>
      <w:r>
        <w:rPr>
          <w:rFonts w:hint="eastAsia"/>
        </w:rPr>
        <w:t>卖了一小批的</w:t>
      </w:r>
      <w:r>
        <w:rPr>
          <w:rFonts w:hint="eastAsia"/>
        </w:rPr>
        <w:t>11-44-0</w:t>
      </w:r>
      <w:r>
        <w:rPr>
          <w:rFonts w:hint="eastAsia"/>
        </w:rPr>
        <w:t>给巴西买家，价格在</w:t>
      </w:r>
      <w:r>
        <w:rPr>
          <w:rFonts w:hint="eastAsia"/>
        </w:rPr>
        <w:t>390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49141E" w:rsidRPr="007F186C" w:rsidRDefault="0049141E" w:rsidP="0049141E">
      <w:pPr>
        <w:pStyle w:val="tgt"/>
        <w:widowControl w:val="0"/>
        <w:shd w:val="clear" w:color="auto" w:fill="FAFAFA"/>
        <w:adjustRightInd w:val="0"/>
        <w:snapToGrid w:val="0"/>
        <w:spacing w:before="0" w:beforeAutospacing="0" w:after="96" w:afterAutospacing="0" w:line="360" w:lineRule="auto"/>
        <w:rPr>
          <w:rFonts w:ascii="Times New Roman" w:hAnsi="Times New Roman" w:cs="Times New Roman"/>
          <w:b/>
          <w:color w:val="000000"/>
        </w:rPr>
      </w:pPr>
      <w:r w:rsidRPr="007F186C">
        <w:rPr>
          <w:rFonts w:ascii="Times New Roman" w:cs="Times New Roman"/>
          <w:b/>
          <w:color w:val="000000"/>
        </w:rPr>
        <w:lastRenderedPageBreak/>
        <w:t>六、磷肥卖方市场</w:t>
      </w:r>
    </w:p>
    <w:p w:rsidR="0049141E" w:rsidRPr="007F186C" w:rsidRDefault="0049141E" w:rsidP="0049141E">
      <w:pPr>
        <w:adjustRightInd w:val="0"/>
        <w:snapToGrid w:val="0"/>
        <w:spacing w:line="360" w:lineRule="auto"/>
        <w:rPr>
          <w:b/>
        </w:rPr>
      </w:pPr>
      <w:r w:rsidRPr="007F186C">
        <w:rPr>
          <w:b/>
        </w:rPr>
        <w:t>1.</w:t>
      </w:r>
      <w:r>
        <w:rPr>
          <w:rFonts w:hAnsi="宋体" w:hint="eastAsia"/>
          <w:b/>
        </w:rPr>
        <w:t>立陶宛</w:t>
      </w:r>
    </w:p>
    <w:p w:rsidR="0049141E" w:rsidRDefault="0049141E" w:rsidP="0049141E">
      <w:pPr>
        <w:spacing w:line="360" w:lineRule="auto"/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EuroChem</w:t>
      </w:r>
      <w:proofErr w:type="spellEnd"/>
      <w:r>
        <w:rPr>
          <w:rFonts w:hint="eastAsia"/>
        </w:rPr>
        <w:t>公司出售了</w:t>
      </w:r>
      <w:r>
        <w:rPr>
          <w:rFonts w:hint="eastAsia"/>
        </w:rPr>
        <w:t>2.5-3</w:t>
      </w:r>
      <w:r>
        <w:rPr>
          <w:rFonts w:hint="eastAsia"/>
        </w:rPr>
        <w:t>万吨</w:t>
      </w:r>
      <w:proofErr w:type="spellStart"/>
      <w:r>
        <w:rPr>
          <w:rFonts w:hint="eastAsia"/>
        </w:rPr>
        <w:t>Lifosa</w:t>
      </w:r>
      <w:proofErr w:type="spellEnd"/>
      <w:r>
        <w:rPr>
          <w:rFonts w:hint="eastAsia"/>
        </w:rPr>
        <w:t xml:space="preserve"> DAP</w:t>
      </w:r>
      <w:r>
        <w:rPr>
          <w:rFonts w:hint="eastAsia"/>
        </w:rPr>
        <w:t>给土耳其，价格至少在</w:t>
      </w:r>
      <w:r>
        <w:rPr>
          <w:rFonts w:hint="eastAsia"/>
        </w:rPr>
        <w:t>485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，运费预计在</w:t>
      </w:r>
      <w:r>
        <w:rPr>
          <w:rFonts w:hint="eastAsia"/>
        </w:rPr>
        <w:t>20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49141E" w:rsidRDefault="0049141E" w:rsidP="0049141E">
      <w:pPr>
        <w:spacing w:line="360" w:lineRule="auto"/>
        <w:rPr>
          <w:rFonts w:hint="eastAsia"/>
          <w:b/>
        </w:rPr>
      </w:pPr>
      <w:r w:rsidRPr="0049141E">
        <w:rPr>
          <w:rFonts w:hint="eastAsia"/>
          <w:b/>
        </w:rPr>
        <w:t>2.</w:t>
      </w:r>
      <w:r w:rsidRPr="0049141E">
        <w:rPr>
          <w:rFonts w:hint="eastAsia"/>
          <w:b/>
        </w:rPr>
        <w:t>俄罗斯</w:t>
      </w:r>
    </w:p>
    <w:p w:rsidR="0049141E" w:rsidRPr="0049141E" w:rsidRDefault="0049141E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年第一季度</w:t>
      </w:r>
      <w:proofErr w:type="spellStart"/>
      <w:r>
        <w:rPr>
          <w:rFonts w:hint="eastAsia"/>
        </w:rPr>
        <w:t>EuroChem</w:t>
      </w:r>
      <w:proofErr w:type="spellEnd"/>
      <w:r>
        <w:rPr>
          <w:rFonts w:hint="eastAsia"/>
        </w:rPr>
        <w:t>公司</w:t>
      </w:r>
      <w:r w:rsidR="00FF4669">
        <w:rPr>
          <w:rFonts w:hint="eastAsia"/>
        </w:rPr>
        <w:t>卖出</w:t>
      </w:r>
      <w:r w:rsidR="00FF4669">
        <w:rPr>
          <w:rFonts w:hint="eastAsia"/>
        </w:rPr>
        <w:t>DAP/MAP 50.1</w:t>
      </w:r>
      <w:r w:rsidR="00FF4669">
        <w:rPr>
          <w:rFonts w:hint="eastAsia"/>
        </w:rPr>
        <w:t>万吨，去年一季度卖出</w:t>
      </w:r>
      <w:r w:rsidR="00FF4669">
        <w:rPr>
          <w:rFonts w:hint="eastAsia"/>
        </w:rPr>
        <w:t>50.8</w:t>
      </w:r>
      <w:r w:rsidR="00FF4669">
        <w:rPr>
          <w:rFonts w:hint="eastAsia"/>
        </w:rPr>
        <w:t>万吨。卖出复合肥</w:t>
      </w:r>
      <w:r w:rsidR="00FF4669">
        <w:rPr>
          <w:rFonts w:hint="eastAsia"/>
        </w:rPr>
        <w:t>50.2</w:t>
      </w:r>
      <w:r w:rsidR="00FF4669">
        <w:rPr>
          <w:rFonts w:hint="eastAsia"/>
        </w:rPr>
        <w:t>万吨，去年一季度卖出</w:t>
      </w:r>
      <w:r w:rsidR="00FF4669">
        <w:rPr>
          <w:rFonts w:hint="eastAsia"/>
        </w:rPr>
        <w:t>49.1</w:t>
      </w:r>
      <w:r w:rsidR="00FF4669">
        <w:rPr>
          <w:rFonts w:hint="eastAsia"/>
        </w:rPr>
        <w:t>万吨。</w:t>
      </w:r>
    </w:p>
    <w:p w:rsidR="0049141E" w:rsidRPr="00FF4669" w:rsidRDefault="00FF4669" w:rsidP="00FF4669">
      <w:pPr>
        <w:spacing w:line="360" w:lineRule="auto"/>
        <w:rPr>
          <w:rFonts w:hint="eastAsia"/>
          <w:b/>
        </w:rPr>
      </w:pPr>
      <w:r w:rsidRPr="00FF4669">
        <w:rPr>
          <w:rFonts w:hint="eastAsia"/>
          <w:b/>
        </w:rPr>
        <w:t>3.</w:t>
      </w:r>
      <w:r w:rsidRPr="00FF4669">
        <w:rPr>
          <w:rFonts w:hint="eastAsia"/>
          <w:b/>
        </w:rPr>
        <w:t>摩洛哥</w:t>
      </w:r>
    </w:p>
    <w:p w:rsidR="0049141E" w:rsidRDefault="00FF4669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上周报道，</w:t>
      </w:r>
      <w:r>
        <w:rPr>
          <w:rFonts w:hint="eastAsia"/>
        </w:rPr>
        <w:t>OCP</w:t>
      </w:r>
      <w:r>
        <w:rPr>
          <w:rFonts w:hint="eastAsia"/>
        </w:rPr>
        <w:t>公司还没有开始</w:t>
      </w:r>
      <w:r>
        <w:rPr>
          <w:rFonts w:hint="eastAsia"/>
        </w:rPr>
        <w:t>6</w:t>
      </w:r>
      <w:r>
        <w:rPr>
          <w:rFonts w:hint="eastAsia"/>
        </w:rPr>
        <w:t>月份的产品出售，上一笔在欧洲的交易，</w:t>
      </w:r>
      <w:r>
        <w:rPr>
          <w:rFonts w:hint="eastAsia"/>
        </w:rPr>
        <w:t>DAP</w:t>
      </w:r>
      <w:r>
        <w:rPr>
          <w:rFonts w:hint="eastAsia"/>
        </w:rPr>
        <w:t>价格是</w:t>
      </w:r>
      <w:r>
        <w:rPr>
          <w:rFonts w:hint="eastAsia"/>
        </w:rPr>
        <w:t>510-515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</w:t>
      </w:r>
      <w:r>
        <w:rPr>
          <w:rFonts w:hint="eastAsia"/>
        </w:rPr>
        <w:t>MAP</w:t>
      </w:r>
      <w:r>
        <w:rPr>
          <w:rFonts w:hint="eastAsia"/>
        </w:rPr>
        <w:t>价格是</w:t>
      </w:r>
      <w:r>
        <w:rPr>
          <w:rFonts w:hint="eastAsia"/>
        </w:rPr>
        <w:t>500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FF4669" w:rsidRPr="00FF4669" w:rsidRDefault="00FF4669" w:rsidP="00FF4669">
      <w:pPr>
        <w:spacing w:line="360" w:lineRule="auto"/>
        <w:rPr>
          <w:rFonts w:hint="eastAsia"/>
          <w:b/>
        </w:rPr>
      </w:pPr>
      <w:r w:rsidRPr="00FF4669">
        <w:rPr>
          <w:rFonts w:hint="eastAsia"/>
          <w:b/>
        </w:rPr>
        <w:t>4.</w:t>
      </w:r>
      <w:r w:rsidRPr="00FF4669">
        <w:rPr>
          <w:rFonts w:hint="eastAsia"/>
          <w:b/>
        </w:rPr>
        <w:t>约旦</w:t>
      </w:r>
    </w:p>
    <w:p w:rsidR="0049141E" w:rsidRDefault="00FF4669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DAP</w:t>
      </w:r>
      <w:r>
        <w:rPr>
          <w:rFonts w:hint="eastAsia"/>
        </w:rPr>
        <w:t>的价格主要在</w:t>
      </w:r>
      <w:r>
        <w:rPr>
          <w:rFonts w:hint="eastAsia"/>
        </w:rPr>
        <w:t>495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，但是并没有在这个价位的交易完成了。</w:t>
      </w:r>
      <w:r w:rsidR="003A7B09">
        <w:rPr>
          <w:rFonts w:hint="eastAsia"/>
        </w:rPr>
        <w:t>在没有</w:t>
      </w:r>
      <w:r w:rsidR="003A7B09">
        <w:rPr>
          <w:rFonts w:hint="eastAsia"/>
        </w:rPr>
        <w:t>GCT</w:t>
      </w:r>
      <w:r w:rsidR="003A7B09">
        <w:rPr>
          <w:rFonts w:hint="eastAsia"/>
        </w:rPr>
        <w:t>在突尼斯竞争的情况下，</w:t>
      </w:r>
      <w:r w:rsidR="003A7B09">
        <w:rPr>
          <w:rFonts w:hint="eastAsia"/>
        </w:rPr>
        <w:t>JPMC</w:t>
      </w:r>
      <w:r w:rsidR="003A7B09">
        <w:rPr>
          <w:rFonts w:hint="eastAsia"/>
        </w:rPr>
        <w:t>在土耳其</w:t>
      </w:r>
      <w:r w:rsidR="003A7B09">
        <w:rPr>
          <w:rFonts w:hint="eastAsia"/>
        </w:rPr>
        <w:t>DAP</w:t>
      </w:r>
      <w:r w:rsidR="003A7B09">
        <w:rPr>
          <w:rFonts w:hint="eastAsia"/>
        </w:rPr>
        <w:t>市场展现出比较有潜力。</w:t>
      </w:r>
    </w:p>
    <w:p w:rsidR="003A7B09" w:rsidRPr="003A7B09" w:rsidRDefault="003A7B09" w:rsidP="003A7B09">
      <w:pPr>
        <w:spacing w:line="360" w:lineRule="auto"/>
        <w:rPr>
          <w:rFonts w:hint="eastAsia"/>
          <w:b/>
        </w:rPr>
      </w:pPr>
      <w:r w:rsidRPr="003A7B09">
        <w:rPr>
          <w:rFonts w:hint="eastAsia"/>
          <w:b/>
        </w:rPr>
        <w:t>5.</w:t>
      </w:r>
      <w:r w:rsidRPr="003A7B09">
        <w:rPr>
          <w:rFonts w:hint="eastAsia"/>
          <w:b/>
        </w:rPr>
        <w:t>中国</w:t>
      </w:r>
    </w:p>
    <w:p w:rsidR="0049141E" w:rsidRDefault="003A7B09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据报道，本周瓮福和</w:t>
      </w:r>
      <w:r>
        <w:rPr>
          <w:rFonts w:hint="eastAsia"/>
        </w:rPr>
        <w:t>YUC</w:t>
      </w:r>
      <w:r>
        <w:rPr>
          <w:rFonts w:hint="eastAsia"/>
        </w:rPr>
        <w:t>都没有磷肥出口。</w:t>
      </w:r>
    </w:p>
    <w:p w:rsidR="003A7B09" w:rsidRDefault="003A7B09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瓮福在本周开启两个四月份例行维护的磷肥生产设备。</w:t>
      </w:r>
      <w:r>
        <w:rPr>
          <w:rFonts w:hint="eastAsia"/>
        </w:rPr>
        <w:t>YUC</w:t>
      </w:r>
      <w:r>
        <w:rPr>
          <w:rFonts w:hint="eastAsia"/>
        </w:rPr>
        <w:t>计划开始例行设备维护，将减少出口量，直到</w:t>
      </w:r>
      <w:r>
        <w:rPr>
          <w:rFonts w:hint="eastAsia"/>
        </w:rPr>
        <w:t>6</w:t>
      </w:r>
      <w:r>
        <w:rPr>
          <w:rFonts w:hint="eastAsia"/>
        </w:rPr>
        <w:t>月底。</w:t>
      </w:r>
    </w:p>
    <w:p w:rsidR="003A7B09" w:rsidRDefault="003A7B09" w:rsidP="003A7B09">
      <w:pPr>
        <w:spacing w:line="360" w:lineRule="auto"/>
        <w:rPr>
          <w:rFonts w:hint="eastAsia"/>
          <w:b/>
        </w:rPr>
      </w:pPr>
      <w:r w:rsidRPr="003A7B09">
        <w:rPr>
          <w:rFonts w:hint="eastAsia"/>
          <w:b/>
        </w:rPr>
        <w:t>6.</w:t>
      </w:r>
      <w:r w:rsidRPr="003A7B09">
        <w:rPr>
          <w:rFonts w:hint="eastAsia"/>
          <w:b/>
        </w:rPr>
        <w:t>美国</w:t>
      </w:r>
    </w:p>
    <w:p w:rsidR="003A7B09" w:rsidRDefault="003A7B09" w:rsidP="003A7B09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Mosaic</w:t>
      </w:r>
      <w:r>
        <w:rPr>
          <w:rFonts w:hint="eastAsia"/>
        </w:rPr>
        <w:t>公司销往拉丁美洲的</w:t>
      </w:r>
      <w:r>
        <w:rPr>
          <w:rFonts w:hint="eastAsia"/>
        </w:rPr>
        <w:t>3</w:t>
      </w:r>
      <w:r>
        <w:rPr>
          <w:rFonts w:hint="eastAsia"/>
        </w:rPr>
        <w:t>万吨</w:t>
      </w:r>
      <w:r>
        <w:rPr>
          <w:rFonts w:hint="eastAsia"/>
        </w:rPr>
        <w:t>DAP/MAP</w:t>
      </w:r>
      <w:r>
        <w:rPr>
          <w:rFonts w:hint="eastAsia"/>
        </w:rPr>
        <w:t>价格在</w:t>
      </w:r>
      <w:r>
        <w:rPr>
          <w:rFonts w:hint="eastAsia"/>
        </w:rPr>
        <w:t>474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lastRenderedPageBreak/>
        <w:t>吨</w:t>
      </w:r>
      <w:r>
        <w:rPr>
          <w:rFonts w:hint="eastAsia"/>
        </w:rPr>
        <w:t xml:space="preserve"> fob</w:t>
      </w:r>
      <w:r>
        <w:rPr>
          <w:rFonts w:hint="eastAsia"/>
        </w:rPr>
        <w:t>，六七月份装运。</w:t>
      </w:r>
    </w:p>
    <w:p w:rsidR="003A7B09" w:rsidRPr="00212971" w:rsidRDefault="003A7B09" w:rsidP="003A7B09">
      <w:pPr>
        <w:spacing w:line="220" w:lineRule="atLeast"/>
        <w:rPr>
          <w:rFonts w:hint="eastAsia"/>
          <w:b/>
        </w:rPr>
      </w:pPr>
      <w:r w:rsidRPr="00212971">
        <w:rPr>
          <w:rFonts w:hint="eastAsia"/>
          <w:b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5A33F7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8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616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594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6</w:t>
            </w:r>
            <w:r w:rsidR="005A33F7">
              <w:rPr>
                <w:rFonts w:hint="eastAs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74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11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660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585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6</w:t>
            </w:r>
            <w:r w:rsidR="005A33F7">
              <w:rPr>
                <w:rFonts w:hint="eastAs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78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12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731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583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6</w:t>
            </w:r>
            <w:r w:rsidR="005A33F7">
              <w:rPr>
                <w:rFonts w:hint="eastAs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89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942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584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6</w:t>
            </w:r>
            <w:r w:rsidR="005A33F7">
              <w:rPr>
                <w:rFonts w:hint="eastAs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634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14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972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6</w:t>
            </w:r>
            <w:r w:rsidR="005A33F7">
              <w:rPr>
                <w:rFonts w:hint="eastAs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5A33F7" w:rsidP="00BA42DD">
            <w:pPr>
              <w:spacing w:line="220" w:lineRule="atLeast"/>
            </w:pPr>
            <w:r>
              <w:rPr>
                <w:rFonts w:hint="eastAsia"/>
              </w:rPr>
              <w:t>637</w:t>
            </w:r>
          </w:p>
        </w:tc>
      </w:tr>
    </w:tbl>
    <w:p w:rsidR="003A7B09" w:rsidRPr="00212971" w:rsidRDefault="003A7B09" w:rsidP="003A7B09">
      <w:pPr>
        <w:spacing w:line="220" w:lineRule="atLeast"/>
        <w:rPr>
          <w:b/>
        </w:rPr>
      </w:pPr>
      <w:r w:rsidRPr="00212971">
        <w:rPr>
          <w:rFonts w:hint="eastAsia"/>
          <w:b/>
        </w:rPr>
        <w:t>八、农业</w:t>
      </w:r>
      <w:r w:rsidRPr="00212971">
        <w:rPr>
          <w:rFonts w:hint="eastAsia"/>
          <w:b/>
        </w:rPr>
        <w:t>/</w:t>
      </w:r>
      <w:r w:rsidRPr="00212971">
        <w:rPr>
          <w:rFonts w:hint="eastAsia"/>
          <w:b/>
        </w:rPr>
        <w:t>农作物</w:t>
      </w:r>
    </w:p>
    <w:p w:rsidR="003A7B09" w:rsidRPr="00212971" w:rsidRDefault="003A7B09" w:rsidP="003A7B09">
      <w:pPr>
        <w:spacing w:line="220" w:lineRule="atLeast"/>
        <w:rPr>
          <w:rFonts w:hint="eastAsia"/>
        </w:rPr>
      </w:pPr>
      <w:r w:rsidRPr="00212971">
        <w:rPr>
          <w:rFonts w:hint="eastAsia"/>
        </w:rPr>
        <w:t>1.</w:t>
      </w:r>
      <w:r w:rsidRPr="00212971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A7B09" w:rsidRPr="00212971" w:rsidTr="00BA42D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5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 w:rsidRPr="00212971">
              <w:rPr>
                <w:rFonts w:hint="eastAsia"/>
                <w:b/>
              </w:rPr>
              <w:t>3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3</w:t>
            </w:r>
            <w:r w:rsidR="005A33F7">
              <w:rPr>
                <w:rFonts w:hint="eastAsia"/>
              </w:rPr>
              <w:t>62</w:t>
            </w:r>
            <w:r w:rsidRPr="00212971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>
              <w:rPr>
                <w:rFonts w:hint="eastAsia"/>
              </w:rPr>
              <w:t>+</w:t>
            </w:r>
            <w:r w:rsidR="005A33F7">
              <w:rPr>
                <w:rFonts w:hint="eastAsia"/>
              </w:rPr>
              <w:t>6.0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360</w:t>
            </w:r>
            <w:r w:rsidR="003A7B09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366.6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4</w:t>
            </w:r>
            <w:r w:rsidR="005A33F7">
              <w:rPr>
                <w:rFonts w:hint="eastAsia"/>
              </w:rPr>
              <w:t>9</w:t>
            </w:r>
            <w:r>
              <w:rPr>
                <w:rFonts w:hint="eastAsia"/>
              </w:rPr>
              <w:t>4.</w:t>
            </w:r>
            <w:r w:rsidR="005A33F7">
              <w:rPr>
                <w:rFonts w:hint="eastAsia"/>
              </w:rPr>
              <w:t>6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40</w:t>
            </w:r>
            <w:r w:rsidRPr="00212971">
              <w:rPr>
                <w:rFonts w:hint="eastAsia"/>
              </w:rPr>
              <w:t>.0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+</w:t>
            </w:r>
            <w:r w:rsidR="005A33F7">
              <w:rPr>
                <w:rFonts w:hint="eastAsia"/>
              </w:rPr>
              <w:t>3</w:t>
            </w:r>
            <w:r>
              <w:rPr>
                <w:rFonts w:hint="eastAsia"/>
              </w:rPr>
              <w:t>0.0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5A33F7">
            <w:r>
              <w:rPr>
                <w:rFonts w:hint="eastAsia"/>
              </w:rPr>
              <w:t>545</w:t>
            </w:r>
            <w:r w:rsidR="003A7B09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5</w:t>
            </w:r>
            <w:r w:rsidR="005A33F7">
              <w:rPr>
                <w:rFonts w:hint="eastAsia"/>
              </w:rPr>
              <w:t>55.0</w:t>
            </w:r>
          </w:p>
        </w:tc>
        <w:tc>
          <w:tcPr>
            <w:tcW w:w="1421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681</w:t>
            </w:r>
            <w:r w:rsidR="003A7B09" w:rsidRPr="00212971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9</w:t>
            </w:r>
            <w:r w:rsidR="005A33F7">
              <w:rPr>
                <w:rFonts w:hint="eastAsia"/>
              </w:rPr>
              <w:t>46</w:t>
            </w:r>
            <w:r w:rsidRPr="00212971"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-28.8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9</w:t>
            </w:r>
            <w:r w:rsidR="005A33F7">
              <w:rPr>
                <w:rFonts w:hint="eastAsia"/>
              </w:rPr>
              <w:t>41</w:t>
            </w:r>
            <w:r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9</w:t>
            </w:r>
            <w:r w:rsidR="005A33F7">
              <w:rPr>
                <w:rFonts w:hint="eastAsia"/>
              </w:rPr>
              <w:t>20.6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1</w:t>
            </w:r>
            <w:r w:rsidR="005A33F7">
              <w:rPr>
                <w:rFonts w:hint="eastAsia"/>
              </w:rPr>
              <w:t>496</w:t>
            </w:r>
            <w:r w:rsidRPr="00212971"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2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BA42DD">
            <w:r>
              <w:rPr>
                <w:rFonts w:hint="eastAsia"/>
              </w:rPr>
              <w:t>96</w:t>
            </w:r>
            <w:r w:rsidR="005A33F7">
              <w:rPr>
                <w:rFonts w:hint="eastAsia"/>
              </w:rPr>
              <w:t>5</w:t>
            </w:r>
            <w:r w:rsidRPr="00212971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+43.0</w:t>
            </w:r>
          </w:p>
        </w:tc>
        <w:tc>
          <w:tcPr>
            <w:tcW w:w="1420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957.0</w:t>
            </w:r>
          </w:p>
        </w:tc>
        <w:tc>
          <w:tcPr>
            <w:tcW w:w="1421" w:type="dxa"/>
            <w:vAlign w:val="center"/>
          </w:tcPr>
          <w:p w:rsidR="003A7B09" w:rsidRPr="00212971" w:rsidRDefault="005A33F7" w:rsidP="00BA42DD">
            <w:r>
              <w:rPr>
                <w:rFonts w:hint="eastAsia"/>
              </w:rPr>
              <w:t>984.0</w:t>
            </w:r>
          </w:p>
        </w:tc>
        <w:tc>
          <w:tcPr>
            <w:tcW w:w="1421" w:type="dxa"/>
            <w:vAlign w:val="center"/>
          </w:tcPr>
          <w:p w:rsidR="003A7B09" w:rsidRPr="00212971" w:rsidRDefault="003A7B09" w:rsidP="00BA42DD">
            <w:r w:rsidRPr="00212971">
              <w:rPr>
                <w:rFonts w:hint="eastAsia"/>
              </w:rPr>
              <w:t>15</w:t>
            </w:r>
            <w:r w:rsidR="005A33F7">
              <w:rPr>
                <w:rFonts w:hint="eastAsia"/>
              </w:rPr>
              <w:t>20</w:t>
            </w:r>
            <w:r w:rsidRPr="00212971">
              <w:rPr>
                <w:rFonts w:hint="eastAsia"/>
              </w:rPr>
              <w:t>.</w:t>
            </w:r>
            <w:r w:rsidR="005A33F7">
              <w:rPr>
                <w:rFonts w:hint="eastAsia"/>
              </w:rPr>
              <w:t>5</w:t>
            </w:r>
          </w:p>
        </w:tc>
      </w:tr>
    </w:tbl>
    <w:p w:rsidR="003A7B09" w:rsidRPr="003A7B09" w:rsidRDefault="003A7B09" w:rsidP="005A33F7">
      <w:pPr>
        <w:spacing w:line="360" w:lineRule="auto"/>
      </w:pPr>
    </w:p>
    <w:sectPr w:rsidR="003A7B09" w:rsidRPr="003A7B09" w:rsidSect="006D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1CF"/>
    <w:rsid w:val="00083DD3"/>
    <w:rsid w:val="002061CF"/>
    <w:rsid w:val="003A7B09"/>
    <w:rsid w:val="003E79F0"/>
    <w:rsid w:val="0049141E"/>
    <w:rsid w:val="005A33F7"/>
    <w:rsid w:val="006D3056"/>
    <w:rsid w:val="00900400"/>
    <w:rsid w:val="009056A6"/>
    <w:rsid w:val="00A90889"/>
    <w:rsid w:val="00B00213"/>
    <w:rsid w:val="00D728B8"/>
    <w:rsid w:val="00D93DF4"/>
    <w:rsid w:val="00DC613A"/>
    <w:rsid w:val="00DD51B7"/>
    <w:rsid w:val="00EA3D35"/>
    <w:rsid w:val="00EF1C0D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91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2015-05-22T06:58:00Z</dcterms:created>
  <dcterms:modified xsi:type="dcterms:W3CDTF">2015-05-25T03:37:00Z</dcterms:modified>
</cp:coreProperties>
</file>