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3FAA13A">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lang w:val="en-US" w:eastAsia="zh-CN"/>
        </w:rPr>
      </w:pPr>
      <w:bookmarkStart w:id="0" w:name="_Hlk88569120"/>
      <w:r>
        <w:rPr>
          <w:rFonts w:hint="eastAsia" w:ascii="隶书" w:hAnsi="隶书" w:eastAsia="隶书" w:cs="隶书"/>
          <w:lang w:val="en-US" w:eastAsia="zh-CN"/>
        </w:rPr>
        <w:t>硫酸行业现状及“十五五”发展思路</w:t>
      </w:r>
    </w:p>
    <w:p w14:paraId="30AD2D0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李崇 廖康程 白海丹</w:t>
      </w:r>
    </w:p>
    <w:bookmarkEnd w:id="0"/>
    <w:p w14:paraId="204CC2A1">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default" w:ascii="楷体" w:hAnsi="楷体" w:eastAsia="楷体" w:cs="楷体"/>
          <w:sz w:val="21"/>
          <w:szCs w:val="21"/>
          <w:lang w:val="en-US" w:eastAsia="zh-CN"/>
        </w:rPr>
      </w:pPr>
      <w:r>
        <w:rPr>
          <w:rFonts w:hint="eastAsia" w:ascii="楷体" w:hAnsi="楷体" w:eastAsia="楷体" w:cs="楷体"/>
          <w:color w:val="auto"/>
          <w:sz w:val="21"/>
          <w:szCs w:val="21"/>
          <w:lang w:val="en-US" w:eastAsia="zh-CN"/>
        </w:rPr>
        <w:t>中国硫酸工业协会</w:t>
      </w:r>
    </w:p>
    <w:p w14:paraId="7399C64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sz w:val="21"/>
          <w:szCs w:val="21"/>
          <w:lang w:val="en-US" w:eastAsia="zh-CN"/>
        </w:rPr>
      </w:pPr>
    </w:p>
    <w:p w14:paraId="4524B1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val="0"/>
          <w:bCs/>
          <w:sz w:val="21"/>
          <w:szCs w:val="21"/>
          <w:lang w:val="en-US" w:eastAsia="zh-CN"/>
        </w:rPr>
      </w:pPr>
      <w:bookmarkStart w:id="1" w:name="_GoBack"/>
      <w:bookmarkEnd w:id="1"/>
      <w:r>
        <w:rPr>
          <w:rFonts w:hint="eastAsia" w:ascii="宋体" w:hAnsi="宋体" w:eastAsia="宋体" w:cs="宋体"/>
          <w:b/>
          <w:bCs w:val="0"/>
          <w:sz w:val="21"/>
          <w:szCs w:val="21"/>
          <w:lang w:val="en-US" w:eastAsia="zh-CN"/>
        </w:rPr>
        <w:t>摘要：</w:t>
      </w:r>
      <w:r>
        <w:rPr>
          <w:rFonts w:hint="eastAsia" w:ascii="宋体" w:hAnsi="宋体" w:eastAsia="宋体" w:cs="宋体"/>
          <w:b w:val="0"/>
          <w:bCs/>
          <w:sz w:val="21"/>
          <w:szCs w:val="21"/>
          <w:lang w:val="en-US" w:eastAsia="zh-CN"/>
        </w:rPr>
        <w:t>归纳当前我国硫酸行业的发展现状，总结“十四五”期间取得的成绩；在下游传统产业需求稳定支撑、新能源领域需求快速增长的背景下，硫资源供需格局发生根本性转变，硫酸行业将维持中高速增长的态势；在国内、国际两个市场发生巨大变化的情况下，分析我国硫酸行业的发展趋势，解决我国硫酸行业的面临的关键问题；基于当前的社会和技术发展现状和趋势，对行业未来的发展作出基本的判断；以面临的形势和问题为导向，从硫资源保障、绿色低碳发展、科技创新和人才培养四个方面，提出我国硫酸行业“十五五”期间的发展思路。</w:t>
      </w:r>
    </w:p>
    <w:p w14:paraId="5819BCA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r>
        <w:rPr>
          <w:rFonts w:hint="default" w:ascii="宋体" w:hAnsi="宋体" w:eastAsia="宋体" w:cs="宋体"/>
          <w:b/>
          <w:bCs w:val="0"/>
          <w:sz w:val="21"/>
          <w:szCs w:val="21"/>
          <w:lang w:val="en-US" w:eastAsia="zh-CN"/>
        </w:rPr>
        <w:t>关键词</w:t>
      </w:r>
      <w:r>
        <w:rPr>
          <w:rFonts w:hint="eastAsia" w:ascii="宋体" w:hAnsi="宋体" w:eastAsia="宋体" w:cs="宋体"/>
          <w:b/>
          <w:bCs w:val="0"/>
          <w:sz w:val="21"/>
          <w:szCs w:val="21"/>
          <w:lang w:val="en-US" w:eastAsia="zh-CN"/>
        </w:rPr>
        <w:t>：</w:t>
      </w:r>
      <w:r>
        <w:rPr>
          <w:rFonts w:hint="eastAsia" w:ascii="宋体" w:hAnsi="宋体" w:eastAsia="宋体" w:cs="宋体"/>
          <w:b w:val="0"/>
          <w:bCs/>
          <w:sz w:val="21"/>
          <w:szCs w:val="21"/>
          <w:lang w:val="en-US" w:eastAsia="zh-CN"/>
        </w:rPr>
        <w:t>硫酸</w:t>
      </w:r>
      <w:r>
        <w:rPr>
          <w:rFonts w:hint="default" w:ascii="宋体" w:hAnsi="宋体" w:eastAsia="宋体" w:cs="宋体"/>
          <w:b w:val="0"/>
          <w:bCs/>
          <w:sz w:val="21"/>
          <w:szCs w:val="21"/>
          <w:lang w:val="en-US" w:eastAsia="zh-CN"/>
        </w:rPr>
        <w:t>行业</w:t>
      </w:r>
      <w:r>
        <w:rPr>
          <w:rFonts w:hint="eastAsia" w:ascii="宋体" w:hAnsi="宋体" w:eastAsia="宋体" w:cs="宋体"/>
          <w:b w:val="0"/>
          <w:bCs/>
          <w:sz w:val="21"/>
          <w:szCs w:val="21"/>
          <w:lang w:val="en-US" w:eastAsia="zh-CN"/>
        </w:rPr>
        <w:t xml:space="preserve"> 硫资源 </w:t>
      </w:r>
      <w:r>
        <w:rPr>
          <w:rFonts w:hint="default" w:ascii="宋体" w:hAnsi="宋体" w:eastAsia="宋体" w:cs="宋体"/>
          <w:b w:val="0"/>
          <w:bCs/>
          <w:sz w:val="21"/>
          <w:szCs w:val="21"/>
          <w:lang w:val="en-US" w:eastAsia="zh-CN"/>
        </w:rPr>
        <w:t>“十</w:t>
      </w:r>
      <w:r>
        <w:rPr>
          <w:rFonts w:hint="eastAsia" w:ascii="宋体" w:hAnsi="宋体" w:eastAsia="宋体" w:cs="宋体"/>
          <w:b w:val="0"/>
          <w:bCs/>
          <w:sz w:val="21"/>
          <w:szCs w:val="21"/>
          <w:lang w:val="en-US" w:eastAsia="zh-CN"/>
        </w:rPr>
        <w:t>五</w:t>
      </w:r>
      <w:r>
        <w:rPr>
          <w:rFonts w:hint="default" w:ascii="宋体" w:hAnsi="宋体" w:eastAsia="宋体" w:cs="宋体"/>
          <w:b w:val="0"/>
          <w:bCs/>
          <w:sz w:val="21"/>
          <w:szCs w:val="21"/>
          <w:lang w:val="en-US" w:eastAsia="zh-CN"/>
        </w:rPr>
        <w:t>五”</w:t>
      </w:r>
      <w:r>
        <w:rPr>
          <w:rFonts w:hint="eastAsia" w:ascii="宋体" w:hAnsi="宋体" w:eastAsia="宋体" w:cs="宋体"/>
          <w:b w:val="0"/>
          <w:bCs/>
          <w:sz w:val="21"/>
          <w:szCs w:val="21"/>
          <w:lang w:val="en-US" w:eastAsia="zh-CN"/>
        </w:rPr>
        <w:t xml:space="preserve"> 绿色低碳 </w:t>
      </w:r>
      <w:r>
        <w:rPr>
          <w:rFonts w:hint="default" w:ascii="宋体" w:hAnsi="宋体" w:eastAsia="宋体" w:cs="宋体"/>
          <w:b w:val="0"/>
          <w:bCs/>
          <w:sz w:val="21"/>
          <w:szCs w:val="21"/>
          <w:lang w:val="en-US" w:eastAsia="zh-CN"/>
        </w:rPr>
        <w:t>发展</w:t>
      </w:r>
      <w:r>
        <w:rPr>
          <w:rFonts w:hint="eastAsia" w:ascii="宋体" w:hAnsi="宋体" w:eastAsia="宋体" w:cs="宋体"/>
          <w:b w:val="0"/>
          <w:bCs/>
          <w:sz w:val="21"/>
          <w:szCs w:val="21"/>
          <w:lang w:val="en-US" w:eastAsia="zh-CN"/>
        </w:rPr>
        <w:t xml:space="preserve">思路 </w:t>
      </w:r>
    </w:p>
    <w:p w14:paraId="7C879D40">
      <w:pPr>
        <w:pageBreakBefore w:val="0"/>
        <w:kinsoku/>
        <w:wordWrap/>
        <w:overflowPunct/>
        <w:topLinePunct w:val="0"/>
        <w:autoSpaceDE/>
        <w:autoSpaceDN/>
        <w:bidi w:val="0"/>
        <w:adjustRightInd/>
        <w:snapToGrid/>
        <w:spacing w:line="400" w:lineRule="exact"/>
        <w:jc w:val="left"/>
        <w:rPr>
          <w:rFonts w:hint="eastAsia" w:ascii="宋体" w:hAnsi="宋体" w:eastAsia="宋体" w:cs="宋体"/>
          <w:b w:val="0"/>
          <w:bCs w:val="0"/>
          <w:color w:val="231F20"/>
          <w:sz w:val="21"/>
          <w:szCs w:val="21"/>
        </w:rPr>
      </w:pPr>
    </w:p>
    <w:p w14:paraId="246630F0">
      <w:pPr>
        <w:pageBreakBefore w:val="0"/>
        <w:kinsoku/>
        <w:wordWrap/>
        <w:overflowPunct/>
        <w:topLinePunct w:val="0"/>
        <w:autoSpaceDE/>
        <w:autoSpaceDN/>
        <w:bidi w:val="0"/>
        <w:adjustRightInd/>
        <w:snapToGrid/>
        <w:spacing w:line="400" w:lineRule="exact"/>
        <w:ind w:firstLine="561"/>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我国制造业的优势逐步加强，尤其是新能源的快速发展，硫酸作为“工业之母”，需求持续增长。“十四五”期间，我国硫酸行业继续保持中高速发展，产量平均增速达到4.4%，且在安全、环保、节能、低碳、智能化等方面均取得可喜的成绩。“十五五”是我国基本实现社会主义现代化的关键时期，是实现高质量发展的重要阶段，谋划好“十五五”期间我国硫酸行业的发展思路，对于加强我国产业现代化体系的基底，支撑我国制造业强国建设，推动新能源、半导体等战略新兴产业高质量发展，具有重要意义。</w:t>
      </w:r>
    </w:p>
    <w:p w14:paraId="3CE22D4B">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 硫酸行业发展现状</w:t>
      </w:r>
    </w:p>
    <w:p w14:paraId="33B67E5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1.1 产能产量稳定增长，原料结构持续优化</w:t>
      </w:r>
    </w:p>
    <w:p w14:paraId="4DEA4A74">
      <w:pPr>
        <w:pageBreakBefore w:val="0"/>
        <w:kinsoku/>
        <w:wordWrap/>
        <w:overflowPunct/>
        <w:topLinePunct w:val="0"/>
        <w:autoSpaceDE/>
        <w:autoSpaceDN/>
        <w:bidi w:val="0"/>
        <w:adjustRightInd/>
        <w:snapToGrid/>
        <w:spacing w:line="400" w:lineRule="exact"/>
        <w:ind w:firstLine="561"/>
        <w:rPr>
          <w:rFonts w:hint="eastAsia" w:ascii="宋体" w:hAnsi="宋体" w:eastAsia="宋体" w:cs="宋体"/>
          <w:sz w:val="21"/>
          <w:szCs w:val="21"/>
        </w:rPr>
      </w:pPr>
      <w:r>
        <w:rPr>
          <w:rFonts w:hint="eastAsia" w:ascii="宋体" w:hAnsi="宋体" w:eastAsia="宋体" w:cs="宋体"/>
          <w:sz w:val="21"/>
          <w:szCs w:val="21"/>
          <w:lang w:val="en-US" w:eastAsia="zh-CN"/>
        </w:rPr>
        <w:t>“十四五”期间，我国硫酸行业产能</w:t>
      </w:r>
      <w:r>
        <w:rPr>
          <w:rFonts w:hint="eastAsia" w:ascii="宋体" w:hAnsi="宋体" w:eastAsia="宋体" w:cs="宋体"/>
          <w:sz w:val="21"/>
          <w:szCs w:val="21"/>
        </w:rPr>
        <w:t>和产量</w:t>
      </w:r>
      <w:r>
        <w:rPr>
          <w:rFonts w:hint="eastAsia" w:ascii="宋体" w:hAnsi="宋体" w:eastAsia="宋体" w:cs="宋体"/>
          <w:sz w:val="21"/>
          <w:szCs w:val="21"/>
          <w:lang w:val="en-US" w:eastAsia="zh-CN"/>
        </w:rPr>
        <w:t>总体保持持续增长态势。</w:t>
      </w:r>
      <w:r>
        <w:rPr>
          <w:rFonts w:hint="eastAsia" w:ascii="宋体" w:hAnsi="宋体" w:eastAsia="宋体" w:cs="宋体"/>
          <w:sz w:val="21"/>
          <w:szCs w:val="21"/>
        </w:rPr>
        <w:t>据</w:t>
      </w:r>
      <w:r>
        <w:rPr>
          <w:rFonts w:hint="eastAsia" w:ascii="宋体" w:hAnsi="宋体" w:eastAsia="宋体" w:cs="宋体"/>
          <w:sz w:val="21"/>
          <w:szCs w:val="21"/>
          <w:lang w:val="en-US" w:eastAsia="zh-CN"/>
        </w:rPr>
        <w:t>中国硫酸工业协会（以下简称</w:t>
      </w:r>
      <w:r>
        <w:rPr>
          <w:rFonts w:hint="eastAsia" w:ascii="宋体" w:hAnsi="宋体" w:eastAsia="宋体" w:cs="宋体"/>
          <w:sz w:val="21"/>
          <w:szCs w:val="21"/>
        </w:rPr>
        <w:t>协会</w:t>
      </w:r>
      <w:r>
        <w:rPr>
          <w:rFonts w:hint="eastAsia" w:ascii="宋体" w:hAnsi="宋体" w:eastAsia="宋体" w:cs="宋体"/>
          <w:sz w:val="21"/>
          <w:szCs w:val="21"/>
          <w:lang w:val="en-US" w:eastAsia="zh-CN"/>
        </w:rPr>
        <w:t>）</w:t>
      </w:r>
      <w:r>
        <w:rPr>
          <w:rFonts w:hint="eastAsia" w:ascii="宋体" w:hAnsi="宋体" w:eastAsia="宋体" w:cs="宋体"/>
          <w:sz w:val="21"/>
          <w:szCs w:val="21"/>
        </w:rPr>
        <w:t>统计，</w:t>
      </w:r>
      <w:r>
        <w:rPr>
          <w:rFonts w:hint="eastAsia" w:ascii="宋体" w:hAnsi="宋体" w:eastAsia="宋体" w:cs="宋体"/>
          <w:sz w:val="21"/>
          <w:szCs w:val="21"/>
          <w:lang w:val="en-US" w:eastAsia="zh-CN"/>
        </w:rPr>
        <w:t>截止2025年底，中国硫酸产能达到</w:t>
      </w:r>
      <w:r>
        <w:rPr>
          <w:rFonts w:hint="eastAsia" w:ascii="宋体" w:hAnsi="宋体" w:eastAsia="宋体" w:cs="宋体"/>
          <w:sz w:val="21"/>
          <w:szCs w:val="21"/>
        </w:rPr>
        <w:t>1.</w:t>
      </w:r>
      <w:r>
        <w:rPr>
          <w:rFonts w:hint="eastAsia" w:ascii="宋体" w:hAnsi="宋体" w:eastAsia="宋体" w:cs="宋体"/>
          <w:sz w:val="21"/>
          <w:szCs w:val="21"/>
          <w:lang w:val="en-US" w:eastAsia="zh-CN"/>
        </w:rPr>
        <w:t>546</w:t>
      </w:r>
      <w:r>
        <w:rPr>
          <w:rFonts w:hint="eastAsia" w:ascii="宋体" w:hAnsi="宋体" w:eastAsia="宋体" w:cs="宋体"/>
          <w:sz w:val="21"/>
          <w:szCs w:val="21"/>
        </w:rPr>
        <w:t>亿吨</w:t>
      </w:r>
      <w:r>
        <w:rPr>
          <w:rFonts w:hint="eastAsia" w:ascii="宋体" w:hAnsi="宋体" w:eastAsia="宋体" w:cs="宋体"/>
          <w:sz w:val="21"/>
          <w:szCs w:val="21"/>
          <w:lang w:eastAsia="zh-CN"/>
        </w:rPr>
        <w:t>，</w:t>
      </w:r>
      <w:r>
        <w:rPr>
          <w:rFonts w:hint="eastAsia" w:ascii="宋体" w:hAnsi="宋体" w:eastAsia="宋体" w:cs="宋体"/>
          <w:sz w:val="21"/>
          <w:szCs w:val="21"/>
        </w:rPr>
        <w:t>较“十</w:t>
      </w:r>
      <w:r>
        <w:rPr>
          <w:rFonts w:hint="eastAsia" w:ascii="宋体" w:hAnsi="宋体" w:eastAsia="宋体" w:cs="宋体"/>
          <w:sz w:val="21"/>
          <w:szCs w:val="21"/>
          <w:lang w:val="en-US" w:eastAsia="zh-CN"/>
        </w:rPr>
        <w:t>三</w:t>
      </w:r>
      <w:r>
        <w:rPr>
          <w:rFonts w:hint="eastAsia" w:ascii="宋体" w:hAnsi="宋体" w:eastAsia="宋体" w:cs="宋体"/>
          <w:sz w:val="21"/>
          <w:szCs w:val="21"/>
        </w:rPr>
        <w:t>五”末期增长</w:t>
      </w:r>
      <w:r>
        <w:rPr>
          <w:rFonts w:hint="eastAsia" w:ascii="宋体" w:hAnsi="宋体" w:eastAsia="宋体" w:cs="宋体"/>
          <w:sz w:val="21"/>
          <w:szCs w:val="21"/>
          <w:lang w:val="en-US" w:eastAsia="zh-CN"/>
        </w:rPr>
        <w:t>21.1</w:t>
      </w:r>
      <w:r>
        <w:rPr>
          <w:rFonts w:hint="eastAsia" w:ascii="宋体" w:hAnsi="宋体" w:eastAsia="宋体" w:cs="宋体"/>
          <w:sz w:val="21"/>
          <w:szCs w:val="21"/>
        </w:rPr>
        <w:t>%。20</w:t>
      </w:r>
      <w:r>
        <w:rPr>
          <w:rFonts w:hint="eastAsia" w:ascii="宋体" w:hAnsi="宋体" w:eastAsia="宋体" w:cs="宋体"/>
          <w:sz w:val="21"/>
          <w:szCs w:val="21"/>
          <w:lang w:val="en-US" w:eastAsia="zh-CN"/>
        </w:rPr>
        <w:t>25</w:t>
      </w:r>
      <w:r>
        <w:rPr>
          <w:rFonts w:hint="eastAsia" w:ascii="宋体" w:hAnsi="宋体" w:eastAsia="宋体" w:cs="宋体"/>
          <w:sz w:val="21"/>
          <w:szCs w:val="21"/>
        </w:rPr>
        <w:t>年</w:t>
      </w:r>
      <w:r>
        <w:rPr>
          <w:rFonts w:hint="eastAsia" w:ascii="宋体" w:hAnsi="宋体" w:eastAsia="宋体" w:cs="宋体"/>
          <w:sz w:val="21"/>
          <w:szCs w:val="21"/>
          <w:lang w:val="en-US" w:eastAsia="zh-CN"/>
        </w:rPr>
        <w:t>中</w:t>
      </w:r>
      <w:r>
        <w:rPr>
          <w:rFonts w:hint="eastAsia" w:ascii="宋体" w:hAnsi="宋体" w:eastAsia="宋体" w:cs="宋体"/>
          <w:sz w:val="21"/>
          <w:szCs w:val="21"/>
        </w:rPr>
        <w:t>国硫酸产量达到</w:t>
      </w:r>
      <w:r>
        <w:rPr>
          <w:rFonts w:hint="eastAsia" w:ascii="宋体" w:hAnsi="宋体" w:eastAsia="宋体" w:cs="宋体"/>
          <w:sz w:val="21"/>
          <w:szCs w:val="21"/>
          <w:lang w:val="en-US" w:eastAsia="zh-CN"/>
        </w:rPr>
        <w:t>1.278亿</w:t>
      </w:r>
      <w:r>
        <w:rPr>
          <w:rFonts w:hint="eastAsia" w:ascii="宋体" w:hAnsi="宋体" w:eastAsia="宋体" w:cs="宋体"/>
          <w:sz w:val="21"/>
          <w:szCs w:val="21"/>
        </w:rPr>
        <w:t>吨，较“十</w:t>
      </w:r>
      <w:r>
        <w:rPr>
          <w:rFonts w:hint="eastAsia" w:ascii="宋体" w:hAnsi="宋体" w:eastAsia="宋体" w:cs="宋体"/>
          <w:sz w:val="21"/>
          <w:szCs w:val="21"/>
          <w:lang w:val="en-US" w:eastAsia="zh-CN"/>
        </w:rPr>
        <w:t>三</w:t>
      </w:r>
      <w:r>
        <w:rPr>
          <w:rFonts w:hint="eastAsia" w:ascii="宋体" w:hAnsi="宋体" w:eastAsia="宋体" w:cs="宋体"/>
          <w:sz w:val="21"/>
          <w:szCs w:val="21"/>
        </w:rPr>
        <w:t>五”末期增长</w:t>
      </w:r>
      <w:r>
        <w:rPr>
          <w:rFonts w:hint="eastAsia" w:ascii="宋体" w:hAnsi="宋体" w:eastAsia="宋体" w:cs="宋体"/>
          <w:sz w:val="21"/>
          <w:szCs w:val="21"/>
          <w:lang w:val="en-US" w:eastAsia="zh-CN"/>
        </w:rPr>
        <w:t>23.7</w:t>
      </w:r>
      <w:r>
        <w:rPr>
          <w:rFonts w:hint="eastAsia" w:ascii="宋体" w:hAnsi="宋体" w:eastAsia="宋体" w:cs="宋体"/>
          <w:sz w:val="21"/>
          <w:szCs w:val="21"/>
        </w:rPr>
        <w:t>%，占世界硫酸总产量的</w:t>
      </w:r>
      <w:r>
        <w:rPr>
          <w:rFonts w:hint="eastAsia" w:ascii="宋体" w:hAnsi="宋体" w:eastAsia="宋体" w:cs="宋体"/>
          <w:sz w:val="21"/>
          <w:szCs w:val="21"/>
          <w:lang w:val="en-US" w:eastAsia="zh-CN"/>
        </w:rPr>
        <w:t>39.1</w:t>
      </w:r>
      <w:r>
        <w:rPr>
          <w:rFonts w:hint="eastAsia" w:ascii="宋体" w:hAnsi="宋体" w:eastAsia="宋体" w:cs="宋体"/>
          <w:sz w:val="21"/>
          <w:szCs w:val="21"/>
        </w:rPr>
        <w:t>%，稳居世界第一。</w:t>
      </w:r>
    </w:p>
    <w:p w14:paraId="22B82897">
      <w:pPr>
        <w:pageBreakBefore w:val="0"/>
        <w:kinsoku/>
        <w:wordWrap/>
        <w:overflowPunct/>
        <w:topLinePunct w:val="0"/>
        <w:autoSpaceDE/>
        <w:autoSpaceDN/>
        <w:bidi w:val="0"/>
        <w:adjustRightInd/>
        <w:snapToGrid/>
        <w:spacing w:line="400" w:lineRule="exact"/>
        <w:ind w:firstLine="561"/>
        <w:rPr>
          <w:rFonts w:hint="eastAsia" w:ascii="宋体" w:hAnsi="宋体" w:eastAsia="宋体" w:cs="宋体"/>
          <w:sz w:val="21"/>
          <w:szCs w:val="21"/>
        </w:rPr>
      </w:pPr>
      <w:r>
        <w:rPr>
          <w:rFonts w:hint="eastAsia" w:ascii="宋体" w:hAnsi="宋体" w:eastAsia="宋体" w:cs="宋体"/>
          <w:sz w:val="21"/>
          <w:szCs w:val="21"/>
        </w:rPr>
        <w:t>原料结构</w:t>
      </w:r>
      <w:r>
        <w:rPr>
          <w:rFonts w:hint="eastAsia" w:ascii="宋体" w:hAnsi="宋体" w:eastAsia="宋体" w:cs="宋体"/>
          <w:sz w:val="21"/>
          <w:szCs w:val="21"/>
          <w:lang w:val="en-US" w:eastAsia="zh-CN"/>
        </w:rPr>
        <w:t>持续优化，冶炼酸产量保持连续增长态势，</w:t>
      </w:r>
      <w:r>
        <w:rPr>
          <w:rFonts w:hint="eastAsia" w:ascii="宋体" w:hAnsi="宋体" w:eastAsia="宋体" w:cs="宋体"/>
          <w:sz w:val="21"/>
          <w:szCs w:val="21"/>
        </w:rPr>
        <w:t>据统计，20</w:t>
      </w:r>
      <w:r>
        <w:rPr>
          <w:rFonts w:hint="eastAsia" w:ascii="宋体" w:hAnsi="宋体" w:eastAsia="宋体" w:cs="宋体"/>
          <w:sz w:val="21"/>
          <w:szCs w:val="21"/>
          <w:lang w:val="en-US" w:eastAsia="zh-CN"/>
        </w:rPr>
        <w:t>25</w:t>
      </w:r>
      <w:r>
        <w:rPr>
          <w:rFonts w:hint="eastAsia" w:ascii="宋体" w:hAnsi="宋体" w:eastAsia="宋体" w:cs="宋体"/>
          <w:sz w:val="21"/>
          <w:szCs w:val="21"/>
        </w:rPr>
        <w:t>年，冶炼酸产量占总产量比例达到</w:t>
      </w:r>
      <w:r>
        <w:rPr>
          <w:rFonts w:hint="eastAsia" w:ascii="宋体" w:hAnsi="宋体" w:eastAsia="宋体" w:cs="宋体"/>
          <w:sz w:val="21"/>
          <w:szCs w:val="21"/>
          <w:lang w:val="en-US" w:eastAsia="zh-CN"/>
        </w:rPr>
        <w:t>40.9</w:t>
      </w:r>
      <w:r>
        <w:rPr>
          <w:rFonts w:hint="eastAsia" w:ascii="宋体" w:hAnsi="宋体" w:eastAsia="宋体" w:cs="宋体"/>
          <w:sz w:val="21"/>
          <w:szCs w:val="21"/>
        </w:rPr>
        <w:t>%，硫铁矿制酸占1</w:t>
      </w:r>
      <w:r>
        <w:rPr>
          <w:rFonts w:hint="eastAsia" w:ascii="宋体" w:hAnsi="宋体" w:eastAsia="宋体" w:cs="宋体"/>
          <w:sz w:val="21"/>
          <w:szCs w:val="21"/>
          <w:lang w:val="en-US" w:eastAsia="zh-CN"/>
        </w:rPr>
        <w:t>6.8</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color w:val="000000" w:themeColor="text1"/>
          <w:sz w:val="21"/>
          <w:szCs w:val="21"/>
          <w:lang w:val="en-US" w:eastAsia="zh-CN"/>
          <w14:textFill>
            <w14:solidFill>
              <w14:schemeClr w14:val="tx1"/>
            </w14:solidFill>
          </w14:textFill>
        </w:rPr>
        <w:t>占比比“十三五”末期均有所提高</w:t>
      </w:r>
      <w:r>
        <w:rPr>
          <w:rFonts w:hint="eastAsia" w:ascii="宋体" w:hAnsi="宋体" w:eastAsia="宋体" w:cs="宋体"/>
          <w:sz w:val="21"/>
          <w:szCs w:val="21"/>
          <w:lang w:val="en-US" w:eastAsia="zh-CN"/>
        </w:rPr>
        <w:t>；</w:t>
      </w:r>
      <w:r>
        <w:rPr>
          <w:rFonts w:hint="eastAsia" w:ascii="宋体" w:hAnsi="宋体" w:eastAsia="宋体" w:cs="宋体"/>
          <w:sz w:val="21"/>
          <w:szCs w:val="21"/>
        </w:rPr>
        <w:t>硫磺制酸占4</w:t>
      </w:r>
      <w:r>
        <w:rPr>
          <w:rFonts w:hint="eastAsia" w:ascii="宋体" w:hAnsi="宋体" w:eastAsia="宋体" w:cs="宋体"/>
          <w:sz w:val="21"/>
          <w:szCs w:val="21"/>
          <w:lang w:val="en-US" w:eastAsia="zh-CN"/>
        </w:rPr>
        <w:t>0.8</w:t>
      </w:r>
      <w:r>
        <w:rPr>
          <w:rFonts w:hint="eastAsia" w:ascii="宋体" w:hAnsi="宋体" w:eastAsia="宋体" w:cs="宋体"/>
          <w:sz w:val="21"/>
          <w:szCs w:val="21"/>
        </w:rPr>
        <w:t>%，</w:t>
      </w:r>
      <w:r>
        <w:rPr>
          <w:rFonts w:hint="eastAsia" w:ascii="宋体" w:hAnsi="宋体" w:eastAsia="宋体" w:cs="宋体"/>
          <w:sz w:val="21"/>
          <w:szCs w:val="21"/>
          <w:lang w:val="en-US" w:eastAsia="zh-CN"/>
        </w:rPr>
        <w:t>占比有所下降</w:t>
      </w:r>
      <w:r>
        <w:rPr>
          <w:rFonts w:hint="eastAsia" w:ascii="宋体" w:hAnsi="宋体" w:eastAsia="宋体" w:cs="宋体"/>
          <w:sz w:val="21"/>
          <w:szCs w:val="21"/>
          <w:lang w:eastAsia="zh-CN"/>
        </w:rPr>
        <w:t>；</w:t>
      </w:r>
      <w:r>
        <w:rPr>
          <w:rFonts w:hint="eastAsia" w:ascii="宋体" w:hAnsi="宋体" w:eastAsia="宋体" w:cs="宋体"/>
          <w:sz w:val="21"/>
          <w:szCs w:val="21"/>
        </w:rPr>
        <w:t>其它制酸占1.</w:t>
      </w:r>
      <w:r>
        <w:rPr>
          <w:rFonts w:hint="eastAsia" w:ascii="宋体" w:hAnsi="宋体" w:eastAsia="宋体" w:cs="宋体"/>
          <w:sz w:val="21"/>
          <w:szCs w:val="21"/>
          <w:lang w:val="en-US" w:eastAsia="zh-CN"/>
        </w:rPr>
        <w:t>4</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基本持平</w:t>
      </w:r>
      <w:r>
        <w:rPr>
          <w:rFonts w:hint="eastAsia" w:ascii="宋体" w:hAnsi="宋体" w:eastAsia="宋体" w:cs="宋体"/>
          <w:sz w:val="21"/>
          <w:szCs w:val="21"/>
        </w:rPr>
        <w:t>。</w:t>
      </w:r>
    </w:p>
    <w:p w14:paraId="09A32381">
      <w:pPr>
        <w:pageBreakBefore w:val="0"/>
        <w:kinsoku/>
        <w:wordWrap/>
        <w:overflowPunct/>
        <w:topLinePunct w:val="0"/>
        <w:autoSpaceDE/>
        <w:autoSpaceDN/>
        <w:bidi w:val="0"/>
        <w:adjustRightInd/>
        <w:snapToGrid/>
        <w:spacing w:line="400" w:lineRule="exact"/>
        <w:ind w:firstLine="422" w:firstLineChars="200"/>
        <w:jc w:val="center"/>
        <w:rPr>
          <w:rFonts w:hint="eastAsia" w:ascii="宋体" w:hAnsi="宋体" w:eastAsia="宋体" w:cs="宋体"/>
          <w:b/>
          <w:kern w:val="24"/>
          <w:sz w:val="21"/>
          <w:szCs w:val="21"/>
        </w:rPr>
      </w:pPr>
      <w:r>
        <w:rPr>
          <w:rFonts w:hint="eastAsia" w:ascii="宋体" w:hAnsi="宋体" w:eastAsia="宋体" w:cs="宋体"/>
          <w:b/>
          <w:kern w:val="24"/>
          <w:sz w:val="21"/>
          <w:szCs w:val="21"/>
          <w:lang w:val="en-US" w:eastAsia="zh-CN"/>
        </w:rPr>
        <w:t>2020-2025</w:t>
      </w:r>
      <w:r>
        <w:rPr>
          <w:rFonts w:hint="eastAsia" w:ascii="宋体" w:hAnsi="宋体" w:eastAsia="宋体" w:cs="宋体"/>
          <w:b/>
          <w:kern w:val="24"/>
          <w:sz w:val="21"/>
          <w:szCs w:val="21"/>
        </w:rPr>
        <w:t>年全国硫酸产量表（单位：万吨）</w:t>
      </w:r>
    </w:p>
    <w:tbl>
      <w:tblPr>
        <w:tblStyle w:val="17"/>
        <w:tblW w:w="8529"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65"/>
        <w:gridCol w:w="939"/>
        <w:gridCol w:w="741"/>
        <w:gridCol w:w="741"/>
        <w:gridCol w:w="741"/>
        <w:gridCol w:w="741"/>
        <w:gridCol w:w="856"/>
        <w:gridCol w:w="1600"/>
        <w:gridCol w:w="1205"/>
      </w:tblGrid>
      <w:tr w14:paraId="1A17625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65" w:type="dxa"/>
            <w:noWrap/>
            <w:vAlign w:val="center"/>
          </w:tcPr>
          <w:p w14:paraId="69655830">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年份</w:t>
            </w:r>
          </w:p>
        </w:tc>
        <w:tc>
          <w:tcPr>
            <w:tcW w:w="939" w:type="dxa"/>
            <w:vAlign w:val="center"/>
          </w:tcPr>
          <w:p w14:paraId="3A5548A0">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rPr>
              <w:t>20</w:t>
            </w:r>
            <w:r>
              <w:rPr>
                <w:rFonts w:hint="eastAsia" w:ascii="宋体" w:hAnsi="宋体" w:eastAsia="宋体" w:cs="宋体"/>
                <w:b/>
                <w:bCs/>
                <w:kern w:val="0"/>
                <w:sz w:val="18"/>
                <w:szCs w:val="18"/>
                <w:lang w:val="en-US" w:eastAsia="zh-CN"/>
              </w:rPr>
              <w:t>20</w:t>
            </w:r>
          </w:p>
        </w:tc>
        <w:tc>
          <w:tcPr>
            <w:tcW w:w="741" w:type="dxa"/>
            <w:vAlign w:val="center"/>
          </w:tcPr>
          <w:p w14:paraId="0D8173C7">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rPr>
              <w:t>20</w:t>
            </w:r>
            <w:r>
              <w:rPr>
                <w:rFonts w:hint="eastAsia" w:ascii="宋体" w:hAnsi="宋体" w:eastAsia="宋体" w:cs="宋体"/>
                <w:b/>
                <w:bCs/>
                <w:kern w:val="0"/>
                <w:sz w:val="18"/>
                <w:szCs w:val="18"/>
                <w:lang w:val="en-US" w:eastAsia="zh-CN"/>
              </w:rPr>
              <w:t>21</w:t>
            </w:r>
          </w:p>
        </w:tc>
        <w:tc>
          <w:tcPr>
            <w:tcW w:w="741" w:type="dxa"/>
            <w:vAlign w:val="center"/>
          </w:tcPr>
          <w:p w14:paraId="3EA1E1C1">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rPr>
              <w:t>20</w:t>
            </w:r>
            <w:r>
              <w:rPr>
                <w:rFonts w:hint="eastAsia" w:ascii="宋体" w:hAnsi="宋体" w:eastAsia="宋体" w:cs="宋体"/>
                <w:b/>
                <w:bCs/>
                <w:kern w:val="0"/>
                <w:sz w:val="18"/>
                <w:szCs w:val="18"/>
                <w:lang w:val="en-US" w:eastAsia="zh-CN"/>
              </w:rPr>
              <w:t>22</w:t>
            </w:r>
          </w:p>
        </w:tc>
        <w:tc>
          <w:tcPr>
            <w:tcW w:w="741" w:type="dxa"/>
            <w:vAlign w:val="center"/>
          </w:tcPr>
          <w:p w14:paraId="7D50F827">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rPr>
              <w:t>20</w:t>
            </w:r>
            <w:r>
              <w:rPr>
                <w:rFonts w:hint="eastAsia" w:ascii="宋体" w:hAnsi="宋体" w:eastAsia="宋体" w:cs="宋体"/>
                <w:b/>
                <w:bCs/>
                <w:kern w:val="0"/>
                <w:sz w:val="18"/>
                <w:szCs w:val="18"/>
                <w:lang w:val="en-US" w:eastAsia="zh-CN"/>
              </w:rPr>
              <w:t>23</w:t>
            </w:r>
          </w:p>
        </w:tc>
        <w:tc>
          <w:tcPr>
            <w:tcW w:w="741" w:type="dxa"/>
            <w:shd w:val="clear" w:color="auto" w:fill="auto"/>
            <w:vAlign w:val="center"/>
          </w:tcPr>
          <w:p w14:paraId="152F9F00">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bidi="ar-SA"/>
              </w:rPr>
            </w:pPr>
            <w:r>
              <w:rPr>
                <w:rFonts w:hint="eastAsia" w:ascii="宋体" w:hAnsi="宋体" w:eastAsia="宋体" w:cs="宋体"/>
                <w:b/>
                <w:bCs/>
                <w:kern w:val="0"/>
                <w:sz w:val="18"/>
                <w:szCs w:val="18"/>
              </w:rPr>
              <w:t>20</w:t>
            </w:r>
            <w:r>
              <w:rPr>
                <w:rFonts w:hint="eastAsia" w:ascii="宋体" w:hAnsi="宋体" w:eastAsia="宋体" w:cs="宋体"/>
                <w:b/>
                <w:bCs/>
                <w:kern w:val="0"/>
                <w:sz w:val="18"/>
                <w:szCs w:val="18"/>
                <w:lang w:val="en-US" w:eastAsia="zh-CN"/>
              </w:rPr>
              <w:t>24</w:t>
            </w:r>
          </w:p>
        </w:tc>
        <w:tc>
          <w:tcPr>
            <w:tcW w:w="856" w:type="dxa"/>
            <w:vAlign w:val="center"/>
          </w:tcPr>
          <w:p w14:paraId="539F72BC">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lang w:val="en-US" w:eastAsia="zh-CN"/>
              </w:rPr>
              <w:t>2025</w:t>
            </w:r>
          </w:p>
        </w:tc>
        <w:tc>
          <w:tcPr>
            <w:tcW w:w="1600" w:type="dxa"/>
            <w:vAlign w:val="center"/>
          </w:tcPr>
          <w:p w14:paraId="68FEFD80">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color w:val="auto"/>
                <w:kern w:val="0"/>
                <w:sz w:val="18"/>
                <w:szCs w:val="18"/>
                <w:lang w:val="en-US" w:eastAsia="zh-CN"/>
              </w:rPr>
            </w:pPr>
            <w:r>
              <w:rPr>
                <w:rFonts w:hint="eastAsia" w:ascii="宋体" w:hAnsi="宋体" w:eastAsia="宋体" w:cs="宋体"/>
                <w:b/>
                <w:bCs/>
                <w:color w:val="auto"/>
                <w:kern w:val="0"/>
                <w:sz w:val="18"/>
                <w:szCs w:val="18"/>
              </w:rPr>
              <w:t>20</w:t>
            </w:r>
            <w:r>
              <w:rPr>
                <w:rFonts w:hint="eastAsia" w:ascii="宋体" w:hAnsi="宋体" w:eastAsia="宋体" w:cs="宋体"/>
                <w:b/>
                <w:bCs/>
                <w:color w:val="auto"/>
                <w:kern w:val="0"/>
                <w:sz w:val="18"/>
                <w:szCs w:val="18"/>
                <w:lang w:val="en-US" w:eastAsia="zh-CN"/>
              </w:rPr>
              <w:t>20</w:t>
            </w:r>
            <w:r>
              <w:rPr>
                <w:rFonts w:hint="eastAsia" w:ascii="宋体" w:hAnsi="宋体" w:eastAsia="宋体" w:cs="宋体"/>
                <w:b/>
                <w:bCs/>
                <w:color w:val="auto"/>
                <w:kern w:val="0"/>
                <w:sz w:val="18"/>
                <w:szCs w:val="18"/>
              </w:rPr>
              <w:t>-20</w:t>
            </w:r>
            <w:r>
              <w:rPr>
                <w:rFonts w:hint="eastAsia" w:ascii="宋体" w:hAnsi="宋体" w:eastAsia="宋体" w:cs="宋体"/>
                <w:b/>
                <w:bCs/>
                <w:color w:val="auto"/>
                <w:kern w:val="0"/>
                <w:sz w:val="18"/>
                <w:szCs w:val="18"/>
                <w:lang w:val="en-US" w:eastAsia="zh-CN"/>
              </w:rPr>
              <w:t>25</w:t>
            </w:r>
          </w:p>
          <w:p w14:paraId="1CDC5D49">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color w:val="auto"/>
                <w:kern w:val="0"/>
                <w:sz w:val="18"/>
                <w:szCs w:val="18"/>
                <w:lang w:val="en-US" w:eastAsia="zh-CN"/>
              </w:rPr>
            </w:pPr>
            <w:r>
              <w:rPr>
                <w:rFonts w:hint="eastAsia" w:ascii="宋体" w:hAnsi="宋体" w:eastAsia="宋体" w:cs="宋体"/>
                <w:b/>
                <w:bCs/>
                <w:color w:val="auto"/>
                <w:kern w:val="0"/>
                <w:sz w:val="18"/>
                <w:szCs w:val="18"/>
              </w:rPr>
              <w:t>年均增速</w:t>
            </w:r>
            <w:r>
              <w:rPr>
                <w:rFonts w:hint="eastAsia" w:ascii="宋体" w:hAnsi="宋体" w:eastAsia="宋体" w:cs="宋体"/>
                <w:b/>
                <w:bCs/>
                <w:color w:val="auto"/>
                <w:kern w:val="0"/>
                <w:sz w:val="18"/>
                <w:szCs w:val="18"/>
                <w:lang w:eastAsia="zh-CN"/>
              </w:rPr>
              <w:t>（</w:t>
            </w:r>
            <w:r>
              <w:rPr>
                <w:rFonts w:hint="eastAsia" w:ascii="宋体" w:hAnsi="宋体" w:eastAsia="宋体" w:cs="宋体"/>
                <w:b/>
                <w:bCs/>
                <w:color w:val="auto"/>
                <w:kern w:val="0"/>
                <w:sz w:val="18"/>
                <w:szCs w:val="18"/>
                <w:lang w:val="en-US" w:eastAsia="zh-CN"/>
              </w:rPr>
              <w:t>%</w:t>
            </w:r>
            <w:r>
              <w:rPr>
                <w:rFonts w:hint="eastAsia" w:ascii="宋体" w:hAnsi="宋体" w:eastAsia="宋体" w:cs="宋体"/>
                <w:b/>
                <w:bCs/>
                <w:color w:val="auto"/>
                <w:kern w:val="0"/>
                <w:sz w:val="18"/>
                <w:szCs w:val="18"/>
                <w:lang w:eastAsia="zh-CN"/>
              </w:rPr>
              <w:t>）</w:t>
            </w:r>
          </w:p>
        </w:tc>
        <w:tc>
          <w:tcPr>
            <w:tcW w:w="1205" w:type="dxa"/>
            <w:noWrap/>
            <w:vAlign w:val="center"/>
          </w:tcPr>
          <w:p w14:paraId="4A5DF22C">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20</w:t>
            </w:r>
            <w:r>
              <w:rPr>
                <w:rFonts w:hint="eastAsia" w:ascii="宋体" w:hAnsi="宋体" w:eastAsia="宋体" w:cs="宋体"/>
                <w:b/>
                <w:bCs/>
                <w:kern w:val="0"/>
                <w:sz w:val="18"/>
                <w:szCs w:val="18"/>
                <w:lang w:val="en-US" w:eastAsia="zh-CN"/>
              </w:rPr>
              <w:t>25</w:t>
            </w:r>
            <w:r>
              <w:rPr>
                <w:rFonts w:hint="eastAsia" w:ascii="宋体" w:hAnsi="宋体" w:eastAsia="宋体" w:cs="宋体"/>
                <w:b/>
                <w:bCs/>
                <w:kern w:val="0"/>
                <w:sz w:val="18"/>
                <w:szCs w:val="18"/>
              </w:rPr>
              <w:t>年</w:t>
            </w:r>
          </w:p>
          <w:p w14:paraId="0CE95C14">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b/>
                <w:bCs/>
                <w:kern w:val="0"/>
                <w:sz w:val="18"/>
                <w:szCs w:val="18"/>
                <w:lang w:val="en-US" w:eastAsia="zh-CN"/>
              </w:rPr>
            </w:pPr>
            <w:r>
              <w:rPr>
                <w:rFonts w:hint="eastAsia" w:ascii="宋体" w:hAnsi="宋体" w:eastAsia="宋体" w:cs="宋体"/>
                <w:b/>
                <w:bCs/>
                <w:kern w:val="0"/>
                <w:sz w:val="18"/>
                <w:szCs w:val="18"/>
              </w:rPr>
              <w:t>占比</w:t>
            </w:r>
            <w:r>
              <w:rPr>
                <w:rFonts w:hint="eastAsia" w:ascii="宋体" w:hAnsi="宋体" w:eastAsia="宋体" w:cs="宋体"/>
                <w:b/>
                <w:bCs/>
                <w:kern w:val="0"/>
                <w:sz w:val="18"/>
                <w:szCs w:val="18"/>
                <w:lang w:eastAsia="zh-CN"/>
              </w:rPr>
              <w:t>（</w:t>
            </w:r>
            <w:r>
              <w:rPr>
                <w:rFonts w:hint="eastAsia" w:ascii="宋体" w:hAnsi="宋体" w:eastAsia="宋体" w:cs="宋体"/>
                <w:b/>
                <w:bCs/>
                <w:kern w:val="0"/>
                <w:sz w:val="18"/>
                <w:szCs w:val="18"/>
                <w:lang w:val="en-US" w:eastAsia="zh-CN"/>
              </w:rPr>
              <w:t>%</w:t>
            </w:r>
            <w:r>
              <w:rPr>
                <w:rFonts w:hint="eastAsia" w:ascii="宋体" w:hAnsi="宋体" w:eastAsia="宋体" w:cs="宋体"/>
                <w:b/>
                <w:bCs/>
                <w:kern w:val="0"/>
                <w:sz w:val="18"/>
                <w:szCs w:val="18"/>
                <w:lang w:eastAsia="zh-CN"/>
              </w:rPr>
              <w:t>）</w:t>
            </w:r>
          </w:p>
        </w:tc>
      </w:tr>
      <w:tr w14:paraId="7067FA6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65" w:type="dxa"/>
            <w:noWrap/>
            <w:vAlign w:val="center"/>
          </w:tcPr>
          <w:p w14:paraId="5E51A8EC">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小计</w:t>
            </w:r>
          </w:p>
        </w:tc>
        <w:tc>
          <w:tcPr>
            <w:tcW w:w="939" w:type="dxa"/>
            <w:vAlign w:val="center"/>
          </w:tcPr>
          <w:p w14:paraId="34B852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10333</w:t>
            </w:r>
          </w:p>
        </w:tc>
        <w:tc>
          <w:tcPr>
            <w:tcW w:w="741" w:type="dxa"/>
            <w:vAlign w:val="center"/>
          </w:tcPr>
          <w:p w14:paraId="78781E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10937</w:t>
            </w:r>
          </w:p>
        </w:tc>
        <w:tc>
          <w:tcPr>
            <w:tcW w:w="741" w:type="dxa"/>
            <w:vAlign w:val="center"/>
          </w:tcPr>
          <w:p w14:paraId="739368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10698</w:t>
            </w:r>
          </w:p>
        </w:tc>
        <w:tc>
          <w:tcPr>
            <w:tcW w:w="741" w:type="dxa"/>
            <w:noWrap/>
            <w:vAlign w:val="center"/>
          </w:tcPr>
          <w:p w14:paraId="4DF2BD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11147</w:t>
            </w:r>
          </w:p>
        </w:tc>
        <w:tc>
          <w:tcPr>
            <w:tcW w:w="741" w:type="dxa"/>
            <w:shd w:val="clear" w:color="auto" w:fill="auto"/>
            <w:noWrap/>
            <w:vAlign w:val="center"/>
          </w:tcPr>
          <w:p w14:paraId="3A0CEC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12147</w:t>
            </w:r>
          </w:p>
        </w:tc>
        <w:tc>
          <w:tcPr>
            <w:tcW w:w="856" w:type="dxa"/>
            <w:noWrap/>
            <w:vAlign w:val="center"/>
          </w:tcPr>
          <w:p w14:paraId="666455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12785</w:t>
            </w:r>
          </w:p>
        </w:tc>
        <w:tc>
          <w:tcPr>
            <w:tcW w:w="1600" w:type="dxa"/>
            <w:vAlign w:val="center"/>
          </w:tcPr>
          <w:p w14:paraId="40C839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 xml:space="preserve">4.4 </w:t>
            </w:r>
          </w:p>
        </w:tc>
        <w:tc>
          <w:tcPr>
            <w:tcW w:w="1205" w:type="dxa"/>
            <w:noWrap/>
            <w:vAlign w:val="center"/>
          </w:tcPr>
          <w:p w14:paraId="5FA477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rPr>
            </w:pPr>
            <w:r>
              <w:rPr>
                <w:rFonts w:hint="eastAsia" w:ascii="宋体" w:hAnsi="宋体" w:eastAsia="宋体" w:cs="宋体"/>
                <w:i w:val="0"/>
                <w:iCs w:val="0"/>
                <w:color w:val="000000"/>
                <w:kern w:val="0"/>
                <w:sz w:val="18"/>
                <w:szCs w:val="18"/>
                <w:u w:val="none"/>
                <w:lang w:val="en-US" w:eastAsia="zh-CN" w:bidi="ar"/>
              </w:rPr>
              <w:t>100.0</w:t>
            </w:r>
          </w:p>
        </w:tc>
      </w:tr>
      <w:tr w14:paraId="41A7180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65" w:type="dxa"/>
            <w:noWrap/>
            <w:vAlign w:val="center"/>
          </w:tcPr>
          <w:p w14:paraId="2BC1D490">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硫磺</w:t>
            </w:r>
          </w:p>
          <w:p w14:paraId="7199BC2D">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制酸</w:t>
            </w:r>
          </w:p>
        </w:tc>
        <w:tc>
          <w:tcPr>
            <w:tcW w:w="939" w:type="dxa"/>
            <w:vAlign w:val="center"/>
          </w:tcPr>
          <w:p w14:paraId="26543F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4584</w:t>
            </w:r>
          </w:p>
        </w:tc>
        <w:tc>
          <w:tcPr>
            <w:tcW w:w="741" w:type="dxa"/>
            <w:vAlign w:val="center"/>
          </w:tcPr>
          <w:p w14:paraId="6A1F88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4807</w:t>
            </w:r>
          </w:p>
        </w:tc>
        <w:tc>
          <w:tcPr>
            <w:tcW w:w="741" w:type="dxa"/>
            <w:vAlign w:val="center"/>
          </w:tcPr>
          <w:p w14:paraId="6A5703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4422</w:t>
            </w:r>
          </w:p>
        </w:tc>
        <w:tc>
          <w:tcPr>
            <w:tcW w:w="741" w:type="dxa"/>
            <w:noWrap/>
            <w:vAlign w:val="center"/>
          </w:tcPr>
          <w:p w14:paraId="5E10E8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4419</w:t>
            </w:r>
          </w:p>
        </w:tc>
        <w:tc>
          <w:tcPr>
            <w:tcW w:w="741" w:type="dxa"/>
            <w:shd w:val="clear" w:color="auto" w:fill="auto"/>
            <w:noWrap/>
            <w:vAlign w:val="center"/>
          </w:tcPr>
          <w:p w14:paraId="3CA500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5107</w:t>
            </w:r>
          </w:p>
        </w:tc>
        <w:tc>
          <w:tcPr>
            <w:tcW w:w="856" w:type="dxa"/>
            <w:noWrap/>
            <w:vAlign w:val="center"/>
          </w:tcPr>
          <w:p w14:paraId="69277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5211</w:t>
            </w:r>
          </w:p>
        </w:tc>
        <w:tc>
          <w:tcPr>
            <w:tcW w:w="1600" w:type="dxa"/>
            <w:vAlign w:val="center"/>
          </w:tcPr>
          <w:p w14:paraId="31A61E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 xml:space="preserve">2.6 </w:t>
            </w:r>
          </w:p>
        </w:tc>
        <w:tc>
          <w:tcPr>
            <w:tcW w:w="1205" w:type="dxa"/>
            <w:noWrap/>
            <w:vAlign w:val="center"/>
          </w:tcPr>
          <w:p w14:paraId="0AC951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eastAsia="zh-CN"/>
              </w:rPr>
            </w:pPr>
            <w:r>
              <w:rPr>
                <w:rFonts w:hint="eastAsia" w:ascii="宋体" w:hAnsi="宋体" w:eastAsia="宋体" w:cs="宋体"/>
                <w:i w:val="0"/>
                <w:iCs w:val="0"/>
                <w:color w:val="000000"/>
                <w:kern w:val="0"/>
                <w:sz w:val="18"/>
                <w:szCs w:val="18"/>
                <w:u w:val="none"/>
                <w:lang w:val="en-US" w:eastAsia="zh-CN" w:bidi="ar"/>
              </w:rPr>
              <w:t xml:space="preserve">40.8 </w:t>
            </w:r>
          </w:p>
        </w:tc>
      </w:tr>
      <w:tr w14:paraId="6531BF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65" w:type="dxa"/>
            <w:noWrap/>
            <w:vAlign w:val="center"/>
          </w:tcPr>
          <w:p w14:paraId="4AEA07F1">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冶炼</w:t>
            </w:r>
          </w:p>
          <w:p w14:paraId="301D3955">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制酸</w:t>
            </w:r>
          </w:p>
        </w:tc>
        <w:tc>
          <w:tcPr>
            <w:tcW w:w="939" w:type="dxa"/>
            <w:vAlign w:val="center"/>
          </w:tcPr>
          <w:p w14:paraId="4A5FF8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4030</w:t>
            </w:r>
          </w:p>
        </w:tc>
        <w:tc>
          <w:tcPr>
            <w:tcW w:w="741" w:type="dxa"/>
            <w:vAlign w:val="center"/>
          </w:tcPr>
          <w:p w14:paraId="1DEC90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4100</w:t>
            </w:r>
          </w:p>
        </w:tc>
        <w:tc>
          <w:tcPr>
            <w:tcW w:w="741" w:type="dxa"/>
            <w:vAlign w:val="center"/>
          </w:tcPr>
          <w:p w14:paraId="6F315A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4256</w:t>
            </w:r>
          </w:p>
        </w:tc>
        <w:tc>
          <w:tcPr>
            <w:tcW w:w="741" w:type="dxa"/>
            <w:noWrap/>
            <w:vAlign w:val="center"/>
          </w:tcPr>
          <w:p w14:paraId="436E35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4590</w:t>
            </w:r>
          </w:p>
        </w:tc>
        <w:tc>
          <w:tcPr>
            <w:tcW w:w="741" w:type="dxa"/>
            <w:shd w:val="clear" w:color="auto" w:fill="auto"/>
            <w:noWrap/>
            <w:vAlign w:val="center"/>
          </w:tcPr>
          <w:p w14:paraId="5E1A32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4859</w:t>
            </w:r>
          </w:p>
        </w:tc>
        <w:tc>
          <w:tcPr>
            <w:tcW w:w="856" w:type="dxa"/>
            <w:noWrap/>
            <w:vAlign w:val="center"/>
          </w:tcPr>
          <w:p w14:paraId="10CA83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5232</w:t>
            </w:r>
          </w:p>
        </w:tc>
        <w:tc>
          <w:tcPr>
            <w:tcW w:w="1600" w:type="dxa"/>
            <w:vAlign w:val="center"/>
          </w:tcPr>
          <w:p w14:paraId="61B90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 xml:space="preserve">5.4 </w:t>
            </w:r>
          </w:p>
        </w:tc>
        <w:tc>
          <w:tcPr>
            <w:tcW w:w="1205" w:type="dxa"/>
            <w:noWrap/>
            <w:vAlign w:val="center"/>
          </w:tcPr>
          <w:p w14:paraId="187BD3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 xml:space="preserve">40.9 </w:t>
            </w:r>
          </w:p>
        </w:tc>
      </w:tr>
      <w:tr w14:paraId="0BEC9EF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65" w:type="dxa"/>
            <w:noWrap/>
            <w:vAlign w:val="center"/>
          </w:tcPr>
          <w:p w14:paraId="52F14434">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硫铁矿制酸</w:t>
            </w:r>
          </w:p>
        </w:tc>
        <w:tc>
          <w:tcPr>
            <w:tcW w:w="939" w:type="dxa"/>
            <w:vAlign w:val="center"/>
          </w:tcPr>
          <w:p w14:paraId="3123A1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1570</w:t>
            </w:r>
          </w:p>
        </w:tc>
        <w:tc>
          <w:tcPr>
            <w:tcW w:w="741" w:type="dxa"/>
            <w:vAlign w:val="center"/>
          </w:tcPr>
          <w:p w14:paraId="7B9470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rPr>
            </w:pPr>
            <w:r>
              <w:rPr>
                <w:rFonts w:hint="eastAsia" w:ascii="宋体" w:hAnsi="宋体" w:eastAsia="宋体" w:cs="宋体"/>
                <w:i w:val="0"/>
                <w:iCs w:val="0"/>
                <w:color w:val="000000"/>
                <w:kern w:val="0"/>
                <w:sz w:val="18"/>
                <w:szCs w:val="18"/>
                <w:u w:val="none"/>
                <w:lang w:val="en-US" w:eastAsia="zh-CN" w:bidi="ar"/>
              </w:rPr>
              <w:t>1851</w:t>
            </w:r>
          </w:p>
        </w:tc>
        <w:tc>
          <w:tcPr>
            <w:tcW w:w="741" w:type="dxa"/>
            <w:vAlign w:val="center"/>
          </w:tcPr>
          <w:p w14:paraId="569172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1765</w:t>
            </w:r>
          </w:p>
        </w:tc>
        <w:tc>
          <w:tcPr>
            <w:tcW w:w="741" w:type="dxa"/>
            <w:noWrap/>
            <w:vAlign w:val="center"/>
          </w:tcPr>
          <w:p w14:paraId="66DB51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1903</w:t>
            </w:r>
          </w:p>
        </w:tc>
        <w:tc>
          <w:tcPr>
            <w:tcW w:w="741" w:type="dxa"/>
            <w:shd w:val="clear" w:color="auto" w:fill="auto"/>
            <w:noWrap/>
            <w:vAlign w:val="center"/>
          </w:tcPr>
          <w:p w14:paraId="675CFB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2038</w:t>
            </w:r>
          </w:p>
        </w:tc>
        <w:tc>
          <w:tcPr>
            <w:tcW w:w="856" w:type="dxa"/>
            <w:noWrap/>
            <w:vAlign w:val="center"/>
          </w:tcPr>
          <w:p w14:paraId="5CB912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2150</w:t>
            </w:r>
          </w:p>
        </w:tc>
        <w:tc>
          <w:tcPr>
            <w:tcW w:w="1600" w:type="dxa"/>
            <w:vAlign w:val="center"/>
          </w:tcPr>
          <w:p w14:paraId="496068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 xml:space="preserve">6.5 </w:t>
            </w:r>
          </w:p>
        </w:tc>
        <w:tc>
          <w:tcPr>
            <w:tcW w:w="1205" w:type="dxa"/>
            <w:noWrap/>
            <w:vAlign w:val="center"/>
          </w:tcPr>
          <w:p w14:paraId="0C0EFA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rPr>
            </w:pPr>
            <w:r>
              <w:rPr>
                <w:rFonts w:hint="eastAsia" w:ascii="宋体" w:hAnsi="宋体" w:eastAsia="宋体" w:cs="宋体"/>
                <w:i w:val="0"/>
                <w:iCs w:val="0"/>
                <w:color w:val="000000"/>
                <w:kern w:val="0"/>
                <w:sz w:val="18"/>
                <w:szCs w:val="18"/>
                <w:u w:val="none"/>
                <w:lang w:val="en-US" w:eastAsia="zh-CN" w:bidi="ar"/>
              </w:rPr>
              <w:t xml:space="preserve">16.8 </w:t>
            </w:r>
          </w:p>
        </w:tc>
      </w:tr>
      <w:tr w14:paraId="3B6948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65" w:type="dxa"/>
            <w:noWrap/>
            <w:vAlign w:val="center"/>
          </w:tcPr>
          <w:p w14:paraId="1EED8D8B">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其它</w:t>
            </w:r>
          </w:p>
          <w:p w14:paraId="7F5CC582">
            <w:pPr>
              <w:pageBreakBefore w:val="0"/>
              <w:widowControl/>
              <w:kinsoku/>
              <w:wordWrap/>
              <w:overflowPunct/>
              <w:topLinePunct w:val="0"/>
              <w:autoSpaceDE/>
              <w:autoSpaceDN/>
              <w:bidi w:val="0"/>
              <w:adjustRightInd/>
              <w:snapToGrid/>
              <w:spacing w:line="400" w:lineRule="exact"/>
              <w:jc w:val="center"/>
              <w:rPr>
                <w:rFonts w:hint="eastAsia" w:ascii="宋体" w:hAnsi="宋体" w:eastAsia="宋体" w:cs="宋体"/>
                <w:kern w:val="0"/>
                <w:sz w:val="18"/>
                <w:szCs w:val="18"/>
              </w:rPr>
            </w:pPr>
            <w:r>
              <w:rPr>
                <w:rFonts w:hint="eastAsia" w:ascii="宋体" w:hAnsi="宋体" w:eastAsia="宋体" w:cs="宋体"/>
                <w:kern w:val="0"/>
                <w:sz w:val="18"/>
                <w:szCs w:val="18"/>
              </w:rPr>
              <w:t>制酸</w:t>
            </w:r>
          </w:p>
        </w:tc>
        <w:tc>
          <w:tcPr>
            <w:tcW w:w="939" w:type="dxa"/>
            <w:vAlign w:val="center"/>
          </w:tcPr>
          <w:p w14:paraId="5BDC07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rPr>
            </w:pPr>
            <w:r>
              <w:rPr>
                <w:rFonts w:hint="eastAsia" w:ascii="宋体" w:hAnsi="宋体" w:eastAsia="宋体" w:cs="宋体"/>
                <w:i w:val="0"/>
                <w:iCs w:val="0"/>
                <w:color w:val="000000"/>
                <w:kern w:val="0"/>
                <w:sz w:val="18"/>
                <w:szCs w:val="18"/>
                <w:u w:val="none"/>
                <w:lang w:val="en-US" w:eastAsia="zh-CN" w:bidi="ar"/>
              </w:rPr>
              <w:t>148</w:t>
            </w:r>
          </w:p>
        </w:tc>
        <w:tc>
          <w:tcPr>
            <w:tcW w:w="741" w:type="dxa"/>
            <w:vAlign w:val="center"/>
          </w:tcPr>
          <w:p w14:paraId="45612B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rPr>
            </w:pPr>
            <w:r>
              <w:rPr>
                <w:rFonts w:hint="eastAsia" w:ascii="宋体" w:hAnsi="宋体" w:eastAsia="宋体" w:cs="宋体"/>
                <w:i w:val="0"/>
                <w:iCs w:val="0"/>
                <w:color w:val="000000"/>
                <w:kern w:val="0"/>
                <w:sz w:val="18"/>
                <w:szCs w:val="18"/>
                <w:u w:val="none"/>
                <w:lang w:val="en-US" w:eastAsia="zh-CN" w:bidi="ar"/>
              </w:rPr>
              <w:t>179</w:t>
            </w:r>
          </w:p>
        </w:tc>
        <w:tc>
          <w:tcPr>
            <w:tcW w:w="741" w:type="dxa"/>
            <w:vAlign w:val="center"/>
          </w:tcPr>
          <w:p w14:paraId="19F5E3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255</w:t>
            </w:r>
          </w:p>
        </w:tc>
        <w:tc>
          <w:tcPr>
            <w:tcW w:w="741" w:type="dxa"/>
            <w:noWrap/>
            <w:vAlign w:val="center"/>
          </w:tcPr>
          <w:p w14:paraId="2B3956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rPr>
            </w:pPr>
            <w:r>
              <w:rPr>
                <w:rFonts w:hint="eastAsia" w:ascii="宋体" w:hAnsi="宋体" w:eastAsia="宋体" w:cs="宋体"/>
                <w:i w:val="0"/>
                <w:iCs w:val="0"/>
                <w:color w:val="000000"/>
                <w:kern w:val="0"/>
                <w:sz w:val="18"/>
                <w:szCs w:val="18"/>
                <w:u w:val="none"/>
                <w:lang w:val="en-US" w:eastAsia="zh-CN" w:bidi="ar"/>
              </w:rPr>
              <w:t>235</w:t>
            </w:r>
          </w:p>
        </w:tc>
        <w:tc>
          <w:tcPr>
            <w:tcW w:w="741" w:type="dxa"/>
            <w:shd w:val="clear" w:color="auto" w:fill="auto"/>
            <w:noWrap/>
            <w:vAlign w:val="center"/>
          </w:tcPr>
          <w:p w14:paraId="1FAA7B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144</w:t>
            </w:r>
          </w:p>
        </w:tc>
        <w:tc>
          <w:tcPr>
            <w:tcW w:w="856" w:type="dxa"/>
            <w:noWrap/>
            <w:vAlign w:val="center"/>
          </w:tcPr>
          <w:p w14:paraId="6CEABF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192</w:t>
            </w:r>
          </w:p>
        </w:tc>
        <w:tc>
          <w:tcPr>
            <w:tcW w:w="1600" w:type="dxa"/>
            <w:vAlign w:val="center"/>
          </w:tcPr>
          <w:p w14:paraId="47E47B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18"/>
                <w:szCs w:val="18"/>
              </w:rPr>
            </w:pPr>
            <w:r>
              <w:rPr>
                <w:rFonts w:hint="eastAsia" w:ascii="宋体" w:hAnsi="宋体" w:eastAsia="宋体" w:cs="宋体"/>
                <w:i w:val="0"/>
                <w:iCs w:val="0"/>
                <w:color w:val="auto"/>
                <w:kern w:val="0"/>
                <w:sz w:val="18"/>
                <w:szCs w:val="18"/>
                <w:u w:val="none"/>
                <w:lang w:val="en-US" w:eastAsia="zh-CN" w:bidi="ar"/>
              </w:rPr>
              <w:t xml:space="preserve">5.3 </w:t>
            </w:r>
          </w:p>
        </w:tc>
        <w:tc>
          <w:tcPr>
            <w:tcW w:w="1205" w:type="dxa"/>
            <w:noWrap/>
            <w:vAlign w:val="center"/>
          </w:tcPr>
          <w:p w14:paraId="50C69F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kern w:val="0"/>
                <w:sz w:val="18"/>
                <w:szCs w:val="18"/>
                <w:lang w:eastAsia="zh-CN"/>
              </w:rPr>
            </w:pPr>
            <w:r>
              <w:rPr>
                <w:rFonts w:hint="eastAsia" w:ascii="宋体" w:hAnsi="宋体" w:eastAsia="宋体" w:cs="宋体"/>
                <w:i w:val="0"/>
                <w:iCs w:val="0"/>
                <w:color w:val="000000"/>
                <w:kern w:val="0"/>
                <w:sz w:val="18"/>
                <w:szCs w:val="18"/>
                <w:u w:val="none"/>
                <w:lang w:val="en-US" w:eastAsia="zh-CN" w:bidi="ar"/>
              </w:rPr>
              <w:t xml:space="preserve">1.5 </w:t>
            </w:r>
          </w:p>
        </w:tc>
      </w:tr>
    </w:tbl>
    <w:p w14:paraId="72EA15C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1.2 产业集中度不断提高</w:t>
      </w:r>
    </w:p>
    <w:p w14:paraId="1B14FB07">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rPr>
      </w:pPr>
      <w:r>
        <w:rPr>
          <w:rFonts w:hint="eastAsia" w:ascii="宋体" w:hAnsi="宋体" w:eastAsia="宋体" w:cs="宋体"/>
          <w:sz w:val="21"/>
          <w:szCs w:val="21"/>
        </w:rPr>
        <w:t>据协会统计，202</w:t>
      </w:r>
      <w:r>
        <w:rPr>
          <w:rFonts w:hint="eastAsia" w:ascii="宋体" w:hAnsi="宋体" w:eastAsia="宋体" w:cs="宋体"/>
          <w:sz w:val="21"/>
          <w:szCs w:val="21"/>
          <w:lang w:val="en-US" w:eastAsia="zh-CN"/>
        </w:rPr>
        <w:t>5</w:t>
      </w:r>
      <w:r>
        <w:rPr>
          <w:rFonts w:hint="eastAsia" w:ascii="宋体" w:hAnsi="宋体" w:eastAsia="宋体" w:cs="宋体"/>
          <w:sz w:val="21"/>
          <w:szCs w:val="21"/>
        </w:rPr>
        <w:t>年硫酸产量前10名企业合计产量为</w:t>
      </w:r>
      <w:r>
        <w:rPr>
          <w:rFonts w:hint="eastAsia" w:ascii="宋体" w:hAnsi="宋体" w:eastAsia="宋体" w:cs="宋体"/>
          <w:sz w:val="21"/>
          <w:szCs w:val="21"/>
          <w:lang w:val="en-US" w:eastAsia="zh-CN"/>
        </w:rPr>
        <w:t>5411万吨，</w:t>
      </w:r>
      <w:r>
        <w:rPr>
          <w:rFonts w:hint="eastAsia" w:ascii="宋体" w:hAnsi="宋体" w:eastAsia="宋体" w:cs="宋体"/>
          <w:sz w:val="21"/>
          <w:szCs w:val="21"/>
        </w:rPr>
        <w:t>较“十</w:t>
      </w:r>
      <w:r>
        <w:rPr>
          <w:rFonts w:hint="eastAsia" w:ascii="宋体" w:hAnsi="宋体" w:eastAsia="宋体" w:cs="宋体"/>
          <w:sz w:val="21"/>
          <w:szCs w:val="21"/>
          <w:lang w:val="en-US" w:eastAsia="zh-CN"/>
        </w:rPr>
        <w:t>三</w:t>
      </w:r>
      <w:r>
        <w:rPr>
          <w:rFonts w:hint="eastAsia" w:ascii="宋体" w:hAnsi="宋体" w:eastAsia="宋体" w:cs="宋体"/>
          <w:sz w:val="21"/>
          <w:szCs w:val="21"/>
        </w:rPr>
        <w:t>五”末期增长了</w:t>
      </w:r>
      <w:r>
        <w:rPr>
          <w:rFonts w:hint="eastAsia" w:ascii="宋体" w:hAnsi="宋体" w:eastAsia="宋体" w:cs="宋体"/>
          <w:sz w:val="21"/>
          <w:szCs w:val="21"/>
          <w:lang w:val="en-US" w:eastAsia="zh-CN"/>
        </w:rPr>
        <w:t>44.1</w:t>
      </w:r>
      <w:r>
        <w:rPr>
          <w:rFonts w:hint="eastAsia" w:ascii="宋体" w:hAnsi="宋体" w:eastAsia="宋体" w:cs="宋体"/>
          <w:sz w:val="21"/>
          <w:szCs w:val="21"/>
        </w:rPr>
        <w:t>%；</w:t>
      </w:r>
      <w:r>
        <w:rPr>
          <w:rFonts w:hint="eastAsia" w:ascii="宋体" w:hAnsi="宋体" w:eastAsia="宋体" w:cs="宋体"/>
          <w:sz w:val="21"/>
          <w:szCs w:val="21"/>
          <w:lang w:val="en-US" w:eastAsia="zh-CN"/>
        </w:rPr>
        <w:t>前10名企业市场份额占比</w:t>
      </w:r>
      <w:r>
        <w:rPr>
          <w:rFonts w:hint="eastAsia" w:ascii="宋体" w:hAnsi="宋体" w:eastAsia="宋体" w:cs="宋体"/>
          <w:sz w:val="21"/>
          <w:szCs w:val="21"/>
        </w:rPr>
        <w:t>4</w:t>
      </w:r>
      <w:r>
        <w:rPr>
          <w:rFonts w:hint="eastAsia" w:ascii="宋体" w:hAnsi="宋体" w:eastAsia="宋体" w:cs="宋体"/>
          <w:sz w:val="21"/>
          <w:szCs w:val="21"/>
          <w:lang w:val="en-US" w:eastAsia="zh-CN"/>
        </w:rPr>
        <w:t>2.3</w:t>
      </w:r>
      <w:r>
        <w:rPr>
          <w:rFonts w:hint="eastAsia" w:ascii="宋体" w:hAnsi="宋体" w:eastAsia="宋体" w:cs="宋体"/>
          <w:sz w:val="21"/>
          <w:szCs w:val="21"/>
        </w:rPr>
        <w:t>%</w:t>
      </w:r>
      <w:r>
        <w:rPr>
          <w:rFonts w:hint="eastAsia" w:ascii="宋体" w:hAnsi="宋体" w:eastAsia="宋体" w:cs="宋体"/>
          <w:sz w:val="21"/>
          <w:szCs w:val="21"/>
          <w:lang w:eastAsia="zh-CN"/>
        </w:rPr>
        <w:t>，</w:t>
      </w:r>
      <w:r>
        <w:rPr>
          <w:rFonts w:hint="eastAsia" w:ascii="宋体" w:hAnsi="宋体" w:eastAsia="宋体" w:cs="宋体"/>
          <w:sz w:val="21"/>
          <w:szCs w:val="21"/>
        </w:rPr>
        <w:t>较“十</w:t>
      </w:r>
      <w:r>
        <w:rPr>
          <w:rFonts w:hint="eastAsia" w:ascii="宋体" w:hAnsi="宋体" w:eastAsia="宋体" w:cs="宋体"/>
          <w:sz w:val="21"/>
          <w:szCs w:val="21"/>
          <w:lang w:val="en-US" w:eastAsia="zh-CN"/>
        </w:rPr>
        <w:t>三</w:t>
      </w:r>
      <w:r>
        <w:rPr>
          <w:rFonts w:hint="eastAsia" w:ascii="宋体" w:hAnsi="宋体" w:eastAsia="宋体" w:cs="宋体"/>
          <w:sz w:val="21"/>
          <w:szCs w:val="21"/>
        </w:rPr>
        <w:t>五”末期提升了</w:t>
      </w:r>
      <w:r>
        <w:rPr>
          <w:rFonts w:hint="eastAsia" w:ascii="宋体" w:hAnsi="宋体" w:eastAsia="宋体" w:cs="宋体"/>
          <w:sz w:val="21"/>
          <w:szCs w:val="21"/>
          <w:lang w:val="en-US" w:eastAsia="zh-CN"/>
        </w:rPr>
        <w:t>4.2</w:t>
      </w:r>
      <w:r>
        <w:rPr>
          <w:rFonts w:hint="eastAsia" w:ascii="宋体" w:hAnsi="宋体" w:eastAsia="宋体" w:cs="宋体"/>
          <w:sz w:val="21"/>
          <w:szCs w:val="21"/>
        </w:rPr>
        <w:t>个百分点。</w:t>
      </w:r>
    </w:p>
    <w:p w14:paraId="10EE9F1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1.3 硫资源对外综合依存度仍然较高</w:t>
      </w:r>
    </w:p>
    <w:p w14:paraId="30A83FDC">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国硫资源对外依存度高。2025年国产硫资源2461万吨，占总供应量的53.3%，比“十三五”末期提高了0.7个百分点。但穿透国产硫资源的源头，有相当比例是进口的。综合来看，我国硫资源对外综合依存度仍然居高不下。</w:t>
      </w:r>
    </w:p>
    <w:p w14:paraId="53B4FBCC">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国硫资源第一大来源——硫磺，对外依存度在50%左右，每年需进口硫磺1000万吨，国产硫磺产量1000万吨。但所谓国产硫磺，也多来源于进口原油炼制过程中副产的硫磺，如果将这部分硫磺也计入外来资源，那么硫磺的对外依存度将大幅提高。我国硫资源第二大来源——有色金属冶炼副产硫酸，其原料铜、铅、锌精矿对外依存度更高。尤其是，第一大副产硫酸的金属品种——铜冶炼，其精矿的对外依存度在85%左右。硫资源第三大来源——硫铁矿，其自给率是三种原料中最高的，但在所有硫资源中占比有限，2025年占比仅为17%左右。</w:t>
      </w:r>
    </w:p>
    <w:p w14:paraId="7447969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1.4 原材料结构多元化</w:t>
      </w:r>
    </w:p>
    <w:p w14:paraId="413C6FB2">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除了硫磺、硫铁矿和冶炼烟气三大原料以外，为解决含硫废物环保压力，缓解硫资源对外依存度高的问题，硫酸行业还开拓了更多的原料来源，如硫化氢、含硫废液、废硫酸、废硫磺、工业副产石膏等。尤其是瓮福集团“1468项目”，140万吨/年磷石膏分解制备60万/年硫酸联产80万/年水泥，该项目采用富氧燃烧耦合低温催化分解技术，对于破解传统技术能耗高、硫回收率低的瓶颈，具有重要借鉴意义，为大规模推广磷石膏制酸技术打下坚实基础。</w:t>
      </w:r>
    </w:p>
    <w:p w14:paraId="6F054D1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1.5 绿色低碳发展持续推进</w:t>
      </w:r>
    </w:p>
    <w:p w14:paraId="0D4DDA5B">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rPr>
      </w:pPr>
      <w:r>
        <w:rPr>
          <w:rFonts w:hint="eastAsia" w:ascii="宋体" w:hAnsi="宋体" w:eastAsia="宋体" w:cs="宋体"/>
          <w:sz w:val="21"/>
          <w:szCs w:val="21"/>
          <w:lang w:val="en-US" w:eastAsia="zh-CN"/>
        </w:rPr>
        <w:t>硫酸行业不断强化</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能源工厂</w:t>
      </w:r>
      <w:r>
        <w:rPr>
          <w:rFonts w:hint="eastAsia" w:ascii="宋体" w:hAnsi="宋体" w:eastAsia="宋体" w:cs="宋体"/>
          <w:sz w:val="21"/>
          <w:szCs w:val="21"/>
          <w:lang w:eastAsia="zh-CN"/>
        </w:rPr>
        <w:t>”的</w:t>
      </w:r>
      <w:r>
        <w:rPr>
          <w:rFonts w:hint="eastAsia" w:ascii="宋体" w:hAnsi="宋体" w:eastAsia="宋体" w:cs="宋体"/>
          <w:sz w:val="21"/>
          <w:szCs w:val="21"/>
          <w:lang w:val="en-US" w:eastAsia="zh-CN"/>
        </w:rPr>
        <w:t>理念，将绿色低碳发展作为企业的核心竞争力。在环境保护方面，随着排放标准的逐步收严和配套的污染物检测方法的完善，硫酸</w:t>
      </w:r>
      <w:r>
        <w:rPr>
          <w:rFonts w:hint="eastAsia" w:ascii="宋体" w:hAnsi="宋体" w:eastAsia="宋体" w:cs="宋体"/>
          <w:sz w:val="21"/>
          <w:szCs w:val="21"/>
        </w:rPr>
        <w:t>企业普遍采用更先进的尾气处理技术，</w:t>
      </w:r>
      <w:r>
        <w:rPr>
          <w:rFonts w:hint="eastAsia" w:ascii="宋体" w:hAnsi="宋体" w:eastAsia="宋体" w:cs="宋体"/>
          <w:sz w:val="21"/>
          <w:szCs w:val="21"/>
          <w:lang w:val="en-US" w:eastAsia="zh-CN"/>
        </w:rPr>
        <w:t>不仅</w:t>
      </w:r>
      <w:r>
        <w:rPr>
          <w:rFonts w:hint="eastAsia" w:ascii="宋体" w:hAnsi="宋体" w:eastAsia="宋体" w:cs="宋体"/>
          <w:sz w:val="21"/>
          <w:szCs w:val="21"/>
        </w:rPr>
        <w:t>确保二氧化硫达标排放</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还大幅降低尾气中硫酸雾的含量，同时做得硫资源的回收利用</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在节能降碳方面，我国硫酸行业已经走在全球前列，硫磺制酸的低温余热回收装置配套率超过90%，吨酸产汽量可达到1.7吨。随着协会牵头制定的硫酸行业碳排放核算方法与报告要求国家标准的发布实施，硫酸装置作为“降碳”的重要抓手也将得到充分体现。根据标准的规定，硫酸装置副产的蒸汽和电力，外供给下游产品使用的，其副产蒸汽和电力按照零碳排放量来计算，这将对下游产品碳足迹的进一步降低具有重大现实意义。</w:t>
      </w:r>
    </w:p>
    <w:p w14:paraId="7A53624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1.6 智能化转型成效显著</w:t>
      </w:r>
    </w:p>
    <w:p w14:paraId="61334597">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rPr>
        <w:t>硫酸行业装备向智能化、自动化方向快速发展</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企业DCS系统、数字工厂运营服务平台不断完善。APC先进控制系统在大型硫磺制酸装置中得到广泛应用，实现生产过程的自动化调整和精准优化，向黑灯工厂大步迈进。硫酸智能装车装置也得到广泛应用，槽车网上预约入场、自动识别车牌号进入罐区、指定位置停车、司机取票、定量装酸，全过程自动操作，无人值守，不仅极大的提高了装酸的效率，且全程远程操作，提高了本质安全。</w:t>
      </w:r>
    </w:p>
    <w:p w14:paraId="756387F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1.7 产品多元化、高端化发展，满足新兴产业需求</w:t>
      </w:r>
    </w:p>
    <w:p w14:paraId="4416566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新能源、半导体、光伏等新兴产业的快速发展，硫酸相关的衍生品、高纯产品不断提升品质，以满足相关产业的高端需求。二氧化硫、三氧化硫、发烟酸、氨基磺酸、氯磺酸、电子级硫酸、高纯硫化氢等小众硫酸衍生品的产能产量快速增长，产品品质取得长足进步，逐步替代进口。多元化、高端化发展，不仅提升了硫酸企业的利润空间，为硫酸的转型升级提供了新赛道，还满足了下游新兴产业的新需求，成为硫酸行业新的增长点。</w:t>
      </w:r>
    </w:p>
    <w:p w14:paraId="0380C87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面临的形势</w:t>
      </w:r>
    </w:p>
    <w:p w14:paraId="0F3475B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 国内形势</w:t>
      </w:r>
    </w:p>
    <w:p w14:paraId="4B8736C2">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2.1.1 硫资源供需</w:t>
      </w:r>
    </w:p>
    <w:p w14:paraId="4256E050">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硫资源端来看，我国成品油需求已经达峰，未来新建炼化装置寥寥无几，炼化副产的硫磺几无增量。天然气的需求仍然旺盛，天然气探气的动力仍存，但是否有大的发现，以及开采的进度难测，天然气净化副产硫磺近期增量有限。</w:t>
      </w:r>
    </w:p>
    <w:p w14:paraId="537D940F">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需求端看，随着大国竞争形势日趋严峻，粮食安全愈发重要，化肥行业对硫酸的需求将保持相对稳定，小幅增长。动力电池、储能、半导体等新兴产业在“十五五”仍将高速发展，对硫酸的需求增量明显。未来几年，我国硫资源保障压力持续增大，挖掘现有硫资源的潜力，开拓新的硫资源来源，是硫酸行业工作的关键。</w:t>
      </w:r>
    </w:p>
    <w:p w14:paraId="67720B96">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2.1.2 高质量发展</w:t>
      </w:r>
    </w:p>
    <w:p w14:paraId="416ACDFF">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“十五五”我国将进一步高质量发展，建设现代化产业体系。硫酸作为现代化产业的基底，其支撑传统制造业和战略性新兴产业的作用和价值将进一步凸显。对于硫酸行业的</w:t>
      </w:r>
      <w:r>
        <w:rPr>
          <w:rFonts w:hint="eastAsia" w:ascii="宋体" w:hAnsi="宋体" w:eastAsia="宋体" w:cs="宋体"/>
          <w:sz w:val="21"/>
          <w:szCs w:val="21"/>
          <w:lang w:eastAsia="zh-CN"/>
        </w:rPr>
        <w:t>绿色化、</w:t>
      </w:r>
      <w:r>
        <w:rPr>
          <w:rFonts w:hint="eastAsia" w:ascii="宋体" w:hAnsi="宋体" w:eastAsia="宋体" w:cs="宋体"/>
          <w:sz w:val="21"/>
          <w:szCs w:val="21"/>
          <w:lang w:val="en-US" w:eastAsia="zh-CN"/>
        </w:rPr>
        <w:t>智能化、本质安全、产品质量的要求将逐步提高。需要重点在几下几个方面发力：硫酸装置的自动化控制、黑灯工厂的建设，硫酸生产界区的“零碳”园区打造，硫酸安全设计规范的更新实现硫酸装置设计的本质安全，高纯硫酸及硫酸衍生品的质量提升，满足下游产业的高质量发展需求。</w:t>
      </w:r>
    </w:p>
    <w:p w14:paraId="17ED9E44">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2.1.3 绿色化发展</w:t>
      </w:r>
    </w:p>
    <w:p w14:paraId="31A7071C">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硫酸的污染物排放标准、取水标准、能耗标准、产品标准的修订和严格实施，将倒逼硫酸企业进一步减少污染物排放、节约用水、提高资源利用率以及余热回收率，促进落后产能淘汰，硫资源的紧张和价格高位运行，将进一步加速产能的新陈代谢，提升硫酸行业整体的绿色化水平。</w:t>
      </w:r>
    </w:p>
    <w:p w14:paraId="6CEBF796">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2.1.4 人才队伍建设</w:t>
      </w:r>
    </w:p>
    <w:p w14:paraId="13132C05">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人口老龄化日益严峻，工业领域的人才队伍建设难度逐年增大。尤其是硫酸作为基础化工原材料，行业效益不佳，工作环境较差，且具有一定危险性，福利待遇水平一般，行业培养人才、留住人才一直是阻碍行业发展的老大难问题。行业企业虽然已经在能力范围内提升了员工待遇，增加了劳动保护，但人才流失的问题仍然严重，尤其是近年来硫酸新建装置产能快速扩张，对老企业的技术骨干和熟练操作工的需求强烈。如何留住人才，培养新人是行业面临的普遍问题。</w:t>
      </w:r>
    </w:p>
    <w:p w14:paraId="3D65690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国际形势</w:t>
      </w:r>
    </w:p>
    <w:p w14:paraId="4D3B88DA">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2.2.1 硫资源供需</w:t>
      </w:r>
    </w:p>
    <w:p w14:paraId="0666487C">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在硫资源方面，</w:t>
      </w:r>
      <w:r>
        <w:rPr>
          <w:rFonts w:hint="eastAsia" w:ascii="宋体" w:hAnsi="宋体" w:eastAsia="宋体" w:cs="宋体"/>
          <w:sz w:val="21"/>
          <w:szCs w:val="21"/>
          <w:lang w:eastAsia="zh-CN"/>
        </w:rPr>
        <w:t>全球</w:t>
      </w:r>
      <w:r>
        <w:rPr>
          <w:rFonts w:hint="eastAsia" w:ascii="宋体" w:hAnsi="宋体" w:eastAsia="宋体" w:cs="宋体"/>
          <w:sz w:val="21"/>
          <w:szCs w:val="21"/>
          <w:lang w:val="en-US" w:eastAsia="zh-CN"/>
        </w:rPr>
        <w:t>经贸形势变幻莫测，大国竞争明显加剧，产业链供应链安全日益凸显，硫资源保障的重要性明显提升。全球原油需求预计将于2030-2035年达峰，炼化副产硫磺随之达峰。预计，全球天然气需求也将于2040-2045年达峰。硫磺的两大来源的需求陆续达峰，将显著影响硫磺的供应。另一方面，随着国际磷肥、湿法冶炼的产能持续增长，对硫资源的需求快速增长，加剧了国际硫资源供需紧张的局面，我国硫资源保障难度进一步加大。</w:t>
      </w:r>
    </w:p>
    <w:p w14:paraId="34C29B76">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2.2.2 技术交流</w:t>
      </w:r>
    </w:p>
    <w:p w14:paraId="6F83B462">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eastAsia="zh-CN"/>
        </w:rPr>
        <w:t>在</w:t>
      </w:r>
      <w:r>
        <w:rPr>
          <w:rFonts w:hint="eastAsia" w:ascii="宋体" w:hAnsi="宋体" w:eastAsia="宋体" w:cs="宋体"/>
          <w:sz w:val="21"/>
          <w:szCs w:val="21"/>
          <w:lang w:val="en-US" w:eastAsia="zh-CN"/>
        </w:rPr>
        <w:t>技术方面，我国仍然需要与国际先进企业学习、交流。尤其是在高纯硫酸生产、富氧、纯氧燃烧在制酸中的应用、高浓度二氧化硫转化、提高副产蒸汽的压力等级等方面。这些方面的技术突破，将有利于我国碳达峰碳中和的尽快实现。</w:t>
      </w:r>
    </w:p>
    <w:p w14:paraId="4779305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“十五五”发展趋势判断</w:t>
      </w:r>
    </w:p>
    <w:p w14:paraId="436FA61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 “双碳”战略逐步落地，将重塑硫资源价值</w:t>
      </w:r>
    </w:p>
    <w:p w14:paraId="1D28FBF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供给端来看，首先随着“双碳”政策逐步落实，非化石能源占一次能源消费的比重从2020年的15.8%提升至2025年的20%以上。作为传统的化石能源——石油和天然气的消费量将陆续达峰，这必然导致副产硫磺的产量下降；其次，随着金属回收系统的完善，以及回收技术的进步，回收金属的比例将越来越大，原矿冶炼的有色金属比例将降低，从而影响冶炼副产的硫酸产量。从需求端来看，随着“新能源”领域的快速发展，极大地拉动了新能源金属——镍钴锂及电极材料磷酸铁锂的需求，我国作为新能源产业的全球领军者，其需求必将快速增长，从而带动硫酸需求的增长。总之，随着“双碳”政策的逐步深入，对硫酸的供需都带来了极大的变化，硫资源的供需平衡已经开始重塑，硫资源的价值将被重新定义。</w:t>
      </w:r>
    </w:p>
    <w:p w14:paraId="776C4549">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 碳资产价值提升，硫酸系统节能、节水水平将继续提升</w:t>
      </w:r>
    </w:p>
    <w:p w14:paraId="6DDD93E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双碳”相关配套政策逐步落地，碳资产的价值将得到充分体现。硫酸装置不仅仅作为“能源工厂”，在硫酸碳排放核算方法和碳足迹核算要求国家标准实施后，硫酸装置更可以作为“零碳能源”的供应者，帮助下游产品实现降碳的目标。未来，不仅硫酸作为硫资源的价值得到充分体现，硫酸装置副产的“零碳能源”的碳资产价值也将越来越凸显。随着“零碳能源”价值的提高，硫酸系统的节能、节水以及余热利用率都将进一步提升，围绕节能主题，富氧焙烧、高浓度二氧化硫转化、提高副产蒸汽的压力等级等技术和工艺都将实施和发展。</w:t>
      </w:r>
    </w:p>
    <w:p w14:paraId="76DEC11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 含硫废物资源化利用将得到大力发展，尤其是磷石膏制硫酸联产水泥</w:t>
      </w:r>
    </w:p>
    <w:p w14:paraId="0CC1C924">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硫资源供需平衡的趋势性变化，如何有效拓展硫资源的来源成为行业面临的重要课题。为了保障我国硫资源的供应安全，抑制硫资源价格过快上涨，同时解决含硫废物的污染和综合利用难题，含硫废物综合利用制备硫酸将成为主要的发展方向。目前废硫酸、废硫磺、含硫废液、酸性气和硫酸亚铁等含硫废物制硫酸均有应用，且技术成熟，但其进一步扩展硫资源的潜力有限。目前最具潜力的就是磷石膏制酸联产水泥的技术推广，原因如下：首先，磷石膏的存量大，目前累计堆存量超过2亿吨；增量可观，2024年磷石膏产生量约8600万吨</w:t>
      </w:r>
      <w:r>
        <w:rPr>
          <w:rFonts w:hint="eastAsia" w:ascii="宋体" w:hAnsi="宋体" w:eastAsia="宋体" w:cs="宋体"/>
          <w:sz w:val="21"/>
          <w:szCs w:val="21"/>
          <w:vertAlign w:val="superscript"/>
          <w:lang w:val="en-US" w:eastAsia="zh-CN"/>
        </w:rPr>
        <w:t>[1]</w:t>
      </w:r>
      <w:r>
        <w:rPr>
          <w:rFonts w:hint="eastAsia" w:ascii="宋体" w:hAnsi="宋体" w:eastAsia="宋体" w:cs="宋体"/>
          <w:sz w:val="21"/>
          <w:szCs w:val="21"/>
          <w:lang w:val="en-US" w:eastAsia="zh-CN"/>
        </w:rPr>
        <w:t>，且未来产生量稳定增长；其次磷石膏综合治理压力大，促进磷石膏制硫酸联产水泥的落地实施。2025年底国务院印发的《固体废物综合治理行动计划》中，第十六条明确指出，“深入推进磷石膏综合治理。加强磷石膏贮存、运输、利用等环节环境管理，严格执行磷石膏利用和无害化贮存污染控制技术规范。到2027年，云南、湖北、贵州、四川、安徽、重庆等地区完成存量磷石膏库整治”。协会已向政府相关部门报告，要求对磷石膏制酸联产水泥放宽水泥指标限制，同时予以相应的资金支持，加快技术推广进度。</w:t>
      </w:r>
    </w:p>
    <w:p w14:paraId="42D65DA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 高端化、差异化的硫酸衍生品的需求即将爆发</w:t>
      </w:r>
    </w:p>
    <w:p w14:paraId="58D721C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随着芯片、光伏、动力电池、储能等新兴行业的高速发展，对高纯硫酸及硫酸衍生品的需求将迎来爆发。为满足国产芯片、光伏对高纯硫酸的需求，我国电子级硫酸的产业在过去几年得到了突飞猛进的发展，不论是产量还是质量都取得了长足的进步。当前，我们不仅能满足国内的需求，还走出国门，开始向国外供应高纯硫酸。动力电池和储能是需求的另外一个主要增长点。无论是新能源金属镍钴锂，还是电极材料磷酸铁锂，亦或是未来迭代的热点固态电池，其追溯原料的源头，不管是现在的以硫酸为起点，还是未来以硫化氢为起点，都是对硫的需求的极大拉动。</w:t>
      </w:r>
    </w:p>
    <w:p w14:paraId="05F1302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 人工智能的发展，带动硫酸智能化控制快速迭代</w:t>
      </w:r>
    </w:p>
    <w:p w14:paraId="2248CB07">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当前，全球已经基本取得共识，新一代的科技革命就指向人工智能的发展。随着人工智能应用的逐步下沉，各行各业都将收益。硫酸作为最传统的化工产品，其智能化控制，自动开停车，“零手动”操作，“黑灯工厂”等发展愿景都将迅速落地并快速迭代。智能系统的开发，将极大的降低对操作工人的理论水平和操作经验的依赖，提升装置的操作水平，助力硫酸装置长周期稳定运行。同时，随着人工智能的快速发展和技术迭代，硫酸的智能化控制系统也将动态更新，迭代速度呈现指数型增长。</w:t>
      </w:r>
    </w:p>
    <w:p w14:paraId="24EB0C4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 “十五五”发展思路</w:t>
      </w:r>
    </w:p>
    <w:p w14:paraId="4854F95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4.1 提升硫资源保障</w:t>
      </w:r>
    </w:p>
    <w:p w14:paraId="7661B72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从全球硫资源供需发展趋势来看，提升我国硫资源保障度是“十五五”期间工作的重点。一是扩大国外资源的来源。鼓励龙头企业“走出去”，布局硫相关的资源，不论是石油炼化装置运行、天然气田的开发还是有色金属矿山，将副产的硫资源运回国内，最大程度保障国内的硫资源供应。二是挖掘国内硫资源的潜力，加大天然气和有色金属矿的勘探和开发，鼓励含硫废物资源化利用项目的建设，尤其是磷石膏制酸。</w:t>
      </w:r>
    </w:p>
    <w:p w14:paraId="4273592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4.2 绿色低碳发展</w:t>
      </w:r>
    </w:p>
    <w:p w14:paraId="48B2BACD">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通过老旧装置改造提升的持续推进，从安全、环保、绿色、智能化等方向，加快相关标准规范的完善及执行力度，依法依规</w:t>
      </w:r>
      <w:r>
        <w:rPr>
          <w:rFonts w:hint="eastAsia" w:ascii="宋体" w:hAnsi="宋体" w:eastAsia="宋体" w:cs="宋体"/>
          <w:sz w:val="21"/>
          <w:szCs w:val="21"/>
          <w:lang w:eastAsia="zh-CN"/>
        </w:rPr>
        <w:t>淘汰落后产能。</w:t>
      </w:r>
      <w:r>
        <w:rPr>
          <w:rFonts w:hint="eastAsia" w:ascii="宋体" w:hAnsi="宋体" w:eastAsia="宋体" w:cs="宋体"/>
          <w:sz w:val="21"/>
          <w:szCs w:val="21"/>
          <w:lang w:val="en-US" w:eastAsia="zh-CN"/>
        </w:rPr>
        <w:t>对存量硫酸装置，要着力提升装置绿色化水平，从提高原料利用率、节能节水、污染物减排、工艺优化、碳排放减少等维度，综合评价硫酸绿色化发展水平，鼓励先进</w:t>
      </w:r>
      <w:r>
        <w:rPr>
          <w:rFonts w:hint="eastAsia" w:ascii="宋体" w:hAnsi="宋体" w:eastAsia="宋体" w:cs="宋体"/>
          <w:sz w:val="21"/>
          <w:szCs w:val="21"/>
          <w:lang w:eastAsia="zh-CN"/>
        </w:rPr>
        <w:t>。</w:t>
      </w:r>
    </w:p>
    <w:p w14:paraId="0D209AAA">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修订硫酸行业排放标准，倒逼企业降低三废排放；</w:t>
      </w:r>
      <w:r>
        <w:rPr>
          <w:rFonts w:hint="eastAsia" w:ascii="宋体" w:hAnsi="宋体" w:eastAsia="宋体" w:cs="宋体"/>
          <w:sz w:val="21"/>
          <w:szCs w:val="21"/>
          <w:lang w:eastAsia="zh-CN"/>
        </w:rPr>
        <w:t>鼓励</w:t>
      </w:r>
      <w:r>
        <w:rPr>
          <w:rFonts w:hint="eastAsia" w:ascii="宋体" w:hAnsi="宋体" w:eastAsia="宋体" w:cs="宋体"/>
          <w:sz w:val="21"/>
          <w:szCs w:val="21"/>
          <w:lang w:val="en-US" w:eastAsia="zh-CN"/>
        </w:rPr>
        <w:t>有条件的硫铁矿制酸和冶炼烟气</w:t>
      </w:r>
      <w:r>
        <w:rPr>
          <w:rFonts w:hint="eastAsia" w:ascii="宋体" w:hAnsi="宋体" w:eastAsia="宋体" w:cs="宋体"/>
          <w:sz w:val="21"/>
          <w:szCs w:val="21"/>
          <w:lang w:eastAsia="zh-CN"/>
        </w:rPr>
        <w:t>企业</w:t>
      </w:r>
      <w:r>
        <w:rPr>
          <w:rFonts w:hint="eastAsia" w:ascii="宋体" w:hAnsi="宋体" w:eastAsia="宋体" w:cs="宋体"/>
          <w:sz w:val="21"/>
          <w:szCs w:val="21"/>
          <w:lang w:val="en-US" w:eastAsia="zh-CN"/>
        </w:rPr>
        <w:t>应用</w:t>
      </w:r>
      <w:r>
        <w:rPr>
          <w:rFonts w:hint="eastAsia" w:ascii="宋体" w:hAnsi="宋体" w:eastAsia="宋体" w:cs="宋体"/>
          <w:sz w:val="21"/>
          <w:szCs w:val="21"/>
          <w:lang w:eastAsia="zh-CN"/>
        </w:rPr>
        <w:t>低温位热能回收，提高</w:t>
      </w:r>
      <w:r>
        <w:rPr>
          <w:rFonts w:hint="eastAsia" w:ascii="宋体" w:hAnsi="宋体" w:eastAsia="宋体" w:cs="宋体"/>
          <w:sz w:val="21"/>
          <w:szCs w:val="21"/>
          <w:lang w:val="en-US" w:eastAsia="zh-CN"/>
        </w:rPr>
        <w:t>硫酸余热</w:t>
      </w:r>
      <w:r>
        <w:rPr>
          <w:rFonts w:hint="eastAsia" w:ascii="宋体" w:hAnsi="宋体" w:eastAsia="宋体" w:cs="宋体"/>
          <w:sz w:val="21"/>
          <w:szCs w:val="21"/>
          <w:lang w:eastAsia="zh-CN"/>
        </w:rPr>
        <w:t>利用率，</w:t>
      </w:r>
      <w:r>
        <w:rPr>
          <w:rFonts w:hint="eastAsia" w:ascii="宋体" w:hAnsi="宋体" w:eastAsia="宋体" w:cs="宋体"/>
          <w:sz w:val="21"/>
          <w:szCs w:val="21"/>
          <w:lang w:val="en-US" w:eastAsia="zh-CN"/>
        </w:rPr>
        <w:t>增加副产蒸汽的量</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完成硫酸碳足迹国家标准，落实硫酸副产蒸汽和电力零碳排放的规定，将硫酸装置利于下游产品“降碳”的属性充分发挥</w:t>
      </w:r>
      <w:r>
        <w:rPr>
          <w:rFonts w:hint="eastAsia" w:ascii="宋体" w:hAnsi="宋体" w:eastAsia="宋体" w:cs="宋体"/>
          <w:sz w:val="21"/>
          <w:szCs w:val="21"/>
          <w:lang w:eastAsia="zh-CN"/>
        </w:rPr>
        <w:t>；推动硫酸企业与上下游企业建立循环经济产业链，实现资源的循环利用。</w:t>
      </w:r>
      <w:r>
        <w:rPr>
          <w:rFonts w:hint="eastAsia" w:ascii="宋体" w:hAnsi="宋体" w:eastAsia="宋体" w:cs="宋体"/>
          <w:sz w:val="21"/>
          <w:szCs w:val="21"/>
          <w:lang w:val="en-US" w:eastAsia="zh-CN"/>
        </w:rPr>
        <w:t>利用含硫废物制硫酸，既解决产废单位的环保难题，又拓展硫资源的来源</w:t>
      </w:r>
      <w:r>
        <w:rPr>
          <w:rFonts w:hint="eastAsia" w:ascii="宋体" w:hAnsi="宋体" w:eastAsia="宋体" w:cs="宋体"/>
          <w:sz w:val="21"/>
          <w:szCs w:val="21"/>
          <w:lang w:eastAsia="zh-CN"/>
        </w:rPr>
        <w:t>。</w:t>
      </w:r>
    </w:p>
    <w:p w14:paraId="61C6E28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4.3 开展科技创新，转型升级</w:t>
      </w:r>
    </w:p>
    <w:p w14:paraId="47CE162A">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针对新能源、半导体、光伏等新兴产业的高端需求，在硫酸相关的衍生品、高纯硫酸方面不断提升品质，进口替代。在硫酸节能低碳新工艺、新技术的研发和推广方面发力，如：磷石膏制酸、高浓度二氧化硫转化、副产高压蒸汽发电、低温余热回收、高效催化剂研发等，提升行业绿色发展水平。</w:t>
      </w:r>
      <w:r>
        <w:rPr>
          <w:rFonts w:hint="eastAsia" w:ascii="宋体" w:hAnsi="宋体" w:eastAsia="宋体" w:cs="宋体"/>
          <w:sz w:val="21"/>
          <w:szCs w:val="21"/>
          <w:lang w:eastAsia="zh-CN"/>
        </w:rPr>
        <w:t>鼓励企业加大研发资金投入，建立以企业为主体、产学研用相结合的创新体系。支持企业与科研机构、高校合作，开展关键技术</w:t>
      </w:r>
      <w:r>
        <w:rPr>
          <w:rFonts w:hint="eastAsia" w:ascii="宋体" w:hAnsi="宋体" w:eastAsia="宋体" w:cs="宋体"/>
          <w:sz w:val="21"/>
          <w:szCs w:val="21"/>
          <w:lang w:val="en-US" w:eastAsia="zh-CN"/>
        </w:rPr>
        <w:t>工艺</w:t>
      </w:r>
      <w:r>
        <w:rPr>
          <w:rFonts w:hint="eastAsia" w:ascii="宋体" w:hAnsi="宋体" w:eastAsia="宋体" w:cs="宋体"/>
          <w:sz w:val="21"/>
          <w:szCs w:val="21"/>
          <w:lang w:eastAsia="zh-CN"/>
        </w:rPr>
        <w:t>和新产品开发。</w:t>
      </w:r>
    </w:p>
    <w:p w14:paraId="44452676">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4.4 提升智能化水平，加强人才队伍建设</w:t>
      </w:r>
    </w:p>
    <w:p w14:paraId="59932621">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eastAsia="zh-CN"/>
        </w:rPr>
      </w:pPr>
      <w:r>
        <w:rPr>
          <w:rFonts w:hint="eastAsia" w:ascii="宋体" w:hAnsi="宋体" w:eastAsia="宋体" w:cs="宋体"/>
          <w:sz w:val="21"/>
          <w:szCs w:val="21"/>
          <w:lang w:val="en-US" w:eastAsia="zh-CN"/>
        </w:rPr>
        <w:t>随着下游需求的快速发展，对硫酸的需求快速增长，未来硫酸新建产能增速仍然较快。新建硫酸装置的快速扩张与缺乏硫酸专业技术人员的矛盾日益突出。一方面时代大潮不可阻挡，人工智能的发展日新月异，硫酸行业要紧跟潮流，加快提升硫酸装置智能化水平，减少人工操作，降低对技术人员的需求；另一方面，</w:t>
      </w:r>
      <w:r>
        <w:rPr>
          <w:rFonts w:hint="eastAsia" w:ascii="宋体" w:hAnsi="宋体" w:eastAsia="宋体" w:cs="宋体"/>
          <w:sz w:val="21"/>
          <w:szCs w:val="21"/>
          <w:lang w:eastAsia="zh-CN"/>
        </w:rPr>
        <w:t>加强硫酸行业专业人才的培养，</w:t>
      </w:r>
      <w:r>
        <w:rPr>
          <w:rFonts w:hint="eastAsia" w:ascii="宋体" w:hAnsi="宋体" w:eastAsia="宋体" w:cs="宋体"/>
          <w:sz w:val="21"/>
          <w:szCs w:val="21"/>
          <w:lang w:val="en-US" w:eastAsia="zh-CN"/>
        </w:rPr>
        <w:t>建立培训平台和机制</w:t>
      </w:r>
      <w:r>
        <w:rPr>
          <w:rFonts w:hint="eastAsia" w:ascii="宋体" w:hAnsi="宋体" w:eastAsia="宋体" w:cs="宋体"/>
          <w:sz w:val="21"/>
          <w:szCs w:val="21"/>
          <w:lang w:eastAsia="zh-CN"/>
        </w:rPr>
        <w:t>，培养适应行业发展</w:t>
      </w:r>
      <w:r>
        <w:rPr>
          <w:rFonts w:hint="eastAsia" w:ascii="宋体" w:hAnsi="宋体" w:eastAsia="宋体" w:cs="宋体"/>
          <w:sz w:val="21"/>
          <w:szCs w:val="21"/>
          <w:lang w:val="en-US" w:eastAsia="zh-CN"/>
        </w:rPr>
        <w:t>新</w:t>
      </w:r>
      <w:r>
        <w:rPr>
          <w:rFonts w:hint="eastAsia" w:ascii="宋体" w:hAnsi="宋体" w:eastAsia="宋体" w:cs="宋体"/>
          <w:sz w:val="21"/>
          <w:szCs w:val="21"/>
          <w:lang w:eastAsia="zh-CN"/>
        </w:rPr>
        <w:t>需求的技术和管理人才。</w:t>
      </w:r>
    </w:p>
    <w:p w14:paraId="3333E8F1">
      <w:pPr>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cs="宋体"/>
          <w:sz w:val="21"/>
          <w:szCs w:val="21"/>
          <w:lang w:eastAsia="zh-CN"/>
        </w:rPr>
      </w:pPr>
    </w:p>
    <w:p w14:paraId="23B3C555">
      <w:pPr>
        <w:pageBreakBefore w:val="0"/>
        <w:kinsoku/>
        <w:wordWrap/>
        <w:overflowPunct/>
        <w:topLinePunct w:val="0"/>
        <w:autoSpaceDE/>
        <w:autoSpaceDN/>
        <w:bidi w:val="0"/>
        <w:adjustRightInd/>
        <w:snapToGrid/>
        <w:spacing w:line="400" w:lineRule="exac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38285B0A">
      <w:pPr>
        <w:pageBreakBefore w:val="0"/>
        <w:kinsoku/>
        <w:wordWrap/>
        <w:overflowPunct/>
        <w:topLinePunct w:val="0"/>
        <w:autoSpaceDE/>
        <w:autoSpaceDN/>
        <w:bidi w:val="0"/>
        <w:adjustRightInd/>
        <w:snapToGrid/>
        <w:spacing w:line="400" w:lineRule="exac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[1]崔荣政，修学峰，王臣.我国磷石膏综合利用现状及“十五五”发展思路和建议[J].生态产业科学与磷氟工程2025,40（11）：1-6.</w:t>
      </w:r>
    </w:p>
    <w:p w14:paraId="50717F0C">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lang w:val="en-US" w:eastAsia="zh-CN"/>
        </w:rPr>
      </w:pP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7449E"/>
    <w:rsid w:val="02B86B51"/>
    <w:rsid w:val="03304250"/>
    <w:rsid w:val="0374238F"/>
    <w:rsid w:val="03A5079A"/>
    <w:rsid w:val="03C50E3C"/>
    <w:rsid w:val="03C527A5"/>
    <w:rsid w:val="048748A1"/>
    <w:rsid w:val="04CC1D57"/>
    <w:rsid w:val="04DC643E"/>
    <w:rsid w:val="056106F1"/>
    <w:rsid w:val="0598379D"/>
    <w:rsid w:val="05AE130F"/>
    <w:rsid w:val="05FB3670"/>
    <w:rsid w:val="06112117"/>
    <w:rsid w:val="062077BC"/>
    <w:rsid w:val="065F10D4"/>
    <w:rsid w:val="0730481F"/>
    <w:rsid w:val="07401199"/>
    <w:rsid w:val="076E5F7E"/>
    <w:rsid w:val="07B471FE"/>
    <w:rsid w:val="07C05BA3"/>
    <w:rsid w:val="07E3246F"/>
    <w:rsid w:val="07F7358F"/>
    <w:rsid w:val="08564759"/>
    <w:rsid w:val="08BA0844"/>
    <w:rsid w:val="091A7E4E"/>
    <w:rsid w:val="09931095"/>
    <w:rsid w:val="09F00295"/>
    <w:rsid w:val="0A2A19F9"/>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033573"/>
    <w:rsid w:val="156C2EC6"/>
    <w:rsid w:val="15C56B00"/>
    <w:rsid w:val="160B0931"/>
    <w:rsid w:val="16132CB9"/>
    <w:rsid w:val="16B20DAC"/>
    <w:rsid w:val="16B25250"/>
    <w:rsid w:val="16B8213B"/>
    <w:rsid w:val="16D2144F"/>
    <w:rsid w:val="177C760C"/>
    <w:rsid w:val="1780534F"/>
    <w:rsid w:val="17836BED"/>
    <w:rsid w:val="178C5AA1"/>
    <w:rsid w:val="17AD77C6"/>
    <w:rsid w:val="180933FC"/>
    <w:rsid w:val="185C6006"/>
    <w:rsid w:val="18616F2E"/>
    <w:rsid w:val="18B057C0"/>
    <w:rsid w:val="191221DB"/>
    <w:rsid w:val="19235F91"/>
    <w:rsid w:val="19800B64"/>
    <w:rsid w:val="19836A30"/>
    <w:rsid w:val="199944A6"/>
    <w:rsid w:val="19FD4A34"/>
    <w:rsid w:val="1A533F79"/>
    <w:rsid w:val="1A5A1E87"/>
    <w:rsid w:val="1B2F179A"/>
    <w:rsid w:val="1B6F3710"/>
    <w:rsid w:val="1BDB6FF7"/>
    <w:rsid w:val="1C250273"/>
    <w:rsid w:val="1D01483C"/>
    <w:rsid w:val="1D5D57EA"/>
    <w:rsid w:val="1E171E3D"/>
    <w:rsid w:val="1E8C45D9"/>
    <w:rsid w:val="1EBA2EF4"/>
    <w:rsid w:val="1EC41FC5"/>
    <w:rsid w:val="1EFE3E02"/>
    <w:rsid w:val="1F78690B"/>
    <w:rsid w:val="1FA40E26"/>
    <w:rsid w:val="20181E55"/>
    <w:rsid w:val="20200F8C"/>
    <w:rsid w:val="203C4E63"/>
    <w:rsid w:val="204B20BB"/>
    <w:rsid w:val="204F1D62"/>
    <w:rsid w:val="205C7FDB"/>
    <w:rsid w:val="20A756FA"/>
    <w:rsid w:val="20CA763A"/>
    <w:rsid w:val="21294361"/>
    <w:rsid w:val="21661758"/>
    <w:rsid w:val="227635D6"/>
    <w:rsid w:val="22BA5BB9"/>
    <w:rsid w:val="230D784D"/>
    <w:rsid w:val="23B95F13"/>
    <w:rsid w:val="24174945"/>
    <w:rsid w:val="241906BD"/>
    <w:rsid w:val="24212C83"/>
    <w:rsid w:val="244020ED"/>
    <w:rsid w:val="24855D52"/>
    <w:rsid w:val="248B32E5"/>
    <w:rsid w:val="24B17D3C"/>
    <w:rsid w:val="24EE1B49"/>
    <w:rsid w:val="24FD3B3B"/>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67011C"/>
    <w:rsid w:val="29F55569"/>
    <w:rsid w:val="2A6D1762"/>
    <w:rsid w:val="2A9C2048"/>
    <w:rsid w:val="2AF37C49"/>
    <w:rsid w:val="2C194947"/>
    <w:rsid w:val="2C1A3224"/>
    <w:rsid w:val="2C5F332D"/>
    <w:rsid w:val="2CDC497D"/>
    <w:rsid w:val="2DA03BFD"/>
    <w:rsid w:val="2DA336ED"/>
    <w:rsid w:val="2DD45655"/>
    <w:rsid w:val="2E7221A8"/>
    <w:rsid w:val="2EC67693"/>
    <w:rsid w:val="2EE30245"/>
    <w:rsid w:val="2F087CAC"/>
    <w:rsid w:val="2F0E4B96"/>
    <w:rsid w:val="2F1A353B"/>
    <w:rsid w:val="2F1F6DA3"/>
    <w:rsid w:val="2F397E65"/>
    <w:rsid w:val="2F4F7689"/>
    <w:rsid w:val="2F620882"/>
    <w:rsid w:val="2F633134"/>
    <w:rsid w:val="2F882B9B"/>
    <w:rsid w:val="2FA86D99"/>
    <w:rsid w:val="312F3756"/>
    <w:rsid w:val="31496359"/>
    <w:rsid w:val="315E0057"/>
    <w:rsid w:val="318D4498"/>
    <w:rsid w:val="3199108F"/>
    <w:rsid w:val="319C2BBD"/>
    <w:rsid w:val="319F16AA"/>
    <w:rsid w:val="31CC4FC0"/>
    <w:rsid w:val="31F167D5"/>
    <w:rsid w:val="3216448E"/>
    <w:rsid w:val="32180206"/>
    <w:rsid w:val="321D581C"/>
    <w:rsid w:val="323963CE"/>
    <w:rsid w:val="3273368E"/>
    <w:rsid w:val="32963820"/>
    <w:rsid w:val="32E20814"/>
    <w:rsid w:val="32F56799"/>
    <w:rsid w:val="337771AE"/>
    <w:rsid w:val="33F94067"/>
    <w:rsid w:val="34480B4A"/>
    <w:rsid w:val="34821AD6"/>
    <w:rsid w:val="35A52FD0"/>
    <w:rsid w:val="35D501BC"/>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10F592B"/>
    <w:rsid w:val="411424E0"/>
    <w:rsid w:val="41641264"/>
    <w:rsid w:val="41700BEB"/>
    <w:rsid w:val="426C3C56"/>
    <w:rsid w:val="42786A9F"/>
    <w:rsid w:val="42BC1743"/>
    <w:rsid w:val="42EE53FF"/>
    <w:rsid w:val="43E4263E"/>
    <w:rsid w:val="45554E75"/>
    <w:rsid w:val="459D60E3"/>
    <w:rsid w:val="45B70627"/>
    <w:rsid w:val="45CA5863"/>
    <w:rsid w:val="45E5444B"/>
    <w:rsid w:val="46313EB0"/>
    <w:rsid w:val="46362EF9"/>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097AA7"/>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167BAE"/>
    <w:rsid w:val="512D188F"/>
    <w:rsid w:val="51363DAD"/>
    <w:rsid w:val="513B5867"/>
    <w:rsid w:val="513B7615"/>
    <w:rsid w:val="5144673C"/>
    <w:rsid w:val="519D207E"/>
    <w:rsid w:val="51EC090F"/>
    <w:rsid w:val="51FB00AC"/>
    <w:rsid w:val="52E57838"/>
    <w:rsid w:val="542B3971"/>
    <w:rsid w:val="54335EE7"/>
    <w:rsid w:val="5463310B"/>
    <w:rsid w:val="54AF45A2"/>
    <w:rsid w:val="54C142D5"/>
    <w:rsid w:val="55254864"/>
    <w:rsid w:val="553C395C"/>
    <w:rsid w:val="55BA1450"/>
    <w:rsid w:val="56037691"/>
    <w:rsid w:val="56083D8A"/>
    <w:rsid w:val="56135E24"/>
    <w:rsid w:val="564017AC"/>
    <w:rsid w:val="567B0721"/>
    <w:rsid w:val="56F97D56"/>
    <w:rsid w:val="57081D47"/>
    <w:rsid w:val="578C69EF"/>
    <w:rsid w:val="57E97DCB"/>
    <w:rsid w:val="57EF1159"/>
    <w:rsid w:val="57F7381E"/>
    <w:rsid w:val="583059FA"/>
    <w:rsid w:val="5847689F"/>
    <w:rsid w:val="58532B2C"/>
    <w:rsid w:val="58984204"/>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601A09BC"/>
    <w:rsid w:val="60206354"/>
    <w:rsid w:val="60395667"/>
    <w:rsid w:val="60AA0313"/>
    <w:rsid w:val="610D33E8"/>
    <w:rsid w:val="615E35D8"/>
    <w:rsid w:val="619568CD"/>
    <w:rsid w:val="619C0F9D"/>
    <w:rsid w:val="61E67129"/>
    <w:rsid w:val="621A5025"/>
    <w:rsid w:val="62CC27C3"/>
    <w:rsid w:val="635A7DCF"/>
    <w:rsid w:val="637D586B"/>
    <w:rsid w:val="63872EA4"/>
    <w:rsid w:val="63A177AC"/>
    <w:rsid w:val="63F26259"/>
    <w:rsid w:val="64061D04"/>
    <w:rsid w:val="640A365A"/>
    <w:rsid w:val="640E2967"/>
    <w:rsid w:val="64754794"/>
    <w:rsid w:val="64FD7B2B"/>
    <w:rsid w:val="657B402C"/>
    <w:rsid w:val="65C07C91"/>
    <w:rsid w:val="663D24C4"/>
    <w:rsid w:val="66CA526B"/>
    <w:rsid w:val="67AC4971"/>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258197D"/>
    <w:rsid w:val="72C60FDD"/>
    <w:rsid w:val="72EB27F1"/>
    <w:rsid w:val="730241B0"/>
    <w:rsid w:val="73125FD0"/>
    <w:rsid w:val="731A1328"/>
    <w:rsid w:val="73587D13"/>
    <w:rsid w:val="73612AB3"/>
    <w:rsid w:val="743B50B2"/>
    <w:rsid w:val="74BF5CE3"/>
    <w:rsid w:val="750977D2"/>
    <w:rsid w:val="75263FB5"/>
    <w:rsid w:val="75693EA1"/>
    <w:rsid w:val="75B25848"/>
    <w:rsid w:val="766528BB"/>
    <w:rsid w:val="768F268A"/>
    <w:rsid w:val="76C92E49"/>
    <w:rsid w:val="775F555C"/>
    <w:rsid w:val="77617526"/>
    <w:rsid w:val="777A05E8"/>
    <w:rsid w:val="77B87221"/>
    <w:rsid w:val="78153E6C"/>
    <w:rsid w:val="781A1483"/>
    <w:rsid w:val="781F0851"/>
    <w:rsid w:val="7820118F"/>
    <w:rsid w:val="782A7918"/>
    <w:rsid w:val="786848E4"/>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40725"/>
    <w:rsid w:val="7BE9361F"/>
    <w:rsid w:val="7C337D02"/>
    <w:rsid w:val="7C6B49A3"/>
    <w:rsid w:val="7C765821"/>
    <w:rsid w:val="7C856E44"/>
    <w:rsid w:val="7CD24A22"/>
    <w:rsid w:val="7D366D5F"/>
    <w:rsid w:val="7DD722F0"/>
    <w:rsid w:val="7E32210A"/>
    <w:rsid w:val="7E68119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6295</Words>
  <Characters>6684</Characters>
  <Lines>35</Lines>
  <Paragraphs>9</Paragraphs>
  <TotalTime>30</TotalTime>
  <ScaleCrop>false</ScaleCrop>
  <LinksUpToDate>false</LinksUpToDate>
  <CharactersWithSpaces>6734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2026-06-15T03:34:20Z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