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7E9B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</w:p>
    <w:p w14:paraId="354FB22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r>
        <w:rPr>
          <w:rFonts w:hint="eastAsia" w:ascii="隶书" w:hAnsi="隶书" w:eastAsia="隶书" w:cs="隶书"/>
          <w:lang w:val="en-US" w:eastAsia="zh-CN"/>
        </w:rPr>
        <w:t>半干法石膏窑气制酸</w:t>
      </w:r>
    </w:p>
    <w:p w14:paraId="4D73819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丁华</w:t>
      </w:r>
    </w:p>
    <w:p w14:paraId="633ECFB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兴化宏伟科技有限公司</w:t>
      </w:r>
    </w:p>
    <w:p w14:paraId="7BB2E40F">
      <w:pPr>
        <w:jc w:val="center"/>
        <w:rPr>
          <w:rFonts w:ascii="Times New Roman" w:hAnsi="Times New Roman" w:eastAsia="仿宋_GB2312"/>
          <w:szCs w:val="21"/>
        </w:rPr>
      </w:pPr>
    </w:p>
    <w:p w14:paraId="18E41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摘要</w:t>
      </w:r>
      <w:r>
        <w:rPr>
          <w:rFonts w:hint="eastAsia" w:ascii="宋体" w:hAnsi="宋体" w:eastAsia="宋体" w:cs="宋体"/>
          <w:szCs w:val="21"/>
        </w:rPr>
        <w:t>：半干法窑气制酸无干燥塔，用吸湿塔和吸收塔完成第一次吸收。吸湿塔不加水、不串酸、酸浓不变，以气中水硫比维持酸浓。半干法是热能回收最大化的最简版技术，分析了900 t/d窑气制酸的三条路径，副产3.8MPa、450℃中压过热和0.6MPa低压饱和两种蒸汽。一转一吸装置产汽37.5 t/h，吨酸产汽率1.00吨，其中：中压11.2 t/h、吨酸产汽0.30吨，低压26.3 t/h、吨酸产汽0.70吨。若全产低压蒸汽，产汽量40.6 t/h，吨酸产汽1.08吨。可实现零循环水消耗和尾</w:t>
      </w:r>
      <w:bookmarkStart w:id="0" w:name="_GoBack"/>
      <w:bookmarkEnd w:id="0"/>
      <w:r>
        <w:rPr>
          <w:rFonts w:hint="eastAsia" w:ascii="宋体" w:hAnsi="宋体" w:eastAsia="宋体" w:cs="宋体"/>
          <w:szCs w:val="21"/>
        </w:rPr>
        <w:t>吸稀酸零排放。两转两吸装置吨酸产汽率0.90 吨，其中中压0.20 吨、比一转一吸少0.10吨，低压汽量与一转一吸相同。硫磺制酸可改成半磺半窑气的半干法制酸装置，电雾出口气温在48℃。吨酸产汽率1.50吨，其中：中压0.88吨，低压0.62吨。</w:t>
      </w:r>
    </w:p>
    <w:p w14:paraId="00966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2" w:firstLineChars="200"/>
        <w:jc w:val="lef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关键词：</w:t>
      </w:r>
      <w:r>
        <w:rPr>
          <w:rFonts w:hint="eastAsia" w:ascii="宋体" w:hAnsi="宋体" w:eastAsia="宋体" w:cs="宋体"/>
          <w:szCs w:val="21"/>
        </w:rPr>
        <w:t xml:space="preserve">半干法 石膏窑气 吸湿塔 蒸汽产率 酸热回收 硫酸装置 </w:t>
      </w:r>
    </w:p>
    <w:p w14:paraId="24425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Cs w:val="21"/>
        </w:rPr>
      </w:pPr>
    </w:p>
    <w:p w14:paraId="3608E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半干法技术核心，由吸湿塔、蒸发器、吸收塔3台设备组成。关键是吸湿塔进口水硫比，与原料气源无关</w:t>
      </w:r>
      <w:r>
        <w:rPr>
          <w:rFonts w:hint="eastAsia" w:ascii="宋体" w:hAnsi="宋体" w:eastAsia="宋体" w:cs="宋体"/>
          <w:szCs w:val="21"/>
          <w:vertAlign w:val="superscript"/>
        </w:rPr>
        <w:t>[1]</w:t>
      </w:r>
      <w:r>
        <w:rPr>
          <w:rFonts w:hint="eastAsia" w:ascii="宋体" w:hAnsi="宋体" w:eastAsia="宋体" w:cs="宋体"/>
          <w:szCs w:val="21"/>
        </w:rPr>
        <w:t>。可以是冷气制酸，如石膏窑气制酸、硫铁矿制酸</w:t>
      </w:r>
      <w:r>
        <w:rPr>
          <w:rFonts w:hint="eastAsia" w:ascii="宋体" w:hAnsi="宋体" w:eastAsia="宋体" w:cs="宋体"/>
          <w:szCs w:val="21"/>
          <w:vertAlign w:val="superscript"/>
        </w:rPr>
        <w:t>[2]</w:t>
      </w:r>
      <w:r>
        <w:rPr>
          <w:rFonts w:hint="eastAsia" w:ascii="宋体" w:hAnsi="宋体" w:eastAsia="宋体" w:cs="宋体"/>
          <w:szCs w:val="21"/>
        </w:rPr>
        <w:t>、烟气制酸。更好是热气制酸，如硫磺制酸</w:t>
      </w:r>
      <w:r>
        <w:rPr>
          <w:rFonts w:hint="eastAsia" w:ascii="宋体" w:hAnsi="宋体" w:eastAsia="宋体" w:cs="宋体"/>
          <w:szCs w:val="21"/>
          <w:vertAlign w:val="superscript"/>
        </w:rPr>
        <w:t>[3]</w:t>
      </w:r>
      <w:r>
        <w:rPr>
          <w:rFonts w:hint="eastAsia" w:ascii="宋体" w:hAnsi="宋体" w:eastAsia="宋体" w:cs="宋体"/>
          <w:szCs w:val="21"/>
        </w:rPr>
        <w:t>、无干燥塔的硫磺制酸装置</w:t>
      </w:r>
      <w:r>
        <w:rPr>
          <w:rFonts w:hint="eastAsia" w:ascii="宋体" w:hAnsi="宋体" w:eastAsia="宋体" w:cs="宋体"/>
          <w:szCs w:val="21"/>
          <w:vertAlign w:val="superscript"/>
        </w:rPr>
        <w:t>[4]</w:t>
      </w:r>
      <w:r>
        <w:rPr>
          <w:rFonts w:hint="eastAsia" w:ascii="宋体" w:hAnsi="宋体" w:eastAsia="宋体" w:cs="宋体"/>
          <w:szCs w:val="21"/>
        </w:rPr>
        <w:t>。再者，利用焚烧炉，不仅扩充了气源品种，更降低了制酸气浓。焚烧炉可喷磺、喷酸性气，亦可喷稀酸，半干法制酸变成硫回收装置</w:t>
      </w:r>
      <w:r>
        <w:rPr>
          <w:rFonts w:hint="eastAsia" w:ascii="宋体" w:hAnsi="宋体" w:eastAsia="宋体" w:cs="宋体"/>
          <w:szCs w:val="21"/>
          <w:vertAlign w:val="superscript"/>
        </w:rPr>
        <w:t>[5~7]</w:t>
      </w:r>
      <w:r>
        <w:rPr>
          <w:rFonts w:hint="eastAsia" w:ascii="宋体" w:hAnsi="宋体" w:eastAsia="宋体" w:cs="宋体"/>
          <w:szCs w:val="21"/>
        </w:rPr>
        <w:t>。</w:t>
      </w:r>
    </w:p>
    <w:p w14:paraId="3516E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吸湿塔所需水全部由气体带入，吸湿塔不加水、不串酸、循环酸浓不变。与带酸热回收的干法制酸相比，半干法做的是减法，减去了干燥塔，气中水直接进入吸湿塔，消除了加水麻烦、串酸损失，留下了成酸反应热。</w:t>
      </w:r>
    </w:p>
    <w:p w14:paraId="2B84EC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半干法技术的优点很多。一是：腐蚀性小、安全性高，气温始终处于露点以上，这不仅是第一个、而是第一级优点。二是操作简单可靠，因化学反应而减缓水量变化对吸湿酸浓的冲击；三是副产蒸汽多、压力等级高，气中水汽热焓，不仅直接成为蒸汽，更因成酸热加持，得到了1.5倍的中压蒸汽量；四是无干燥塔，可轻松实现零循环水消耗；五是一转一吸加双氧水尾吸，就可达到尾吸稀酸零排放，两转两吸更容易。</w:t>
      </w:r>
    </w:p>
    <w:p w14:paraId="648A9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硫磷循环经济中，不仅是硫循环，还需蒸汽平衡，更要过水平衡关，半干法制酸工艺提供了上佳组合。契合“双碳”战略，节能降碳效益突出。半干法技术蒸汽产率远超干法制酸，能显著回收反应热、替代化石能源消耗；同时实现零循环水消耗和尾吸稀酸零排放，从源头上减少资源消耗与污染物产生，具有明显的碳减排协同效应，是石膏制酸行业向绿色低碳转型的重要技术路径。</w:t>
      </w:r>
    </w:p>
    <w:p w14:paraId="240F3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 半干法工艺</w:t>
      </w:r>
    </w:p>
    <w:p w14:paraId="77740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水是制酸技术的关键，若用两个字来概括则是：酸雾</w:t>
      </w:r>
      <w:r>
        <w:rPr>
          <w:rFonts w:hint="eastAsia" w:ascii="宋体" w:hAnsi="宋体" w:eastAsia="宋体" w:cs="宋体"/>
          <w:szCs w:val="21"/>
          <w:vertAlign w:val="superscript"/>
        </w:rPr>
        <w:t>[8]</w:t>
      </w:r>
      <w:r>
        <w:rPr>
          <w:rFonts w:hint="eastAsia" w:ascii="宋体" w:hAnsi="宋体" w:eastAsia="宋体" w:cs="宋体"/>
          <w:szCs w:val="21"/>
        </w:rPr>
        <w:t>。只要水与SO</w:t>
      </w:r>
      <w:r>
        <w:rPr>
          <w:rFonts w:hint="eastAsia" w:ascii="宋体" w:hAnsi="宋体" w:eastAsia="宋体" w:cs="宋体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Cs w:val="21"/>
        </w:rPr>
        <w:t>共存，必定产生气态硫酸，从而抬升露点温度。冷凝成酸雾，是因气温太低、降温太急，其实初始冷凝是很难的。冷凝不是吸收，雾滴酸浓（通常）不是100%，要么硫酸携带水分子一起冷凝、或是携带SO</w:t>
      </w:r>
      <w:r>
        <w:rPr>
          <w:rFonts w:hint="eastAsia" w:ascii="宋体" w:hAnsi="宋体" w:eastAsia="宋体" w:cs="宋体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Cs w:val="21"/>
        </w:rPr>
        <w:t>分子冷凝</w:t>
      </w:r>
      <w:r>
        <w:rPr>
          <w:rFonts w:hint="eastAsia" w:ascii="宋体" w:hAnsi="宋体" w:eastAsia="宋体" w:cs="宋体"/>
          <w:szCs w:val="21"/>
          <w:vertAlign w:val="superscript"/>
        </w:rPr>
        <w:t>[9]</w:t>
      </w:r>
      <w:r>
        <w:rPr>
          <w:rFonts w:hint="eastAsia" w:ascii="宋体" w:hAnsi="宋体" w:eastAsia="宋体" w:cs="宋体"/>
          <w:szCs w:val="21"/>
        </w:rPr>
        <w:t>。</w:t>
      </w:r>
    </w:p>
    <w:p w14:paraId="38CB3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气相是水、SO</w:t>
      </w:r>
      <w:r>
        <w:rPr>
          <w:rFonts w:hint="eastAsia" w:ascii="宋体" w:hAnsi="宋体" w:eastAsia="宋体" w:cs="宋体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Cs w:val="21"/>
        </w:rPr>
        <w:t>和硫酸3种物质，常用酸浓来表示气相，特指的是气相全部冷凝后的状态，既不方便，也易与该气体的露点酸浓混淆。用水硫比来表示酸浓，统一了气体与酸间浓度关系</w:t>
      </w:r>
      <w:r>
        <w:rPr>
          <w:rFonts w:hint="eastAsia" w:ascii="宋体" w:hAnsi="宋体" w:eastAsia="宋体" w:cs="宋体"/>
          <w:szCs w:val="21"/>
          <w:vertAlign w:val="superscript"/>
        </w:rPr>
        <w:t>[10]</w:t>
      </w:r>
      <w:r>
        <w:rPr>
          <w:rFonts w:hint="eastAsia" w:ascii="宋体" w:hAnsi="宋体" w:eastAsia="宋体" w:cs="宋体"/>
          <w:szCs w:val="21"/>
        </w:rPr>
        <w:t>。水硫比定义为：H</w:t>
      </w:r>
      <w:r>
        <w:rPr>
          <w:rFonts w:hint="eastAsia" w:ascii="宋体" w:hAnsi="宋体" w:eastAsia="宋体" w:cs="宋体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Cs w:val="21"/>
        </w:rPr>
        <w:t>O与SO</w:t>
      </w:r>
      <w:r>
        <w:rPr>
          <w:rFonts w:hint="eastAsia" w:ascii="宋体" w:hAnsi="宋体" w:eastAsia="宋体" w:cs="宋体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Cs w:val="21"/>
        </w:rPr>
        <w:t>的摩尔比。当酸浓100%时水硫比是1，酸浓为0时无穷大，纯SO</w:t>
      </w:r>
      <w:r>
        <w:rPr>
          <w:rFonts w:hint="eastAsia" w:ascii="宋体" w:hAnsi="宋体" w:eastAsia="宋体" w:cs="宋体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Cs w:val="21"/>
        </w:rPr>
        <w:t>则是0。</w:t>
      </w:r>
    </w:p>
    <w:p w14:paraId="679A2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硫酸有最高共沸点，共沸温度338.8℃，共沸酸浓98.33%，水硫比1.092。共沸点特指酸水总压（水、SO</w:t>
      </w:r>
      <w:r>
        <w:rPr>
          <w:rFonts w:hint="eastAsia" w:ascii="宋体" w:hAnsi="宋体" w:eastAsia="宋体" w:cs="宋体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Cs w:val="21"/>
        </w:rPr>
        <w:t>和气态硫酸3个分压之和）为101kPa下气液组成不变的沸腾温度，而实际工况下酸水总压比标准大气压低得多。图1是20kPa下气液平衡相图，此时露点与泡点的重合点称为恒浓点，恒浓温度比共沸点低约50℃。恒浓点左边：气相中水更多，酸被浓缩。而恒浓点右边：气中水更少，水更多地进入酸中。恒浓点是水逃逸分界点、亦是酸腐蚀性分界点。跨过恒浓点，是量变到质变过程。</w:t>
      </w:r>
    </w:p>
    <w:p w14:paraId="131FD132">
      <w:pPr>
        <w:adjustRightInd w:val="0"/>
        <w:snapToGrid w:val="0"/>
        <w:spacing w:line="288" w:lineRule="auto"/>
        <w:ind w:firstLine="420" w:firstLineChars="200"/>
        <w:jc w:val="center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drawing>
          <wp:inline distT="0" distB="0" distL="0" distR="0">
            <wp:extent cx="3458210" cy="2819400"/>
            <wp:effectExtent l="0" t="0" r="8890" b="0"/>
            <wp:docPr id="2" name="图片 2" descr="D:\27 兔圆圆23\0000 半干法\r 图_半干\20kPa相图1_编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27 兔圆圆23\0000 半干法\r 图_半干\20kPa相图1_编辑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8228" cy="2819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92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图1  20kPa下气液平衡相图（局部）</w:t>
      </w:r>
    </w:p>
    <w:p w14:paraId="65C08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湿法制酸必须处于恒浓点左边，适合冷凝成酸。冷凝管中从下至上每滴酸浓都在降低，气温从300℃降到100℃，最后一滴酸浓在80%左右，冷凝管流出酸浓很难到98%。曾用吸收塔取代冷凝器，由于塔底气液温差大，气体被冷激，酸雾超多、超细。此外，与循环酸平衡的气相水分压低，填料带出水少、产酸浓度更低。</w:t>
      </w:r>
    </w:p>
    <w:p w14:paraId="26302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干法制酸与湿法对应，位于恒浓点右边，一次转化后气体必须跨过恒浓点。相对水硫比小于1，从0到1的广大区域都是干法，尽管露点温度在升高，但是气相水硫比都是需要酸的水硫比。其间没有本质区别、只是量的不同。既可吸收成酸亦可冷凝成酸。通常用吸收来减少气体中水，只是习惯于将干燥塔干燥过的称为干法。</w:t>
      </w:r>
    </w:p>
    <w:p w14:paraId="20D37B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无干燥塔的硫磺制酸装置就是干法制酸，且更安全。反而常规的硫磺制酸干燥塔循环泵是不能停的，必须联锁停车，特别在采用热管省煤器时更应如此。</w:t>
      </w:r>
    </w:p>
    <w:p w14:paraId="6C3D7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半干法用两级吸收——吸湿塔和吸收塔。吸湿塔不加水、不串酸、酸浓不变，所需水由气体全带入，进塔气中SO</w:t>
      </w:r>
      <w:r>
        <w:rPr>
          <w:rFonts w:hint="eastAsia" w:ascii="宋体" w:hAnsi="宋体" w:eastAsia="宋体" w:cs="宋体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Cs w:val="21"/>
        </w:rPr>
        <w:t>成酸率已占7成，且随着冷凝进行，SO</w:t>
      </w:r>
      <w:r>
        <w:rPr>
          <w:rFonts w:hint="eastAsia" w:ascii="宋体" w:hAnsi="宋体" w:eastAsia="宋体" w:cs="宋体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Cs w:val="21"/>
        </w:rPr>
        <w:t>又与水生成新硫酸，更多的水被冷凝，吸湿塔除下的水比SO</w:t>
      </w:r>
      <w:r>
        <w:rPr>
          <w:rFonts w:hint="eastAsia" w:ascii="宋体" w:hAnsi="宋体" w:eastAsia="宋体" w:cs="宋体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Cs w:val="21"/>
        </w:rPr>
        <w:t>多。再由吸收塔保证吸收率，蒸发器用来维持吸湿塔酸温，顺带副产蒸汽。吸湿吸收也可在一个填料层中完成，上塔酸温80℃、下塔酸温230℃，同样能避免产生酸雾，只是酸热难利用。</w:t>
      </w:r>
    </w:p>
    <w:p w14:paraId="0D07D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半干法是干法制酸的极限，与干法处在同一区的两极，发扬了干法优点、克服其缺点。 “半干”有3层含意：首先，气体是半干的，相对湿法气中水分少了；再者，吸收塔后气体是干的；第3，工艺流程拟干法，且更短、更安全。</w:t>
      </w:r>
    </w:p>
    <w:p w14:paraId="00C1E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 一转一吸半干法装置</w:t>
      </w:r>
    </w:p>
    <w:p w14:paraId="29BF7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900 t/d石膏窑气制酸装置，出净化电除雾器气体干基组成为：SO</w:t>
      </w:r>
      <w:r>
        <w:rPr>
          <w:rFonts w:hint="eastAsia" w:ascii="宋体" w:hAnsi="宋体" w:eastAsia="宋体" w:cs="宋体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Cs w:val="21"/>
        </w:rPr>
        <w:t>气浓6.80%、氧浓8.16%，氧硫比1.20，干气量128300Nm</w:t>
      </w:r>
      <w:r>
        <w:rPr>
          <w:rFonts w:hint="eastAsia" w:ascii="宋体" w:hAnsi="宋体" w:eastAsia="宋体" w:cs="宋体"/>
          <w:szCs w:val="21"/>
          <w:vertAlign w:val="superscript"/>
        </w:rPr>
        <w:t>3</w:t>
      </w:r>
      <w:r>
        <w:rPr>
          <w:rFonts w:hint="eastAsia" w:ascii="宋体" w:hAnsi="宋体" w:eastAsia="宋体" w:cs="宋体"/>
          <w:szCs w:val="21"/>
        </w:rPr>
        <w:t>/h。不需要补充空气，直接进入制酸系统。</w:t>
      </w:r>
    </w:p>
    <w:p w14:paraId="3038B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气温37℃，带水7.1 t/h。湿基SO</w:t>
      </w:r>
      <w:r>
        <w:rPr>
          <w:rFonts w:hint="eastAsia" w:ascii="宋体" w:hAnsi="宋体" w:eastAsia="宋体" w:cs="宋体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Cs w:val="21"/>
        </w:rPr>
        <w:t>气浓6.36%、水分6.44%，水与硫的摩尔比为1.012。</w:t>
      </w:r>
    </w:p>
    <w:p w14:paraId="0C05B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Times New Roman" w:hAnsiTheme="minorEastAsia" w:eastAsiaTheme="minorEastAsia"/>
          <w:szCs w:val="21"/>
        </w:rPr>
      </w:pPr>
      <w:r>
        <w:rPr>
          <w:rFonts w:hint="eastAsia" w:ascii="宋体" w:hAnsi="宋体" w:eastAsia="宋体" w:cs="宋体"/>
          <w:szCs w:val="21"/>
        </w:rPr>
        <w:t>高氧硫比是石膏窑气的特点。采用3段转化的一转一吸制酸工艺，SO</w:t>
      </w:r>
      <w:r>
        <w:rPr>
          <w:rFonts w:hint="eastAsia" w:ascii="宋体" w:hAnsi="宋体" w:eastAsia="宋体" w:cs="宋体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Cs w:val="21"/>
        </w:rPr>
        <w:t>总转化率98.5%。半干法窑气制酸的一转一吸流程简图见图2。</w:t>
      </w:r>
    </w:p>
    <w:p w14:paraId="6E422E6B">
      <w:pPr>
        <w:adjustRightInd w:val="0"/>
        <w:snapToGrid w:val="0"/>
        <w:spacing w:line="288" w:lineRule="auto"/>
        <w:rPr>
          <w:rFonts w:hint="eastAsia" w:ascii="Times New Roman" w:hAnsiTheme="minorEastAsia" w:eastAsiaTheme="minorEastAsia"/>
          <w:szCs w:val="21"/>
        </w:rPr>
      </w:pPr>
      <w:r>
        <w:drawing>
          <wp:inline distT="0" distB="0" distL="0" distR="0">
            <wp:extent cx="6120130" cy="2910840"/>
            <wp:effectExtent l="0" t="0" r="13970" b="3810"/>
            <wp:docPr id="13602997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29972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BD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图2  半干法窑气制酸一转一吸流程简图</w:t>
      </w:r>
    </w:p>
    <w:p w14:paraId="28A9BF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从湿法净化电除雾器出口来的窑气不干燥，无需干燥塔，在窑气预热器中预热后进入风机。预热目的是确保窑气在风机进口不出现冷凝，顺便回收了部分吸收酸热、为0循环水创造条件。</w:t>
      </w:r>
    </w:p>
    <w:p w14:paraId="131CB7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风机出口窑气依次经第3、第2和第1换热器加热后进入转化器一段，一段出口是过热器与第1换热器并联。第3换热器出口是余热锅炉，蒸汽经过热器过热后，得到中压过热蒸汽。</w:t>
      </w:r>
    </w:p>
    <w:p w14:paraId="4FC505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吸湿塔内径5.9m，上塔酸量400 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/h。酸单独循环，不加水、不串酸、酸浓不变，用蒸发器来维持上塔酸温，产酸经脱盐水预热器降温后去吸收塔循环槽。</w:t>
      </w:r>
    </w:p>
    <w:p w14:paraId="54617C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吸收塔内径5.2m，上塔酸量85 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/h。酸也单独循环，酸冷器则是脱盐水预热器。需加水维持循环酸浓98.6%。若吸收塔出口尾气用双氧水吸收，产生的稀酸部分作为吸收加水而回用，剩余的可加到产品酸中，产品酸浓度在98.0%。</w:t>
      </w:r>
    </w:p>
    <w:p w14:paraId="3AE0F5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与带酸热回收的干法工艺相比，半干法做的是减法，减少了设备数量、减少了控制回路，也减少了占地。主装置可布置在1500m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以内（50x30m）。</w:t>
      </w:r>
    </w:p>
    <w:p w14:paraId="63280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 半干法特点</w:t>
      </w:r>
    </w:p>
    <w:p w14:paraId="127C7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3.1腐蚀性小</w:t>
      </w:r>
    </w:p>
    <w:p w14:paraId="4D0553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转化各段及吸湿塔进出口气体的露点温度及露点酸浓见表1，相对水硫比是气液相水硫比之比值。一段出口露点274℃、露点酸浓97.5%，因未跨过恒浓点。</w:t>
      </w:r>
    </w:p>
    <w:p w14:paraId="606793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气体在二段床层中跨过恒浓点，其后露点酸浓都在99.6%以上、且露点降了50℃。即使结露其腐蚀性也显著降低，为吸湿系统乃至整个半干法制酸装置的材料选择创造了条件。</w:t>
      </w:r>
    </w:p>
    <w:p w14:paraId="009FC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表1  露点温度及露点酸浓</w:t>
      </w:r>
    </w:p>
    <w:tbl>
      <w:tblPr>
        <w:tblStyle w:val="17"/>
        <w:tblW w:w="7415" w:type="dxa"/>
        <w:tblInd w:w="11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100"/>
        <w:gridCol w:w="1100"/>
        <w:gridCol w:w="1160"/>
        <w:gridCol w:w="1040"/>
        <w:gridCol w:w="1215"/>
      </w:tblGrid>
      <w:tr w14:paraId="107C9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0C6F2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位 置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F8ABC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露点温度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287E83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露点酸浓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18862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气相</w:t>
            </w:r>
          </w:p>
        </w:tc>
        <w:tc>
          <w:tcPr>
            <w:tcW w:w="104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C90C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相对    水硫比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08A72D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酸水总压</w:t>
            </w:r>
          </w:p>
        </w:tc>
      </w:tr>
      <w:tr w14:paraId="48CFB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770A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3ED0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℃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C64A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%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207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水硫比</w:t>
            </w:r>
          </w:p>
        </w:tc>
        <w:tc>
          <w:tcPr>
            <w:tcW w:w="104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9648D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85E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kPa</w:t>
            </w:r>
          </w:p>
        </w:tc>
      </w:tr>
      <w:tr w14:paraId="6BE5B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1FA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一段出口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9A0B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274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AA6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97.5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22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1.27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9F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1.17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FBE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13.7</w:t>
            </w:r>
          </w:p>
        </w:tc>
      </w:tr>
      <w:tr w14:paraId="448C9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A06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二段出口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43E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224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98EC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99.6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C353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1.07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65E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0.98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870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14.4</w:t>
            </w:r>
          </w:p>
        </w:tc>
      </w:tr>
      <w:tr w14:paraId="01240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15F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三段出口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441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224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595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99.7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967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1.03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1C1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0.94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BE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14.1</w:t>
            </w:r>
          </w:p>
        </w:tc>
      </w:tr>
      <w:tr w14:paraId="44911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A1F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吸湿塔进口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ED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224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3744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99.7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555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1.03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AE1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0.94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B2E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10.7</w:t>
            </w:r>
          </w:p>
        </w:tc>
      </w:tr>
      <w:tr w14:paraId="4BF22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02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吸湿塔出口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5C7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149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24E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99.6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752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0.69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FF9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0.63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930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0.5</w:t>
            </w:r>
          </w:p>
        </w:tc>
      </w:tr>
    </w:tbl>
    <w:p w14:paraId="24B8DF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63515C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影响露点的是酸水总压。吸湿塔内酸水总压沿填料层向上迅速减小，出塔不足进口的5%，且水的分压下降更多，尽管露点酸浓略有下降，但露点温度低了75℃，露点腐蚀显著降低。为吸收塔避免空间冷凝提供便利。</w:t>
      </w:r>
    </w:p>
    <w:p w14:paraId="43697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3.2 水的属性改变</w:t>
      </w:r>
    </w:p>
    <w:p w14:paraId="412F62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吸湿塔不加水、不串酸、酸浓不变，仰仗的是气中水。半干法看似不加水的酸热回收，只是“看似”而已、绝不能划等号，因为酸热回收必须加水，无论是液态水、喷蒸汽或串酸。而加水带来了诸多不安全因素，可见半干法更安全！</w:t>
      </w:r>
    </w:p>
    <w:p w14:paraId="51D3C3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带酸热回收的干法制酸，有2个水平衡。一是装置总水平衡，另一个是酸热回收子水平衡。总平衡是干吸水平衡和酸热回收水平衡两者之和，子平衡必须在总平衡之内，而两者区域属性是相异的，如图3(a)。如果总平衡无需补充水，酸热回收就不能加水，只能从干燥串来。串酸随之串热，减少了可回收热量。</w:t>
      </w:r>
    </w:p>
    <w:p w14:paraId="35DFD457">
      <w:pPr>
        <w:adjustRightInd w:val="0"/>
        <w:snapToGrid w:val="0"/>
        <w:spacing w:line="288" w:lineRule="auto"/>
        <w:jc w:val="center"/>
        <w:rPr>
          <w:rFonts w:hint="eastAsia" w:ascii="Times New Roman" w:hAnsiTheme="minorEastAsia" w:eastAsiaTheme="minorEastAsia"/>
          <w:szCs w:val="21"/>
        </w:rPr>
      </w:pPr>
      <w:r>
        <w:drawing>
          <wp:inline distT="0" distB="0" distL="0" distR="0">
            <wp:extent cx="5566410" cy="2083435"/>
            <wp:effectExtent l="0" t="0" r="15240" b="12065"/>
            <wp:docPr id="20916648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664846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4949" cy="2090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EF341">
      <w:pPr>
        <w:pStyle w:val="32"/>
        <w:numPr>
          <w:ilvl w:val="0"/>
          <w:numId w:val="1"/>
        </w:numPr>
        <w:adjustRightInd w:val="0"/>
        <w:snapToGrid w:val="0"/>
        <w:spacing w:line="288" w:lineRule="auto"/>
        <w:ind w:firstLineChars="0"/>
        <w:jc w:val="center"/>
        <w:rPr>
          <w:rFonts w:hint="eastAsia" w:ascii="Times New Roman" w:hAnsiTheme="minorEastAsia" w:eastAsiaTheme="minorEastAsia"/>
          <w:szCs w:val="21"/>
        </w:rPr>
      </w:pPr>
      <w:r>
        <w:rPr>
          <w:rFonts w:hint="eastAsia" w:ascii="Times New Roman" w:hAnsiTheme="minorEastAsia" w:eastAsiaTheme="minorEastAsia"/>
          <w:szCs w:val="21"/>
        </w:rPr>
        <w:t>干法</w:t>
      </w:r>
      <w:r>
        <w:rPr>
          <w:rFonts w:ascii="Times New Roman" w:hAnsiTheme="minorEastAsia" w:eastAsiaTheme="minorEastAsia"/>
          <w:szCs w:val="21"/>
        </w:rPr>
        <w:t>带酸热回收</w:t>
      </w:r>
      <w:r>
        <w:rPr>
          <w:rFonts w:hint="eastAsia" w:ascii="Times New Roman" w:hAnsiTheme="minorEastAsia" w:eastAsiaTheme="minorEastAsia"/>
          <w:szCs w:val="21"/>
        </w:rPr>
        <w:t xml:space="preserve">                         (b) 半干法</w:t>
      </w:r>
    </w:p>
    <w:p w14:paraId="52AEF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图3  水的区域属性示意图</w:t>
      </w:r>
    </w:p>
    <w:p w14:paraId="43FB60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干燥塔除下1吨水的热能流失等同于1.3吨中压蒸汽。再将这吨水，通过串酸串到酸热回收系统，会少回收3.2吨低压蒸汽。两者相加，每吨水少了4.5吨汽，这是干法酸热回收蒸汽产率低的关键所在。热量是守恒的，只是9成耗费在干燥、串酸中。</w:t>
      </w:r>
    </w:p>
    <w:p w14:paraId="1DA141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半干法改变了水的属性，进吸湿塔水为全局水，如图3(b)。不干燥，就自带水。像似蒸汽喷入，更优于喷入，使得两个水平衡区间一致、几乎重合。反映在副产蒸汽上更可观，每吨水可产5吨多汽。</w:t>
      </w:r>
    </w:p>
    <w:p w14:paraId="4E55A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3.3 蒸汽产率高</w:t>
      </w:r>
    </w:p>
    <w:p w14:paraId="4613D4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不仅副产蒸汽多，且中压汽更多。副产3.8MPa、450℃中压过热和0.6MPa低压饱和两种蒸汽，蒸汽量及产率见表2。一转一吸装置总产37.5 t/h，吨酸产汽率1.00吨，其中：中压11.2t/h，吨酸产汽率 0.30吨；低压26.3t/h，吨酸产率0.70吨。如果全产低压汽，产汽量高达40.6 t/h，吨酸产汽率1.08吨。</w:t>
      </w:r>
    </w:p>
    <w:p w14:paraId="01D74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表2  窑气制酸副产蒸汽量及蒸汽产率</w:t>
      </w:r>
    </w:p>
    <w:tbl>
      <w:tblPr>
        <w:tblStyle w:val="17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2297"/>
        <w:gridCol w:w="970"/>
        <w:gridCol w:w="1103"/>
        <w:gridCol w:w="970"/>
        <w:gridCol w:w="1103"/>
        <w:gridCol w:w="970"/>
        <w:gridCol w:w="1103"/>
      </w:tblGrid>
      <w:tr w14:paraId="15E48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3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B5E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8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088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 目</w:t>
            </w:r>
          </w:p>
        </w:tc>
        <w:tc>
          <w:tcPr>
            <w:tcW w:w="115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83A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一转一吸</w:t>
            </w:r>
          </w:p>
        </w:tc>
        <w:tc>
          <w:tcPr>
            <w:tcW w:w="115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6CB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两转两吸</w:t>
            </w:r>
          </w:p>
        </w:tc>
        <w:tc>
          <w:tcPr>
            <w:tcW w:w="115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E08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一转一吸多产</w:t>
            </w:r>
          </w:p>
        </w:tc>
      </w:tr>
      <w:tr w14:paraId="38F45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C118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8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75D0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1D4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 蒸汽量 t/h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1671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蒸汽产率 t/t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1CE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 蒸汽量 t/h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5AB4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蒸汽产率 t/t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BE8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 蒸汽量 t/h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56A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蒸汽产率 t/t</w:t>
            </w:r>
          </w:p>
        </w:tc>
      </w:tr>
      <w:tr w14:paraId="3E373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E72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12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57B3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产两种蒸汽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8449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86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7CC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34D7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294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662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43C63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6956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34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  其中:中压过热蒸汽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6A0C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11.2 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0FF48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0.30 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C7C20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7.5 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10A9D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0.20 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F412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3.7 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2222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0.10 </w:t>
            </w:r>
          </w:p>
        </w:tc>
      </w:tr>
      <w:tr w14:paraId="0B754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6A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24DD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       低压饱和蒸汽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0497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26.3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EAE2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0.70 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9445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26.3 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CFA30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0.70 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514E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DCF7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0B642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56E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1ADC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  合计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7774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37.5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7002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1.00 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D276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33.8 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CCE4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0.90 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FC07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3.7 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5C0A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0.10 </w:t>
            </w:r>
          </w:p>
        </w:tc>
      </w:tr>
      <w:tr w14:paraId="31A12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B2E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12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682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仅产低压蒸汽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E4BE8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40.6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11BF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1.08 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9769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35.8 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50BCF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0.95 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12CE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4.7 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3878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0.13 </w:t>
            </w:r>
          </w:p>
        </w:tc>
      </w:tr>
      <w:tr w14:paraId="719AD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4C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877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  比两种蒸汽多产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A99E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2.9 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DA13F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0.08 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E12D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2.0 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4D8B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0.05 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7ED86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E5A1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14:paraId="3D2F29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窑气带水7.1 t/h，水汽带入潜热占总回收热量的1/5，这是蒸汽产率高的主因，如果没有水汽几乎产不出中压蒸汽。</w:t>
      </w:r>
    </w:p>
    <w:p w14:paraId="555E48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蒸汽的热能，原本是靠循环水带走的。与无酸热回收的干法制酸相比，减少了87%。进窑气制酸界区的脱盐水通常是常温，正好作为冷却介质，吸收酸冷器和产品酸冷器都成了脱盐水预热器，实现了0循环水、制酸热全回收！</w:t>
      </w:r>
    </w:p>
    <w:p w14:paraId="1D181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3.4 电耗低 </w:t>
      </w:r>
    </w:p>
    <w:p w14:paraId="40E1E0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副产中压蒸汽，吸湿塔进气温度降低，塔内产生的热量减少。吸湿塔酸浓不变，循环酸量只是维持合适的下塔酸温，喷淋密度在15 (m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/h)/m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以下。淋密度减小，表面冷凝所需填料又少，不仅填料阻力低，循环泵功率也小。同样，吸收塔亦需维持下塔酸温，喷淋密度仅4 (m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/h)/m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。低喷淋密度下，分酸均匀性尤其重要，碟式分酸器发挥了优势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[11]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346E3A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不干燥，风机进口负压少了干燥阻力，尽管风量增加，但升压降低，使得风机电耗减小。若将中压过热蒸汽用来推动透平，风机电耗则再减去6成甚至归零。</w:t>
      </w:r>
    </w:p>
    <w:p w14:paraId="03BAF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3.5 吸湿控制简单</w:t>
      </w:r>
    </w:p>
    <w:p w14:paraId="3606E7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吸湿控制较简单，从水硫比、上塔酸温两方面维持酸浓。在进塔气水硫比1.028、上塔酸温173℃下，循环酸浓是99.10%，此时SO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去除率近94、水去除了96%，水比SO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多2个百分点，从而使塔出气的露点降了75℃。</w:t>
      </w:r>
    </w:p>
    <w:p w14:paraId="41ED40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酸浓是被动的，影响填料层酸浓是自下而上的。进气中水硫比越高，酸浓越低，SO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和水的去除率都增加，但水比SO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增量少，酸浓降得较小。</w:t>
      </w:r>
    </w:p>
    <w:p w14:paraId="45CC43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当水分增加3%，气体多带0.2t/h水，平衡酸浓是98.76%，只降了0.34。因塔底存酸和填料持酸，这0.34不是迅速降低的，而是缓慢进行的，半天后酸浓才能到达平衡。相反，当气体带水不足时，若少了0.2t/h，半天后酸浓才升到99.35%，只增0.25。在水量增减3%以内，可不调节，只监测浓度变化速率。</w:t>
      </w:r>
    </w:p>
    <w:p w14:paraId="484373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即使水分增加6%，气体多带0.4 t/h水，平衡酸浓为98.37%，仍在恒浓点右边。需半天后才能到达平衡，有的是调节时间。</w:t>
      </w:r>
    </w:p>
    <w:p w14:paraId="5EA689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蒸发器水侧压力大于酸侧，如果泄漏是水漏入酸中，酸浓下降的同时酸温急速变化，双对称管壳式蒸发器能及时识别并快速确认，避免事故发生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[12]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35F97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3.6 水助力转化</w:t>
      </w:r>
    </w:p>
    <w:p w14:paraId="3F39D7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气中水，冲淡了气浓，需更多触媒。但水也增大操作线斜率，使平衡转化率升高。</w:t>
      </w:r>
    </w:p>
    <w:p w14:paraId="2913EA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水助力转化，是因为气体中部分SO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与水生成了硫酸分子，相当于该SO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吸收掉了、移去了部分产物，使平衡向前移动。</w:t>
      </w:r>
    </w:p>
    <w:p w14:paraId="7C107F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降低第三段反应温度，更有积极意义。在进口温度395℃下，进出床层的成酸率分别为5.2和4.2%，从而降低反应难度、提高实际转化率。虽然三段出口转化率98.5%，实际仅为98.42%。别小看这0.08，减的触媒可不少。</w:t>
      </w:r>
    </w:p>
    <w:p w14:paraId="20014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3.7 开停车有干气</w:t>
      </w:r>
    </w:p>
    <w:p w14:paraId="6B3A2B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半干法去掉干燥塔，并非没有干气。开车前，采用开车风机，从吸收塔（或两转两吸的二吸塔）出口得到干气。空气从吸收塔进口烟道进入、至塔顶流出，此时，吸收塔是干燥塔。可用临时烟道，也有设置成永久烟道。</w:t>
      </w:r>
    </w:p>
    <w:p w14:paraId="319E1E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停车后，保安风扇自动开启，从吸收塔顶抽取干气，送到风机出口烟道中。既防热气倒流伤及风机，又用来吹出系统中的水分和SO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。既防结露又增强安全。</w:t>
      </w:r>
    </w:p>
    <w:p w14:paraId="1A1133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钒催化剂怕的是液态水，在操作温度下气体的相对湿度是非常低的（低于0.1%），成酸在催化剂毛细孔中不会结露。只在低温下钒与液态水反应后才变绿、变黒直至失去活性，硅藻土遇水后失去强度、粉化甚至成为酸泥。</w:t>
      </w:r>
    </w:p>
    <w:p w14:paraId="20EB23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开停车前后，烟气中水是钒催化剂的致命因素，保护催化剂是装置长期平稳运行的关键。对催化剂来说，干气是保命气。合适的气量很重要，这也成半干法与湿法制酸工艺的区别所在。</w:t>
      </w:r>
    </w:p>
    <w:p w14:paraId="487C0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4两转两吸的半干法</w:t>
      </w:r>
    </w:p>
    <w:p w14:paraId="5A6291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一转一吸加双氧水尾吸，已实现尾吸稀酸全回用，是最具经济效益的。</w:t>
      </w:r>
    </w:p>
    <w:p w14:paraId="12626D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也可采用“3+1”两次转化的半干法制酸工艺，吸收塔出口气体是干的，第二次转化、第二次吸收均是干法制酸工艺，更易实现尾吸稀酸0排放、亦可实现0循环水，流程简图见图4。</w:t>
      </w:r>
    </w:p>
    <w:p w14:paraId="26C4D602">
      <w:pPr>
        <w:adjustRightInd w:val="0"/>
        <w:snapToGrid w:val="0"/>
        <w:spacing w:line="288" w:lineRule="auto"/>
        <w:jc w:val="center"/>
        <w:rPr>
          <w:rFonts w:hint="eastAsia" w:ascii="Times New Roman" w:hAnsiTheme="minorEastAsia" w:eastAsiaTheme="minorEastAsia"/>
          <w:szCs w:val="21"/>
        </w:rPr>
      </w:pPr>
      <w:r>
        <w:drawing>
          <wp:inline distT="0" distB="0" distL="0" distR="0">
            <wp:extent cx="6120130" cy="2842260"/>
            <wp:effectExtent l="0" t="0" r="13970" b="15240"/>
            <wp:docPr id="154634296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342962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0B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图4  窑气制酸的两转两吸半干法流程简图</w:t>
      </w:r>
    </w:p>
    <w:p w14:paraId="457A7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转化器增加第四段催化剂床层，此外只增加了两台设备——第4换热器和二吸塔，不增加酸循环——二吸塔酸循环与吸收塔共槽共泵共酸冷器。</w:t>
      </w:r>
    </w:p>
    <w:p w14:paraId="06123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换热采用431-42流程。四段出口前段、三段出口前段和一段出口部分热量，加热第一次转化气；四段出口后半段和二段出口热量，加热第二次转化气。</w:t>
      </w:r>
    </w:p>
    <w:p w14:paraId="03BC6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水汽流程不变。仍然是：第3换热器出口为余热锅炉、转化器一段出口是中压蒸汽过热器。</w:t>
      </w:r>
    </w:p>
    <w:p w14:paraId="6D2DF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副产蒸汽量及蒸汽产率见表2。一次转化率与一转一吸相同，两转两吸装置合计产汽33.8 t/h，吨酸产汽0.90吨，其中：中压7.5t/h，吨酸产汽率 0.20吨，比一转一吸少了0.10 t/t；低压蒸汽26.3 t/h，吨酸产率0.70吨，与一转一吸相同。如果全产低压蒸汽，则是35.8 t/h，吨酸产汽率0.95吨。</w:t>
      </w:r>
    </w:p>
    <w:p w14:paraId="3634D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 半干法是减法</w:t>
      </w:r>
    </w:p>
    <w:p w14:paraId="23E4F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干法制酸加酸热回收是加法。稀释器加水涉及到酸浓均匀、设备及管道震动、酸浓确认等一系列难题，增加蒸汽喷入又带来气液混合均匀、冷凝酸等问题，期望100%喷入蒸汽而取消稀释器则是难上加难</w:t>
      </w:r>
      <w:r>
        <w:rPr>
          <w:rFonts w:hint="eastAsia" w:ascii="宋体" w:hAnsi="宋体" w:eastAsia="宋体" w:cs="宋体"/>
          <w:szCs w:val="21"/>
          <w:vertAlign w:val="superscript"/>
        </w:rPr>
        <w:t>[13]</w:t>
      </w:r>
      <w:r>
        <w:rPr>
          <w:rFonts w:hint="eastAsia" w:ascii="宋体" w:hAnsi="宋体" w:eastAsia="宋体" w:cs="宋体"/>
          <w:szCs w:val="21"/>
        </w:rPr>
        <w:t>。</w:t>
      </w:r>
    </w:p>
    <w:p w14:paraId="23239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半干法做减法，减去一些关键点、换道领跑，是热能回收最大化的最简版。没有干燥塔，气中水直接进吸湿塔，进出塔酸浓是不变的，在循环泵出口和吸湿塔进口设置两台酸浓仪，测到的酸浓是相同的。如果气中水硫比发生改变，循环酸浓也会稍微变化，两酸浓是同步增减的。即使塔进气中SO</w:t>
      </w:r>
      <w:r>
        <w:rPr>
          <w:rFonts w:hint="eastAsia" w:ascii="宋体" w:hAnsi="宋体" w:eastAsia="宋体" w:cs="宋体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Cs w:val="21"/>
        </w:rPr>
        <w:t>为0，此时吸湿塔成了干燥塔，两酸浓仍是同步下降，其差值也是很小的。</w:t>
      </w:r>
    </w:p>
    <w:p w14:paraId="27D0E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只有蒸发器泄漏，水漏入酸中，塔进口酸浓急剧下降且快速降低，同时两酸浓差值在逐渐扩大，这是蒸发器泄漏的明确指针。而在酸热回收中出现该现象，难以简单判定是蒸发器泄漏还是加水太多。</w:t>
      </w:r>
    </w:p>
    <w:p w14:paraId="15340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半干法硫磺制酸装置，在焚硫炉及三段进口加入蒸汽，使一段出口烟气就跨过恒浓点。水汽冲淡了实际气浓、降低了炉温和一段出口温度。两转两吸装置吨酸副产蒸汽2.10吨，其中：中压1.55吨，低压0.55吨（蒸发器产出）。不仅总汽多，且中压过热蒸汽更多。这是减法减出的成果，比干法加酸热回收的加法加出来的结果还显著，而且，更安全、易操作、投资省、效益高。</w:t>
      </w:r>
    </w:p>
    <w:p w14:paraId="077D8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若是60万吨/年硫磺制酸装置，则可改造成半磺半窑气的半干法装置，900t/d酸来自窑气、另一半来自硫磺。吸湿塔进口气体带的14 t/h水中95%来自窑气，电雾出口气温可在48℃。吨酸副产蒸汽1.50吨，其中：中压0.88吨，低压0.62吨。硫酸制酸掺入窑气的两转两吸半干法流程见图5。</w:t>
      </w:r>
    </w:p>
    <w:p w14:paraId="6EE6C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ascii="Times New Roman" w:hAnsiTheme="minorEastAsia" w:eastAsiaTheme="minorEastAsia"/>
          <w:szCs w:val="21"/>
        </w:rPr>
        <w:object>
          <v:shape id="_x0000_i1025" o:spt="75" type="#_x0000_t75" style="height:331.5pt;width:468.9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AcroExch.Document.7" ShapeID="_x0000_i1025" DrawAspect="Content" ObjectID="_1468075725" r:id="rId8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图5  硫酸制酸掺入窑气的两转两吸半干法流程简图</w:t>
      </w:r>
    </w:p>
    <w:p w14:paraId="26E06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这是常见的“32”换热两转两吸硫磺制酸装置，封存干燥塔及其酸循环，冷换出口省煤器换成小锅炉。该装置成了窑气制酸的热备系统，能在全硫磺与半磺半窑气之间无缝切换，净化后的窑气从空气预热器后并入风机。风机出气全部进入烟气加热器升温200℃后，部分进焚硫炉、小部分旁路，喷磺量减半。</w:t>
      </w:r>
    </w:p>
    <w:p w14:paraId="090D3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6 结语</w:t>
      </w:r>
    </w:p>
    <w:p w14:paraId="12EAD0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半干法是当前热能回收最大化的制酸流程最简版。</w:t>
      </w:r>
    </w:p>
    <w:p w14:paraId="1336D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从近代制酸技术的发展趋势来看，一直是在做减法。含铯催化剂降低了床层进口气温、使得出口平衡转化率更高，“3+1”4段足以满足传统“3+2”5段转化的要求。分酸均匀使得保持填料传质效能所需的喷淋密度更低，二吸塔喷淋密度已小于2.5 (m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/h)/m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，出塔酸温150℃、远高于进气的露点，该塔既不会产生酸雾、也不带酸沫，甚至可不用除雾器。填料层阻力降低，又可减小塔径、减少循环酸量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[14]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7ED0E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2C4B2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参考文献：</w:t>
      </w:r>
    </w:p>
    <w:p w14:paraId="76FFDA04">
      <w:pPr>
        <w:pStyle w:val="3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[1]丁华.半干法制酸工艺[J].硫酸工业,2014(6):1-4 </w:t>
      </w:r>
    </w:p>
    <w:p w14:paraId="6967C2D1">
      <w:pPr>
        <w:pStyle w:val="3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[2]丁华.半干法硫铁矿制酸装置[J].硫酸工业,2024(1):1-5 </w:t>
      </w:r>
    </w:p>
    <w:p w14:paraId="5ABDDD41">
      <w:pPr>
        <w:pStyle w:val="3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[3]丁华.半干法硫磺制酸装置[J].中国硫酸协会论文集,2025: </w:t>
      </w:r>
    </w:p>
    <w:p w14:paraId="1E8C5094">
      <w:pPr>
        <w:pStyle w:val="3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[4]丁华.无干燥塔的硫磺制酸装置[J].硫酸工业,2021(1):6-10 </w:t>
      </w:r>
    </w:p>
    <w:p w14:paraId="698C9E9F">
      <w:pPr>
        <w:pStyle w:val="3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[5]丁华.低浓度SO2烟气掺烧硫磺的半干法装置[J].硫酸工业,2025(1):10-15</w:t>
      </w:r>
    </w:p>
    <w:p w14:paraId="52AE20DD">
      <w:pPr>
        <w:pStyle w:val="3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[6]丁华.黏胶生产中含硫尾气的半干法制酸装置[J].合成纤维, 2015, 44(4):44-47 </w:t>
      </w:r>
    </w:p>
    <w:p w14:paraId="7D2FACBA">
      <w:pPr>
        <w:pStyle w:val="3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[7]丁华.废酸与硫化氢联合的半干法制酸装置[J].硫酸工业,2018(2):1-5</w:t>
      </w:r>
    </w:p>
    <w:p w14:paraId="593DA071">
      <w:pPr>
        <w:pStyle w:val="3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[8]丁华.分酸不均对酸热回收塔的影响[J].硫酸工业,2026(2):9-13,36 </w:t>
      </w:r>
    </w:p>
    <w:p w14:paraId="2C40E5AB">
      <w:pPr>
        <w:pStyle w:val="3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[9]丁华.酸雾的行为[J].硫酸工业,2021(6):1-5,21 </w:t>
      </w:r>
    </w:p>
    <w:p w14:paraId="50B7AA0F">
      <w:pPr>
        <w:pStyle w:val="3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[10]丁华.恒浓点与水硫比[J].硫酸工业,2024(4):1-6 </w:t>
      </w:r>
    </w:p>
    <w:p w14:paraId="0645C31C">
      <w:pPr>
        <w:pStyle w:val="3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[11]丁华.碟式分酸器在吸收酸热回收塔中的应用[J].硫酸工业,2016(4):12-15 </w:t>
      </w:r>
    </w:p>
    <w:p w14:paraId="3D5ABFDF">
      <w:pPr>
        <w:pStyle w:val="3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[12]丁华.双对称管壳式酸冷器[J].硫酸工业,2016(6):19-22 </w:t>
      </w:r>
    </w:p>
    <w:p w14:paraId="5D7F986A">
      <w:pPr>
        <w:pStyle w:val="3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[13]丁华.酸热回收中的蒸汽喷入[J].硫酸工业,2014(12):24-27 </w:t>
      </w:r>
    </w:p>
    <w:p w14:paraId="5D231365">
      <w:pPr>
        <w:pStyle w:val="3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[14]丁华.二吸塔酸雾控制[J].硫酸工业, 2023(5):1-4,12 </w:t>
      </w:r>
    </w:p>
    <w:p w14:paraId="76994861">
      <w:pPr>
        <w:pStyle w:val="3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sectPr>
      <w:pgSz w:w="11906" w:h="16838"/>
      <w:pgMar w:top="1814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040778"/>
    <w:multiLevelType w:val="multilevel"/>
    <w:tmpl w:val="05040778"/>
    <w:lvl w:ilvl="0" w:tentative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5ZmMwZTNkY2FjMjU1Y2Y4ZTlkNzhjNmI4MDEyNjcifQ=="/>
  </w:docVars>
  <w:rsids>
    <w:rsidRoot w:val="00DD4CC1"/>
    <w:rsid w:val="00036B5E"/>
    <w:rsid w:val="00047FC0"/>
    <w:rsid w:val="00060599"/>
    <w:rsid w:val="0008730F"/>
    <w:rsid w:val="000A4D30"/>
    <w:rsid w:val="001570A5"/>
    <w:rsid w:val="001653DA"/>
    <w:rsid w:val="00170655"/>
    <w:rsid w:val="001F16B8"/>
    <w:rsid w:val="001F268C"/>
    <w:rsid w:val="00205F95"/>
    <w:rsid w:val="00223CAE"/>
    <w:rsid w:val="00252BF1"/>
    <w:rsid w:val="00264F57"/>
    <w:rsid w:val="002A2FE8"/>
    <w:rsid w:val="002A6E7F"/>
    <w:rsid w:val="002D3AD9"/>
    <w:rsid w:val="0032324D"/>
    <w:rsid w:val="00326DED"/>
    <w:rsid w:val="00452666"/>
    <w:rsid w:val="0046021A"/>
    <w:rsid w:val="00472F07"/>
    <w:rsid w:val="00495E28"/>
    <w:rsid w:val="004A7308"/>
    <w:rsid w:val="004B658B"/>
    <w:rsid w:val="004E5974"/>
    <w:rsid w:val="004E639D"/>
    <w:rsid w:val="0052555F"/>
    <w:rsid w:val="00550EFD"/>
    <w:rsid w:val="005A641B"/>
    <w:rsid w:val="005B2031"/>
    <w:rsid w:val="006054C1"/>
    <w:rsid w:val="006278D9"/>
    <w:rsid w:val="006525A5"/>
    <w:rsid w:val="006B4EF3"/>
    <w:rsid w:val="006B523C"/>
    <w:rsid w:val="006C7D50"/>
    <w:rsid w:val="00704818"/>
    <w:rsid w:val="00735E72"/>
    <w:rsid w:val="00756BF6"/>
    <w:rsid w:val="007958E0"/>
    <w:rsid w:val="007A04D9"/>
    <w:rsid w:val="007C2153"/>
    <w:rsid w:val="007D0764"/>
    <w:rsid w:val="007F00BC"/>
    <w:rsid w:val="00844F2C"/>
    <w:rsid w:val="00852987"/>
    <w:rsid w:val="0087425D"/>
    <w:rsid w:val="00874940"/>
    <w:rsid w:val="009168ED"/>
    <w:rsid w:val="0093495B"/>
    <w:rsid w:val="0094356F"/>
    <w:rsid w:val="009819FE"/>
    <w:rsid w:val="00987F1F"/>
    <w:rsid w:val="00A0752B"/>
    <w:rsid w:val="00A1502F"/>
    <w:rsid w:val="00A3470B"/>
    <w:rsid w:val="00A633AE"/>
    <w:rsid w:val="00A81B9E"/>
    <w:rsid w:val="00AA011A"/>
    <w:rsid w:val="00AD6D59"/>
    <w:rsid w:val="00B05911"/>
    <w:rsid w:val="00B226D2"/>
    <w:rsid w:val="00B86F3C"/>
    <w:rsid w:val="00BD25C3"/>
    <w:rsid w:val="00BF5402"/>
    <w:rsid w:val="00C31229"/>
    <w:rsid w:val="00C76433"/>
    <w:rsid w:val="00CF58F8"/>
    <w:rsid w:val="00D203A8"/>
    <w:rsid w:val="00D36A6E"/>
    <w:rsid w:val="00D829F0"/>
    <w:rsid w:val="00DD4CC1"/>
    <w:rsid w:val="00DE0390"/>
    <w:rsid w:val="00DF0139"/>
    <w:rsid w:val="00E52C97"/>
    <w:rsid w:val="00E67BF2"/>
    <w:rsid w:val="00EC1DD6"/>
    <w:rsid w:val="00ED67A0"/>
    <w:rsid w:val="00F153FF"/>
    <w:rsid w:val="00F22786"/>
    <w:rsid w:val="00F834FB"/>
    <w:rsid w:val="00F9257D"/>
    <w:rsid w:val="00FB3EEC"/>
    <w:rsid w:val="00FD2258"/>
    <w:rsid w:val="01520363"/>
    <w:rsid w:val="01AE147F"/>
    <w:rsid w:val="01C963F3"/>
    <w:rsid w:val="01DE1C5C"/>
    <w:rsid w:val="02203B3A"/>
    <w:rsid w:val="02B86B51"/>
    <w:rsid w:val="03304250"/>
    <w:rsid w:val="0374238F"/>
    <w:rsid w:val="03A5079A"/>
    <w:rsid w:val="03C50E3C"/>
    <w:rsid w:val="03C527A5"/>
    <w:rsid w:val="048748A1"/>
    <w:rsid w:val="04CC1D57"/>
    <w:rsid w:val="04DC643E"/>
    <w:rsid w:val="056106F1"/>
    <w:rsid w:val="05AE130F"/>
    <w:rsid w:val="05FB3670"/>
    <w:rsid w:val="06112117"/>
    <w:rsid w:val="062077BC"/>
    <w:rsid w:val="065F10D4"/>
    <w:rsid w:val="0730481F"/>
    <w:rsid w:val="076E5F7E"/>
    <w:rsid w:val="07B471FE"/>
    <w:rsid w:val="07C05BA3"/>
    <w:rsid w:val="07E3246F"/>
    <w:rsid w:val="07F7358F"/>
    <w:rsid w:val="08564759"/>
    <w:rsid w:val="08BA0844"/>
    <w:rsid w:val="091A7E4E"/>
    <w:rsid w:val="09931095"/>
    <w:rsid w:val="09F00295"/>
    <w:rsid w:val="0A4B20AA"/>
    <w:rsid w:val="0AEE6ECB"/>
    <w:rsid w:val="0AFF2E86"/>
    <w:rsid w:val="0B664CB3"/>
    <w:rsid w:val="0C0E77A3"/>
    <w:rsid w:val="0C2B45A8"/>
    <w:rsid w:val="0C580AA0"/>
    <w:rsid w:val="0C8E44C1"/>
    <w:rsid w:val="0CDE6ACB"/>
    <w:rsid w:val="0CE82491"/>
    <w:rsid w:val="0CF56428"/>
    <w:rsid w:val="0D525F6F"/>
    <w:rsid w:val="0D731909"/>
    <w:rsid w:val="0DA11FD2"/>
    <w:rsid w:val="0E470192"/>
    <w:rsid w:val="0E5352AC"/>
    <w:rsid w:val="0E792F4F"/>
    <w:rsid w:val="0EC8358F"/>
    <w:rsid w:val="0F543075"/>
    <w:rsid w:val="0FEE51C5"/>
    <w:rsid w:val="0FEF171B"/>
    <w:rsid w:val="0FF00FEF"/>
    <w:rsid w:val="0FF705D0"/>
    <w:rsid w:val="102313C5"/>
    <w:rsid w:val="103C5A23"/>
    <w:rsid w:val="10523A58"/>
    <w:rsid w:val="10667503"/>
    <w:rsid w:val="108035FE"/>
    <w:rsid w:val="108F6A5A"/>
    <w:rsid w:val="10B85FB1"/>
    <w:rsid w:val="10BB15FD"/>
    <w:rsid w:val="10D34B99"/>
    <w:rsid w:val="111156C1"/>
    <w:rsid w:val="111B6540"/>
    <w:rsid w:val="11407D54"/>
    <w:rsid w:val="123F1DBA"/>
    <w:rsid w:val="12411FD6"/>
    <w:rsid w:val="12CF1390"/>
    <w:rsid w:val="12DB7D35"/>
    <w:rsid w:val="12E60488"/>
    <w:rsid w:val="13001868"/>
    <w:rsid w:val="132A2A6A"/>
    <w:rsid w:val="13CB5FFB"/>
    <w:rsid w:val="145D3907"/>
    <w:rsid w:val="148A7C64"/>
    <w:rsid w:val="14B4083D"/>
    <w:rsid w:val="156C2EC6"/>
    <w:rsid w:val="15C56B00"/>
    <w:rsid w:val="16132CB9"/>
    <w:rsid w:val="16B20DAC"/>
    <w:rsid w:val="16B25250"/>
    <w:rsid w:val="16B8213B"/>
    <w:rsid w:val="16D2144F"/>
    <w:rsid w:val="17836BED"/>
    <w:rsid w:val="178C5AA1"/>
    <w:rsid w:val="17AD77C6"/>
    <w:rsid w:val="180933FC"/>
    <w:rsid w:val="180E64B6"/>
    <w:rsid w:val="185C6006"/>
    <w:rsid w:val="18616F2E"/>
    <w:rsid w:val="191221DB"/>
    <w:rsid w:val="19235F91"/>
    <w:rsid w:val="19800B64"/>
    <w:rsid w:val="19836A30"/>
    <w:rsid w:val="199944A6"/>
    <w:rsid w:val="19FD4A34"/>
    <w:rsid w:val="1A533F79"/>
    <w:rsid w:val="1A5A1E87"/>
    <w:rsid w:val="1B2F179A"/>
    <w:rsid w:val="1B6F3710"/>
    <w:rsid w:val="1BBE4697"/>
    <w:rsid w:val="1C250273"/>
    <w:rsid w:val="1D01483C"/>
    <w:rsid w:val="1D5D57EA"/>
    <w:rsid w:val="1E171E3D"/>
    <w:rsid w:val="1EBA2EF4"/>
    <w:rsid w:val="1EC41FC5"/>
    <w:rsid w:val="1EFE3E02"/>
    <w:rsid w:val="1F78690B"/>
    <w:rsid w:val="1FA40E26"/>
    <w:rsid w:val="20181E55"/>
    <w:rsid w:val="20200F8C"/>
    <w:rsid w:val="204B20BB"/>
    <w:rsid w:val="204F1D62"/>
    <w:rsid w:val="205C7FDB"/>
    <w:rsid w:val="20CA763A"/>
    <w:rsid w:val="21294361"/>
    <w:rsid w:val="21661758"/>
    <w:rsid w:val="227635D6"/>
    <w:rsid w:val="22A76B2A"/>
    <w:rsid w:val="22BA5BB9"/>
    <w:rsid w:val="22C32593"/>
    <w:rsid w:val="230D784D"/>
    <w:rsid w:val="23B95F13"/>
    <w:rsid w:val="24174945"/>
    <w:rsid w:val="24212C83"/>
    <w:rsid w:val="24303C58"/>
    <w:rsid w:val="244020ED"/>
    <w:rsid w:val="248B32E5"/>
    <w:rsid w:val="24B17D3C"/>
    <w:rsid w:val="24EE1B49"/>
    <w:rsid w:val="25867FD4"/>
    <w:rsid w:val="259C77F7"/>
    <w:rsid w:val="262A3A04"/>
    <w:rsid w:val="269C7383"/>
    <w:rsid w:val="26B66697"/>
    <w:rsid w:val="273D46C2"/>
    <w:rsid w:val="27435A51"/>
    <w:rsid w:val="27466F3A"/>
    <w:rsid w:val="276F4A98"/>
    <w:rsid w:val="283B6E9A"/>
    <w:rsid w:val="28414686"/>
    <w:rsid w:val="287C746C"/>
    <w:rsid w:val="288D3427"/>
    <w:rsid w:val="28C3509B"/>
    <w:rsid w:val="28D44D60"/>
    <w:rsid w:val="29E71B79"/>
    <w:rsid w:val="29F55569"/>
    <w:rsid w:val="2A6D1762"/>
    <w:rsid w:val="2A9C2048"/>
    <w:rsid w:val="2AF37C49"/>
    <w:rsid w:val="2C1A3224"/>
    <w:rsid w:val="2C5F332D"/>
    <w:rsid w:val="2CDC497D"/>
    <w:rsid w:val="2DA03BFD"/>
    <w:rsid w:val="2DA336ED"/>
    <w:rsid w:val="2DD45655"/>
    <w:rsid w:val="2E7221A8"/>
    <w:rsid w:val="2EC67693"/>
    <w:rsid w:val="2EE30245"/>
    <w:rsid w:val="2F087CAC"/>
    <w:rsid w:val="2F0E4B96"/>
    <w:rsid w:val="2F1A353B"/>
    <w:rsid w:val="2F1F6DA3"/>
    <w:rsid w:val="2F397E65"/>
    <w:rsid w:val="2F620882"/>
    <w:rsid w:val="2F633134"/>
    <w:rsid w:val="2F882B9B"/>
    <w:rsid w:val="2FA86D99"/>
    <w:rsid w:val="312F3756"/>
    <w:rsid w:val="31496359"/>
    <w:rsid w:val="315E0057"/>
    <w:rsid w:val="318D4498"/>
    <w:rsid w:val="3199108F"/>
    <w:rsid w:val="319F16AA"/>
    <w:rsid w:val="31CC4FC0"/>
    <w:rsid w:val="31F167D5"/>
    <w:rsid w:val="31FC559A"/>
    <w:rsid w:val="3216448E"/>
    <w:rsid w:val="321D581C"/>
    <w:rsid w:val="323963CE"/>
    <w:rsid w:val="3273368E"/>
    <w:rsid w:val="32963820"/>
    <w:rsid w:val="32E20814"/>
    <w:rsid w:val="337771AE"/>
    <w:rsid w:val="33F94067"/>
    <w:rsid w:val="34480B4A"/>
    <w:rsid w:val="34821AD6"/>
    <w:rsid w:val="35A52FD0"/>
    <w:rsid w:val="35D501BC"/>
    <w:rsid w:val="36407D2B"/>
    <w:rsid w:val="36BE3BE8"/>
    <w:rsid w:val="36DA26A7"/>
    <w:rsid w:val="36DB5CA6"/>
    <w:rsid w:val="37227431"/>
    <w:rsid w:val="3756532C"/>
    <w:rsid w:val="37B01725"/>
    <w:rsid w:val="38061044"/>
    <w:rsid w:val="381C3783"/>
    <w:rsid w:val="389E342F"/>
    <w:rsid w:val="38C5276A"/>
    <w:rsid w:val="393D0552"/>
    <w:rsid w:val="39783C80"/>
    <w:rsid w:val="399551B1"/>
    <w:rsid w:val="39D619B3"/>
    <w:rsid w:val="3A445910"/>
    <w:rsid w:val="3A557B1D"/>
    <w:rsid w:val="3A726921"/>
    <w:rsid w:val="3A765FE2"/>
    <w:rsid w:val="3B653D90"/>
    <w:rsid w:val="3B7D732B"/>
    <w:rsid w:val="3BAE3989"/>
    <w:rsid w:val="3BCC3E0F"/>
    <w:rsid w:val="3BD66A3C"/>
    <w:rsid w:val="3C424796"/>
    <w:rsid w:val="3C6A5B02"/>
    <w:rsid w:val="3CC044ED"/>
    <w:rsid w:val="3CC25530"/>
    <w:rsid w:val="3CC52D38"/>
    <w:rsid w:val="3CD13DD3"/>
    <w:rsid w:val="3D0715A3"/>
    <w:rsid w:val="3DA212CB"/>
    <w:rsid w:val="3DBB238D"/>
    <w:rsid w:val="3DBD6105"/>
    <w:rsid w:val="3E4405D4"/>
    <w:rsid w:val="3E9C5D1B"/>
    <w:rsid w:val="3F375A43"/>
    <w:rsid w:val="3F3E3276"/>
    <w:rsid w:val="3FA4757D"/>
    <w:rsid w:val="3FB6105E"/>
    <w:rsid w:val="3FE444E6"/>
    <w:rsid w:val="40470129"/>
    <w:rsid w:val="40583EC3"/>
    <w:rsid w:val="40642868"/>
    <w:rsid w:val="407A652F"/>
    <w:rsid w:val="40923879"/>
    <w:rsid w:val="410F592B"/>
    <w:rsid w:val="411424E0"/>
    <w:rsid w:val="41641264"/>
    <w:rsid w:val="41700BEB"/>
    <w:rsid w:val="426C3C56"/>
    <w:rsid w:val="42786A9F"/>
    <w:rsid w:val="42BC1743"/>
    <w:rsid w:val="42EE53FF"/>
    <w:rsid w:val="43E4263E"/>
    <w:rsid w:val="45554E75"/>
    <w:rsid w:val="459D60E3"/>
    <w:rsid w:val="45B70627"/>
    <w:rsid w:val="45CA5863"/>
    <w:rsid w:val="45E5444B"/>
    <w:rsid w:val="46362EF9"/>
    <w:rsid w:val="46492C2C"/>
    <w:rsid w:val="465515D1"/>
    <w:rsid w:val="46767799"/>
    <w:rsid w:val="468E4AE3"/>
    <w:rsid w:val="46F54E2D"/>
    <w:rsid w:val="46FD57C4"/>
    <w:rsid w:val="47451645"/>
    <w:rsid w:val="47925F0D"/>
    <w:rsid w:val="47A143DA"/>
    <w:rsid w:val="47E81E53"/>
    <w:rsid w:val="48A028AB"/>
    <w:rsid w:val="48B545A9"/>
    <w:rsid w:val="495C0DBE"/>
    <w:rsid w:val="49CB1BAA"/>
    <w:rsid w:val="4A070E34"/>
    <w:rsid w:val="4A4F4589"/>
    <w:rsid w:val="4AB60164"/>
    <w:rsid w:val="4B8E06C7"/>
    <w:rsid w:val="4C934BC0"/>
    <w:rsid w:val="4CFB09F8"/>
    <w:rsid w:val="4D057181"/>
    <w:rsid w:val="4D447CA9"/>
    <w:rsid w:val="4D5123C6"/>
    <w:rsid w:val="4D6B792C"/>
    <w:rsid w:val="4DA16EA9"/>
    <w:rsid w:val="4DDA060D"/>
    <w:rsid w:val="4DED1912"/>
    <w:rsid w:val="4E257ADB"/>
    <w:rsid w:val="4E353A96"/>
    <w:rsid w:val="4EAD187E"/>
    <w:rsid w:val="4EB175C0"/>
    <w:rsid w:val="4EB62E28"/>
    <w:rsid w:val="4F0911AA"/>
    <w:rsid w:val="4F78309C"/>
    <w:rsid w:val="4F7E394E"/>
    <w:rsid w:val="50A20D13"/>
    <w:rsid w:val="50AD3DB7"/>
    <w:rsid w:val="50AF7B2F"/>
    <w:rsid w:val="50B02F71"/>
    <w:rsid w:val="50C26CF2"/>
    <w:rsid w:val="50EC0D83"/>
    <w:rsid w:val="50FE0CB7"/>
    <w:rsid w:val="512D188F"/>
    <w:rsid w:val="51363DAD"/>
    <w:rsid w:val="513B5867"/>
    <w:rsid w:val="5144673C"/>
    <w:rsid w:val="519D207E"/>
    <w:rsid w:val="51EC090F"/>
    <w:rsid w:val="51FB00AC"/>
    <w:rsid w:val="52E57838"/>
    <w:rsid w:val="542B3971"/>
    <w:rsid w:val="54335EE7"/>
    <w:rsid w:val="5463310B"/>
    <w:rsid w:val="54AF45A2"/>
    <w:rsid w:val="54C142D5"/>
    <w:rsid w:val="55254864"/>
    <w:rsid w:val="553C395C"/>
    <w:rsid w:val="55BA1450"/>
    <w:rsid w:val="56037691"/>
    <w:rsid w:val="56083D8A"/>
    <w:rsid w:val="56135E24"/>
    <w:rsid w:val="564017AC"/>
    <w:rsid w:val="567B0721"/>
    <w:rsid w:val="56F97D56"/>
    <w:rsid w:val="57081D47"/>
    <w:rsid w:val="57E97DCB"/>
    <w:rsid w:val="57EF1159"/>
    <w:rsid w:val="583059FA"/>
    <w:rsid w:val="5847689F"/>
    <w:rsid w:val="58532B2C"/>
    <w:rsid w:val="58984204"/>
    <w:rsid w:val="58C47EF0"/>
    <w:rsid w:val="59285798"/>
    <w:rsid w:val="596F60AE"/>
    <w:rsid w:val="5A2A0227"/>
    <w:rsid w:val="5A315A59"/>
    <w:rsid w:val="5A7B0A82"/>
    <w:rsid w:val="5B0311A3"/>
    <w:rsid w:val="5BB5218E"/>
    <w:rsid w:val="5BC6643D"/>
    <w:rsid w:val="5BFE5E0F"/>
    <w:rsid w:val="5CAA564F"/>
    <w:rsid w:val="5E361890"/>
    <w:rsid w:val="5EDA046D"/>
    <w:rsid w:val="5EE237C6"/>
    <w:rsid w:val="5EFF7ED4"/>
    <w:rsid w:val="5F7679C4"/>
    <w:rsid w:val="5F7F2DC3"/>
    <w:rsid w:val="5FBF1411"/>
    <w:rsid w:val="601A09BC"/>
    <w:rsid w:val="60395667"/>
    <w:rsid w:val="60AA0313"/>
    <w:rsid w:val="610D33E8"/>
    <w:rsid w:val="615E35D8"/>
    <w:rsid w:val="619568CD"/>
    <w:rsid w:val="61E67129"/>
    <w:rsid w:val="621A5025"/>
    <w:rsid w:val="62CC27C3"/>
    <w:rsid w:val="635A7DCF"/>
    <w:rsid w:val="637D586B"/>
    <w:rsid w:val="63872EA4"/>
    <w:rsid w:val="63F26259"/>
    <w:rsid w:val="64061D04"/>
    <w:rsid w:val="640A365A"/>
    <w:rsid w:val="640E2967"/>
    <w:rsid w:val="64754794"/>
    <w:rsid w:val="64FD7B2B"/>
    <w:rsid w:val="657B402C"/>
    <w:rsid w:val="65C07C91"/>
    <w:rsid w:val="66CA526B"/>
    <w:rsid w:val="67C12792"/>
    <w:rsid w:val="67DD0FCE"/>
    <w:rsid w:val="6865400C"/>
    <w:rsid w:val="687436E1"/>
    <w:rsid w:val="687A681D"/>
    <w:rsid w:val="68D73C6F"/>
    <w:rsid w:val="690B56C7"/>
    <w:rsid w:val="696A4D66"/>
    <w:rsid w:val="69867965"/>
    <w:rsid w:val="699456BD"/>
    <w:rsid w:val="6A4E3ABD"/>
    <w:rsid w:val="6A9A31A7"/>
    <w:rsid w:val="6AD06BC8"/>
    <w:rsid w:val="6B3929BF"/>
    <w:rsid w:val="6B3D425E"/>
    <w:rsid w:val="6B431148"/>
    <w:rsid w:val="6B56531F"/>
    <w:rsid w:val="6B575C91"/>
    <w:rsid w:val="6BB8040C"/>
    <w:rsid w:val="6C5C6966"/>
    <w:rsid w:val="6C6E5E1A"/>
    <w:rsid w:val="6C8E2897"/>
    <w:rsid w:val="6CDF30F3"/>
    <w:rsid w:val="6D282CEC"/>
    <w:rsid w:val="6D921E65"/>
    <w:rsid w:val="6DF606F4"/>
    <w:rsid w:val="6E267136"/>
    <w:rsid w:val="6E2D67FA"/>
    <w:rsid w:val="6E6E0BD2"/>
    <w:rsid w:val="6E91041D"/>
    <w:rsid w:val="6ECB392F"/>
    <w:rsid w:val="6F562B93"/>
    <w:rsid w:val="6FA348AB"/>
    <w:rsid w:val="6FBB39A3"/>
    <w:rsid w:val="6FD23894"/>
    <w:rsid w:val="6FE23626"/>
    <w:rsid w:val="70383246"/>
    <w:rsid w:val="703D260A"/>
    <w:rsid w:val="7060279C"/>
    <w:rsid w:val="70626FA0"/>
    <w:rsid w:val="70756EB2"/>
    <w:rsid w:val="71E73078"/>
    <w:rsid w:val="7258197D"/>
    <w:rsid w:val="72C60FDD"/>
    <w:rsid w:val="72EB27F1"/>
    <w:rsid w:val="730241B0"/>
    <w:rsid w:val="731A1328"/>
    <w:rsid w:val="73587D13"/>
    <w:rsid w:val="73B1673D"/>
    <w:rsid w:val="743B50B2"/>
    <w:rsid w:val="74BF5CE3"/>
    <w:rsid w:val="750977D2"/>
    <w:rsid w:val="751C1388"/>
    <w:rsid w:val="75263FB5"/>
    <w:rsid w:val="75693EA1"/>
    <w:rsid w:val="75B25848"/>
    <w:rsid w:val="766528BB"/>
    <w:rsid w:val="768F268A"/>
    <w:rsid w:val="76C92E49"/>
    <w:rsid w:val="77617526"/>
    <w:rsid w:val="777A05E8"/>
    <w:rsid w:val="781A1483"/>
    <w:rsid w:val="781F0851"/>
    <w:rsid w:val="7820118F"/>
    <w:rsid w:val="782A7918"/>
    <w:rsid w:val="78B00E0E"/>
    <w:rsid w:val="78C94F9D"/>
    <w:rsid w:val="78FD502C"/>
    <w:rsid w:val="796450AB"/>
    <w:rsid w:val="79EB30D7"/>
    <w:rsid w:val="7A293F0A"/>
    <w:rsid w:val="7A5E24AA"/>
    <w:rsid w:val="7ACB4CB6"/>
    <w:rsid w:val="7B02692A"/>
    <w:rsid w:val="7B486307"/>
    <w:rsid w:val="7B5B603A"/>
    <w:rsid w:val="7B5C744A"/>
    <w:rsid w:val="7BA55C3B"/>
    <w:rsid w:val="7BD858DD"/>
    <w:rsid w:val="7BE9361F"/>
    <w:rsid w:val="7C6B49A3"/>
    <w:rsid w:val="7C765821"/>
    <w:rsid w:val="7C856E44"/>
    <w:rsid w:val="7CD24A22"/>
    <w:rsid w:val="7D366D5F"/>
    <w:rsid w:val="7DD722F0"/>
    <w:rsid w:val="7E32210A"/>
    <w:rsid w:val="7EB10D93"/>
    <w:rsid w:val="7EC87E8B"/>
    <w:rsid w:val="7EF70770"/>
    <w:rsid w:val="7F052E8D"/>
    <w:rsid w:val="7F270942"/>
    <w:rsid w:val="7F413799"/>
    <w:rsid w:val="7F480FCB"/>
    <w:rsid w:val="7F5D6825"/>
    <w:rsid w:val="7F671451"/>
    <w:rsid w:val="7F674918"/>
    <w:rsid w:val="7FB83A5B"/>
    <w:rsid w:val="7FBA3C77"/>
    <w:rsid w:val="7FEC7BA9"/>
    <w:rsid w:val="7FF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autoRedefine/>
    <w:unhideWhenUsed/>
    <w:qFormat/>
    <w:uiPriority w:val="9"/>
    <w:pPr>
      <w:keepNext/>
      <w:keepLines/>
      <w:widowControl/>
      <w:adjustRightInd w:val="0"/>
      <w:snapToGrid w:val="0"/>
      <w:spacing w:line="360" w:lineRule="auto"/>
      <w:jc w:val="left"/>
      <w:outlineLvl w:val="1"/>
    </w:pPr>
    <w:rPr>
      <w:rFonts w:ascii="宋体" w:hAnsi="宋体" w:eastAsia="宋体" w:cs="宋体"/>
      <w:b/>
      <w:bCs/>
      <w:kern w:val="0"/>
      <w:sz w:val="28"/>
      <w:szCs w:val="28"/>
    </w:rPr>
  </w:style>
  <w:style w:type="paragraph" w:styleId="4">
    <w:name w:val="heading 3"/>
    <w:basedOn w:val="1"/>
    <w:next w:val="1"/>
    <w:link w:val="25"/>
    <w:autoRedefine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6"/>
    <w:autoRedefine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7"/>
    <w:basedOn w:val="1"/>
    <w:next w:val="1"/>
    <w:unhideWhenUsed/>
    <w:qFormat/>
    <w:uiPriority w:val="0"/>
    <w:pPr>
      <w:keepNext/>
      <w:keepLines/>
      <w:spacing w:before="260" w:after="120" w:line="320" w:lineRule="auto"/>
      <w:outlineLvl w:val="6"/>
    </w:pPr>
    <w:rPr>
      <w:rFonts w:ascii="Times New Roman" w:hAnsi="Times New Roman" w:eastAsia="楷体" w:cstheme="minorBidi"/>
      <w:b/>
      <w:bCs/>
      <w:sz w:val="24"/>
      <w:szCs w:val="24"/>
    </w:rPr>
  </w:style>
  <w:style w:type="character" w:default="1" w:styleId="19">
    <w:name w:val="Default Paragraph Font"/>
    <w:autoRedefine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8">
    <w:name w:val="Body Text Indent"/>
    <w:basedOn w:val="1"/>
    <w:next w:val="9"/>
    <w:qFormat/>
    <w:uiPriority w:val="0"/>
    <w:pPr>
      <w:spacing w:after="120" w:afterLines="0" w:afterAutospacing="0"/>
      <w:ind w:left="420" w:leftChars="200"/>
    </w:pPr>
  </w:style>
  <w:style w:type="paragraph" w:customStyle="1" w:styleId="9">
    <w:name w:val="样式 正文文本缩进 + 行距: 1.5 倍行距"/>
    <w:basedOn w:val="1"/>
    <w:qFormat/>
    <w:uiPriority w:val="0"/>
    <w:pPr>
      <w:spacing w:after="120"/>
      <w:ind w:left="90" w:leftChars="32" w:firstLine="560"/>
    </w:pPr>
    <w:rPr>
      <w:rFonts w:cs="宋体"/>
    </w:rPr>
  </w:style>
  <w:style w:type="paragraph" w:styleId="10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link w:val="31"/>
    <w:autoRedefine/>
    <w:qFormat/>
    <w:uiPriority w:val="0"/>
    <w:pPr>
      <w:spacing w:line="400" w:lineRule="exact"/>
      <w:jc w:val="center"/>
    </w:pPr>
    <w:rPr>
      <w:rFonts w:ascii="Calibri" w:hAnsi="Calibri" w:eastAsia="楷体" w:cs="Times New Roman"/>
      <w:b/>
      <w:bCs/>
      <w:kern w:val="28"/>
      <w:szCs w:val="32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5"/>
    <w:next w:val="1"/>
    <w:link w:val="27"/>
    <w:qFormat/>
    <w:uiPriority w:val="10"/>
    <w:pPr>
      <w:adjustRightInd w:val="0"/>
      <w:snapToGrid w:val="0"/>
      <w:spacing w:before="0" w:after="0" w:line="360" w:lineRule="auto"/>
      <w:jc w:val="center"/>
    </w:pPr>
    <w:rPr>
      <w:rFonts w:ascii="黑体" w:hAnsi="黑体" w:eastAsia="黑体" w:cs="黑体"/>
      <w:sz w:val="24"/>
      <w:szCs w:val="24"/>
    </w:rPr>
  </w:style>
  <w:style w:type="paragraph" w:styleId="15">
    <w:name w:val="Body Text First Indent"/>
    <w:basedOn w:val="7"/>
    <w:autoRedefine/>
    <w:qFormat/>
    <w:uiPriority w:val="0"/>
    <w:pPr>
      <w:ind w:firstLine="420" w:firstLineChars="100"/>
    </w:pPr>
  </w:style>
  <w:style w:type="paragraph" w:styleId="16">
    <w:name w:val="Body Text First Indent 2"/>
    <w:basedOn w:val="8"/>
    <w:next w:val="1"/>
    <w:qFormat/>
    <w:uiPriority w:val="0"/>
    <w:pPr>
      <w:ind w:firstLine="420" w:firstLineChars="200"/>
    </w:pPr>
  </w:style>
  <w:style w:type="table" w:styleId="18">
    <w:name w:val="Table Grid"/>
    <w:basedOn w:val="17"/>
    <w:autoRedefine/>
    <w:qFormat/>
    <w:uiPriority w:val="59"/>
    <w:rPr>
      <w:rFonts w:ascii="Calibri" w:hAnsi="Calibri" w:eastAsia="微软雅黑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Hyperlink"/>
    <w:basedOn w:val="19"/>
    <w:qFormat/>
    <w:uiPriority w:val="0"/>
    <w:rPr>
      <w:color w:val="0000FF"/>
      <w:u w:val="single"/>
    </w:rPr>
  </w:style>
  <w:style w:type="paragraph" w:customStyle="1" w:styleId="22">
    <w:name w:val="0正文"/>
    <w:basedOn w:val="1"/>
    <w:qFormat/>
    <w:uiPriority w:val="0"/>
    <w:pPr>
      <w:ind w:firstLine="480" w:firstLineChars="200"/>
    </w:pPr>
  </w:style>
  <w:style w:type="character" w:customStyle="1" w:styleId="23">
    <w:name w:val="标题 2 字符"/>
    <w:basedOn w:val="19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4">
    <w:name w:val="标题 2 字符1"/>
    <w:link w:val="3"/>
    <w:autoRedefine/>
    <w:qFormat/>
    <w:uiPriority w:val="9"/>
    <w:rPr>
      <w:rFonts w:ascii="宋体" w:hAnsi="宋体" w:eastAsia="宋体" w:cs="宋体"/>
      <w:b/>
      <w:bCs/>
      <w:kern w:val="0"/>
      <w:sz w:val="28"/>
      <w:szCs w:val="28"/>
    </w:rPr>
  </w:style>
  <w:style w:type="character" w:customStyle="1" w:styleId="25">
    <w:name w:val="标题 3 字符"/>
    <w:basedOn w:val="19"/>
    <w:link w:val="4"/>
    <w:autoRedefine/>
    <w:semiHidden/>
    <w:qFormat/>
    <w:uiPriority w:val="9"/>
    <w:rPr>
      <w:b/>
      <w:bCs/>
      <w:sz w:val="32"/>
      <w:szCs w:val="32"/>
    </w:rPr>
  </w:style>
  <w:style w:type="character" w:customStyle="1" w:styleId="26">
    <w:name w:val="标题 4 字符"/>
    <w:basedOn w:val="19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7">
    <w:name w:val="标题 字符"/>
    <w:basedOn w:val="19"/>
    <w:link w:val="14"/>
    <w:autoRedefine/>
    <w:qFormat/>
    <w:uiPriority w:val="10"/>
    <w:rPr>
      <w:rFonts w:ascii="黑体" w:hAnsi="黑体" w:eastAsia="黑体" w:cs="黑体"/>
      <w:b/>
      <w:bCs/>
      <w:sz w:val="24"/>
      <w:szCs w:val="24"/>
    </w:rPr>
  </w:style>
  <w:style w:type="character" w:customStyle="1" w:styleId="28">
    <w:name w:val="页眉 字符"/>
    <w:basedOn w:val="19"/>
    <w:link w:val="11"/>
    <w:autoRedefine/>
    <w:qFormat/>
    <w:uiPriority w:val="99"/>
    <w:rPr>
      <w:sz w:val="18"/>
      <w:szCs w:val="18"/>
    </w:rPr>
  </w:style>
  <w:style w:type="character" w:customStyle="1" w:styleId="29">
    <w:name w:val="页脚 字符"/>
    <w:basedOn w:val="19"/>
    <w:link w:val="10"/>
    <w:autoRedefine/>
    <w:qFormat/>
    <w:uiPriority w:val="99"/>
    <w:rPr>
      <w:sz w:val="18"/>
      <w:szCs w:val="18"/>
    </w:rPr>
  </w:style>
  <w:style w:type="character" w:customStyle="1" w:styleId="30">
    <w:name w:val="标题 1 字符"/>
    <w:basedOn w:val="19"/>
    <w:link w:val="2"/>
    <w:autoRedefine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31">
    <w:name w:val="副标题 字符"/>
    <w:basedOn w:val="19"/>
    <w:link w:val="12"/>
    <w:autoRedefine/>
    <w:qFormat/>
    <w:uiPriority w:val="0"/>
    <w:rPr>
      <w:rFonts w:ascii="Calibri" w:hAnsi="Calibri" w:eastAsia="楷体" w:cs="Times New Roman"/>
      <w:b/>
      <w:bCs/>
      <w:kern w:val="28"/>
      <w:szCs w:val="32"/>
    </w:rPr>
  </w:style>
  <w:style w:type="paragraph" w:styleId="3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3">
    <w:name w:val="普通(网站)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4">
    <w:name w:val="普通(网站) Char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5">
    <w:name w:val="+正文"/>
    <w:basedOn w:val="1"/>
    <w:qFormat/>
    <w:uiPriority w:val="99"/>
    <w:pPr>
      <w:spacing w:line="360" w:lineRule="auto"/>
      <w:ind w:firstLine="200" w:firstLineChars="200"/>
    </w:pPr>
    <w:rPr>
      <w:rFonts w:ascii="Times New Roman" w:hAnsi="Times New Roman" w:cs="Times New Roman"/>
      <w:sz w:val="24"/>
      <w:szCs w:val="24"/>
    </w:rPr>
  </w:style>
  <w:style w:type="paragraph" w:customStyle="1" w:styleId="36">
    <w:name w:val="表格内容"/>
    <w:basedOn w:val="1"/>
    <w:qFormat/>
    <w:uiPriority w:val="99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kern w:val="0"/>
    </w:rPr>
  </w:style>
  <w:style w:type="paragraph" w:customStyle="1" w:styleId="37">
    <w:name w:val="表格内容-居中"/>
    <w:basedOn w:val="1"/>
    <w:qFormat/>
    <w:uiPriority w:val="99"/>
    <w:pPr>
      <w:widowControl/>
      <w:overflowPunct w:val="0"/>
      <w:autoSpaceDE w:val="0"/>
      <w:autoSpaceDN w:val="0"/>
      <w:adjustRightInd w:val="0"/>
      <w:spacing w:before="40" w:after="40" w:line="300" w:lineRule="exact"/>
      <w:jc w:val="center"/>
      <w:textAlignment w:val="baseline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38">
    <w:name w:val="font3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bscript"/>
    </w:rPr>
  </w:style>
  <w:style w:type="character" w:customStyle="1" w:styleId="39">
    <w:name w:val="font2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character" w:customStyle="1" w:styleId="40">
    <w:name w:val="font4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perscript"/>
    </w:rPr>
  </w:style>
  <w:style w:type="character" w:customStyle="1" w:styleId="41">
    <w:name w:val="font1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paragraph" w:customStyle="1" w:styleId="42">
    <w:name w:val="EndNote Bibliography"/>
    <w:basedOn w:val="1"/>
    <w:autoRedefine/>
    <w:qFormat/>
    <w:uiPriority w:val="0"/>
    <w:pPr>
      <w:ind w:firstLine="200" w:firstLineChars="200"/>
      <w:jc w:val="left"/>
    </w:pPr>
    <w:rPr>
      <w:sz w:val="20"/>
    </w:rPr>
  </w:style>
  <w:style w:type="paragraph" w:customStyle="1" w:styleId="43">
    <w:name w:val="列出段落1"/>
    <w:basedOn w:val="1"/>
    <w:qFormat/>
    <w:uiPriority w:val="34"/>
    <w:pPr>
      <w:ind w:firstLine="420" w:firstLineChars="200"/>
    </w:pPr>
  </w:style>
  <w:style w:type="paragraph" w:customStyle="1" w:styleId="44">
    <w:name w:val="正文文本1"/>
    <w:basedOn w:val="1"/>
    <w:qFormat/>
    <w:uiPriority w:val="0"/>
    <w:pPr>
      <w:shd w:val="clear" w:color="auto" w:fill="FFFFFF"/>
      <w:spacing w:line="610" w:lineRule="exact"/>
      <w:jc w:val="center"/>
    </w:pPr>
    <w:rPr>
      <w:rFonts w:ascii="宋体" w:hAnsi="宋体" w:eastAsia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emf"/><Relationship Id="rId8" Type="http://schemas.openxmlformats.org/officeDocument/2006/relationships/oleObject" Target="embeddings/oleObject1.bin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339</Words>
  <Characters>352</Characters>
  <Lines>35</Lines>
  <Paragraphs>9</Paragraphs>
  <TotalTime>8</TotalTime>
  <ScaleCrop>false</ScaleCrop>
  <LinksUpToDate>false</LinksUpToDate>
  <CharactersWithSpaces>358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2022-09-27T07:43:00Z</dcterms:created>
  <dc:creator>Liao KangCheng</dc:creator>
  <cp:lastModifiedBy>白海丹</cp:lastModifiedBy>
  <dcterms:modified xsi:type="dcterms:W3CDTF">2026-06-09T07:19:01Z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012170A0420347A89154D3512890171D_12</vt:lpwstr>
  </property>
  <property fmtid="{D5CDD505-2E9C-101B-9397-08002B2CF9AE}" pid="4" name="KSOTemplateDocerSaveRecord">
    <vt:lpwstr>eyJoZGlkIjoiYjVlOTE0MGRkN2E0MWU0MDEyNjJkNTdlYmU3ZGQ5YzUiLCJ1c2VySWQiOiI0NDQ3MDkxMjgifQ==</vt:lpwstr>
  </property>
</Properties>
</file>