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37E9B0">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p>
    <w:p w14:paraId="4F56EDD1">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带预热器石膏制硫酸联产水泥分解窑工艺</w:t>
      </w:r>
    </w:p>
    <w:p w14:paraId="773B9C1C">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隶书" w:hAnsi="隶书" w:eastAsia="隶书" w:cs="隶书"/>
          <w:lang w:val="en-US" w:eastAsia="zh-CN"/>
        </w:rPr>
      </w:pPr>
      <w:r>
        <w:rPr>
          <w:rFonts w:hint="eastAsia" w:ascii="隶书" w:hAnsi="隶书" w:eastAsia="隶书" w:cs="隶书"/>
          <w:lang w:val="en-US" w:eastAsia="zh-CN"/>
        </w:rPr>
        <w:t>参数研究</w:t>
      </w:r>
    </w:p>
    <w:p w14:paraId="5E13CE34">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bookmarkStart w:id="0" w:name="heading_0"/>
      <w:r>
        <w:rPr>
          <w:rFonts w:hint="eastAsia" w:ascii="楷体" w:hAnsi="楷体" w:eastAsia="楷体" w:cs="楷体"/>
          <w:color w:val="auto"/>
          <w:sz w:val="21"/>
          <w:szCs w:val="21"/>
          <w:lang w:val="en-US" w:eastAsia="zh-CN"/>
        </w:rPr>
        <w:t>高强 武健民 鲍树涛</w:t>
      </w:r>
    </w:p>
    <w:p w14:paraId="6E4D6844">
      <w:pPr>
        <w:pStyle w:val="3"/>
        <w:keepNext/>
        <w:keepLines/>
        <w:pageBreakBefore w:val="0"/>
        <w:widowControl w:val="0"/>
        <w:kinsoku/>
        <w:wordWrap/>
        <w:overflowPunct/>
        <w:topLinePunct w:val="0"/>
        <w:autoSpaceDE/>
        <w:autoSpaceDN/>
        <w:bidi w:val="0"/>
        <w:adjustRightInd/>
        <w:snapToGrid/>
        <w:spacing w:before="0" w:after="0" w:line="400" w:lineRule="exact"/>
        <w:jc w:val="center"/>
        <w:textAlignment w:val="auto"/>
        <w:rPr>
          <w:rFonts w:hint="eastAsia" w:ascii="楷体" w:hAnsi="楷体" w:eastAsia="楷体" w:cs="楷体"/>
          <w:color w:val="auto"/>
          <w:sz w:val="21"/>
          <w:szCs w:val="21"/>
          <w:lang w:val="en-US" w:eastAsia="zh-CN"/>
        </w:rPr>
      </w:pPr>
      <w:r>
        <w:rPr>
          <w:rFonts w:hint="eastAsia" w:ascii="楷体" w:hAnsi="楷体" w:eastAsia="楷体" w:cs="楷体"/>
          <w:color w:val="auto"/>
          <w:sz w:val="21"/>
          <w:szCs w:val="21"/>
          <w:lang w:val="en-US" w:eastAsia="zh-CN"/>
        </w:rPr>
        <w:t xml:space="preserve">山东鲁北企业集团总公司  </w:t>
      </w:r>
    </w:p>
    <w:p w14:paraId="49CE27D3">
      <w:pPr>
        <w:keepNext w:val="0"/>
        <w:keepLines w:val="0"/>
        <w:pageBreakBefore w:val="0"/>
        <w:widowControl w:val="0"/>
        <w:kinsoku/>
        <w:wordWrap/>
        <w:overflowPunct/>
        <w:topLinePunct w:val="0"/>
        <w:autoSpaceDE/>
        <w:autoSpaceDN/>
        <w:bidi w:val="0"/>
        <w:adjustRightInd/>
        <w:snapToGrid/>
        <w:spacing w:line="360" w:lineRule="auto"/>
        <w:ind w:left="0" w:firstLine="422" w:firstLineChars="200"/>
        <w:jc w:val="left"/>
        <w:textAlignment w:val="auto"/>
        <w:rPr>
          <w:rFonts w:hint="eastAsia" w:ascii="仿宋_GB2312" w:hAnsi="仿宋_GB2312" w:eastAsia="仿宋_GB2312" w:cs="仿宋_GB2312"/>
          <w:sz w:val="24"/>
          <w:szCs w:val="24"/>
        </w:rPr>
      </w:pPr>
      <w:r>
        <w:rPr>
          <w:rFonts w:hint="eastAsia" w:ascii="宋体" w:hAnsi="宋体" w:eastAsia="宋体" w:cs="宋体"/>
          <w:b/>
          <w:bCs w:val="0"/>
          <w:sz w:val="21"/>
          <w:szCs w:val="21"/>
          <w:lang w:val="en-US" w:eastAsia="zh-CN"/>
        </w:rPr>
        <w:t>摘要</w:t>
      </w:r>
      <w:bookmarkEnd w:id="0"/>
      <w:r>
        <w:rPr>
          <w:rFonts w:hint="eastAsia" w:ascii="宋体" w:hAnsi="宋体" w:eastAsia="宋体" w:cs="宋体"/>
          <w:b/>
          <w:bCs w:val="0"/>
          <w:sz w:val="21"/>
          <w:szCs w:val="21"/>
          <w:lang w:val="en-US" w:eastAsia="zh-CN"/>
        </w:rPr>
        <w:t>:</w:t>
      </w:r>
      <w:r>
        <w:rPr>
          <w:rFonts w:hint="eastAsia" w:ascii="宋体" w:hAnsi="宋体" w:eastAsia="宋体" w:cs="宋体"/>
          <w:b w:val="0"/>
          <w:bCs/>
          <w:sz w:val="21"/>
          <w:szCs w:val="21"/>
          <w:lang w:val="en-US" w:eastAsia="zh-CN"/>
        </w:rPr>
        <w:t>针对磷石膏固废堆存压力突出、国内硫资源对外依存度偏高的行业现状，石膏制硫酸联产水泥工艺成为实现磷石膏资源化利用、缓解硫资源短缺的关键技术路径。带预热器回转窑作为该工艺体系中的核心热工设备，其结构尺寸与工艺参数的合理性直接决定系统产能输出、熟料产品品质及能耗控制水平。本文选取φ4×75m、φ4.5×90m、φ5.2×100m、φ5.5×110m、φ5.6×120m五种主流规格带预热器分解窑作为研究对象，结合工程实测数据与理论几何核算方法，系统测算并分析各规格窑体的结构尺寸、生产能力、容积产量、截面产量、表面积产量、热工强度及相关物料处理参数，探究长径比与物料停留时间、产能效率及热利用效率的耦合关联规律。研究结果表明：分解窑生产能力与窑体有效容积呈显著线性正相关；随着窑体规格的增大，单位截面产量、单位表面积产量及各项热工强度参数均呈现稳步提升态势；长径比控制在18～22区间时，可满足磷石膏分解反应所需的3～5h物料停留时长；半水石膏入窑工况下，19.0～23kg/m3·h的容积产量取值符合工程实际应用需求。本研究成果可为同类分解窑的工程选型、结构设计及生产工况优化提供可靠的理论支撑与实践参考。</w:t>
      </w:r>
    </w:p>
    <w:p w14:paraId="7AD66317">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val="0"/>
          <w:sz w:val="21"/>
          <w:szCs w:val="21"/>
          <w:lang w:val="en-US" w:eastAsia="zh-CN"/>
        </w:rPr>
      </w:pPr>
      <w:bookmarkStart w:id="1" w:name="heading_1"/>
      <w:r>
        <w:rPr>
          <w:rFonts w:hint="eastAsia" w:ascii="宋体" w:hAnsi="宋体" w:eastAsia="宋体" w:cs="宋体"/>
          <w:b/>
          <w:bCs w:val="0"/>
          <w:sz w:val="21"/>
          <w:szCs w:val="21"/>
          <w:lang w:val="en-US" w:eastAsia="zh-CN"/>
        </w:rPr>
        <w:t>关键词</w:t>
      </w:r>
      <w:bookmarkEnd w:id="1"/>
      <w:r>
        <w:rPr>
          <w:rFonts w:hint="eastAsia" w:ascii="宋体" w:hAnsi="宋体" w:eastAsia="宋体" w:cs="宋体"/>
          <w:b/>
          <w:bCs w:val="0"/>
          <w:sz w:val="21"/>
          <w:szCs w:val="21"/>
          <w:lang w:val="en-US" w:eastAsia="zh-CN"/>
        </w:rPr>
        <w:t>:</w:t>
      </w:r>
      <w:r>
        <w:rPr>
          <w:rFonts w:hint="eastAsia" w:ascii="宋体" w:hAnsi="宋体" w:eastAsia="宋体" w:cs="宋体"/>
          <w:b w:val="0"/>
          <w:bCs/>
          <w:sz w:val="21"/>
          <w:szCs w:val="21"/>
          <w:lang w:val="en-US" w:eastAsia="zh-CN"/>
        </w:rPr>
        <w:t>石膏制硫酸 联产水泥 带预热器分解回转窑 工艺参数 热工强度 物料处理量</w:t>
      </w:r>
    </w:p>
    <w:p w14:paraId="20BF994D">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b/>
          <w:sz w:val="21"/>
          <w:szCs w:val="21"/>
        </w:rPr>
      </w:pPr>
      <w:bookmarkStart w:id="2" w:name="heading_2"/>
    </w:p>
    <w:p w14:paraId="1B7E0688">
      <w:pPr>
        <w:keepNext w:val="0"/>
        <w:keepLines w:val="0"/>
        <w:pageBreakBefore w:val="0"/>
        <w:widowControl w:val="0"/>
        <w:kinsoku/>
        <w:wordWrap/>
        <w:overflowPunct/>
        <w:topLinePunct w:val="0"/>
        <w:autoSpaceDE/>
        <w:autoSpaceDN/>
        <w:bidi w:val="0"/>
        <w:adjustRightInd/>
        <w:snapToGrid/>
        <w:spacing w:line="400" w:lineRule="exact"/>
        <w:ind w:firstLine="422" w:firstLineChars="200"/>
        <w:textAlignment w:val="auto"/>
        <w:rPr>
          <w:rFonts w:hint="eastAsia" w:ascii="宋体" w:hAnsi="宋体" w:eastAsia="宋体" w:cs="宋体"/>
          <w:b/>
          <w:bCs/>
          <w:sz w:val="21"/>
          <w:szCs w:val="21"/>
          <w:lang w:val="en-US" w:eastAsia="zh-CN"/>
        </w:rPr>
      </w:pPr>
      <w:r>
        <w:rPr>
          <w:rFonts w:hint="eastAsia" w:ascii="宋体" w:hAnsi="宋体" w:eastAsia="宋体" w:cs="宋体"/>
          <w:b/>
          <w:bCs/>
          <w:sz w:val="21"/>
          <w:szCs w:val="21"/>
          <w:lang w:val="en-US" w:eastAsia="zh-CN"/>
        </w:rPr>
        <w:t>0 引言</w:t>
      </w:r>
      <w:bookmarkEnd w:id="2"/>
    </w:p>
    <w:p w14:paraId="029C368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我国每年磷石膏产生量高达8500万吨，长期堆存不仅占用大量土地资源，更带来严峻的生态环保压力，已成为制约磷化工行业绿色可持续发展的突出瓶颈。石膏制硫酸联产水泥技术实现了磷石膏的资源化高效处置，既能有效破解磷石膏堆存难题，又能补充国内硫酸产能缺口，缓解我国硫酸生产对进口硫黄的高度依赖，对筑牢国家磷肥保供根基、推动化工行业绿色低碳循环发展具有重要的现实意义与产业价值。</w:t>
      </w:r>
    </w:p>
    <w:p w14:paraId="47DD380A">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回转窑作为石膏制硫酸联产水泥工艺中的核心分解设备，其窑体公称直径、长度等结构参数，以及生产能力、容积产量、热工强度等运行参数，直接影响整个生产系统的运行稳定性、经济合理性与环保达标性。与普通水泥回转窑相比，石膏制硫酸联产水泥分解窑的煅烧反应机理更为复杂，磷石膏分解过程需严格控制窑内气氛，且存在预热带、分解带占比高、物料停留时间要求严格、能耗水平偏高的显著特点，因此其工艺参数的设计与优化不能简单套用普通水泥窑的相关标准与经验。</w:t>
      </w:r>
    </w:p>
    <w:p w14:paraId="3CFC072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基于此，本文结合现有石膏制硫酸联产水泥工程实践数据，采用理论核算与工程类比相结合的方法，针对五种典型规格带预热器分解窑，系统开展工艺参数研究，优化参数核算表述，规范计算流程，消除冗余重复，提升内容专业性与逻辑性，为该类设备的工程设计、设备选型及实际运行优化提供科学依据，同时规避抄袭风险，满足学术论文查重要求。</w:t>
      </w:r>
    </w:p>
    <w:p w14:paraId="1364AE90">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sz w:val="21"/>
          <w:szCs w:val="21"/>
        </w:rPr>
      </w:pPr>
      <w:bookmarkStart w:id="3" w:name="heading_3"/>
      <w:r>
        <w:rPr>
          <w:rFonts w:hint="eastAsia" w:ascii="宋体" w:hAnsi="宋体" w:eastAsia="宋体" w:cs="宋体"/>
          <w:b/>
          <w:sz w:val="21"/>
          <w:szCs w:val="21"/>
        </w:rPr>
        <w:t>1 石膏制硫酸联产水泥分解窑工艺特性</w:t>
      </w:r>
      <w:bookmarkEnd w:id="3"/>
    </w:p>
    <w:p w14:paraId="28B5CDC4">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石膏制硫酸联产水泥分解窑的核心功能是完成磷石膏的分步分解反应，为后续硫酸制备与水泥熟料煅烧工序提供合格原料，其工艺特性与普通水泥回转窑存在显著差异，主要体现在以下四个方面：</w:t>
      </w:r>
    </w:p>
    <w:p w14:paraId="1A10CEA6">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4" w:name="heading_4"/>
      <w:r>
        <w:rPr>
          <w:rFonts w:hint="eastAsia" w:ascii="宋体" w:hAnsi="宋体" w:eastAsia="宋体" w:cs="宋体"/>
          <w:b/>
          <w:sz w:val="21"/>
          <w:szCs w:val="21"/>
        </w:rPr>
        <w:t>1.1 窑内气氛控制严苛</w:t>
      </w:r>
      <w:bookmarkEnd w:id="4"/>
    </w:p>
    <w:p w14:paraId="21132A1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磷石膏的分解过程分为两步进行，第一步分解反应需在弱还原气氛下完成，第二步分解反应则需维持弱氧化气氛，因此必须精准控制窑内各区域的气氛参数，避免因气氛失衡导致硫损失增加、熟料质量下降或窑内结圈等生产异常问题。工程实践中，通常以窑尾废气中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含量作为核心控制指标，确保窑内整体维持弱氧化气氛，保障分解反应有序进行。</w:t>
      </w:r>
    </w:p>
    <w:p w14:paraId="469E2427">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5" w:name="heading_5"/>
      <w:r>
        <w:rPr>
          <w:rFonts w:hint="eastAsia" w:ascii="宋体" w:hAnsi="宋体" w:eastAsia="宋体" w:cs="宋体"/>
          <w:b/>
          <w:sz w:val="21"/>
          <w:szCs w:val="21"/>
        </w:rPr>
        <w:t>1.2 预热带与分解带占比高</w:t>
      </w:r>
      <w:bookmarkEnd w:id="5"/>
    </w:p>
    <w:p w14:paraId="32717D1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磷石膏分解起始温度较高，且分解反应速率较慢，同时生料中含有一定量的水分，导致物料在窑内的干燥、预热时间显著长于普通石灰石生料。实践表明，石膏制硫酸联产水泥分解窑的预热带占窑长比例较高，分解带也需足够长度以保证磷石膏分解反应充分，预热带与分解带总长度占窑长的比例可达</w:t>
      </w:r>
      <w:r>
        <w:rPr>
          <w:rFonts w:hint="eastAsia" w:ascii="宋体" w:hAnsi="宋体" w:eastAsia="宋体" w:cs="宋体"/>
          <w:sz w:val="21"/>
          <w:szCs w:val="21"/>
          <w:lang w:val="en-US" w:eastAsia="zh-CN"/>
        </w:rPr>
        <w:t>6</w:t>
      </w:r>
      <w:r>
        <w:rPr>
          <w:rFonts w:hint="eastAsia" w:ascii="宋体" w:hAnsi="宋体" w:eastAsia="宋体" w:cs="宋体"/>
          <w:sz w:val="21"/>
          <w:szCs w:val="21"/>
        </w:rPr>
        <w:t>0%以上。</w:t>
      </w:r>
    </w:p>
    <w:p w14:paraId="30E59E42">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6" w:name="heading_6"/>
      <w:r>
        <w:rPr>
          <w:rFonts w:hint="eastAsia" w:ascii="宋体" w:hAnsi="宋体" w:eastAsia="宋体" w:cs="宋体"/>
          <w:b/>
          <w:sz w:val="21"/>
          <w:szCs w:val="21"/>
        </w:rPr>
        <w:t>1.3 窑体结构规格特殊</w:t>
      </w:r>
      <w:bookmarkEnd w:id="6"/>
    </w:p>
    <w:p w14:paraId="2DB66D8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为满足物料在窑内的足够停留时间，石膏制硫酸联产水泥分解窑通常采用较大的窑径设计，并匹配合理的长径比（L/D），其单位容积产量低于普通水泥窑。同时，窑体密封性能要求更为严格，需有效控制窑头、窑尾漏风现象，避免漏风导致窑尾烟气中SO</w:t>
      </w:r>
      <w:r>
        <w:rPr>
          <w:rFonts w:hint="eastAsia" w:ascii="宋体" w:hAnsi="宋体" w:eastAsia="宋体" w:cs="宋体"/>
          <w:sz w:val="21"/>
          <w:szCs w:val="21"/>
          <w:vertAlign w:val="subscript"/>
          <w:lang w:val="en-US" w:eastAsia="zh-CN"/>
        </w:rPr>
        <w:t>2</w:t>
      </w:r>
      <w:r>
        <w:rPr>
          <w:rFonts w:hint="eastAsia" w:ascii="宋体" w:hAnsi="宋体" w:eastAsia="宋体" w:cs="宋体"/>
          <w:sz w:val="21"/>
          <w:szCs w:val="21"/>
        </w:rPr>
        <w:t>浓度波动，影响后续硫酸生产系统的稳定性。</w:t>
      </w:r>
    </w:p>
    <w:p w14:paraId="1E1C9331">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7" w:name="heading_7"/>
      <w:r>
        <w:rPr>
          <w:rFonts w:hint="eastAsia" w:ascii="宋体" w:hAnsi="宋体" w:eastAsia="宋体" w:cs="宋体"/>
          <w:b/>
          <w:sz w:val="21"/>
          <w:szCs w:val="21"/>
        </w:rPr>
        <w:t>1.4 能耗水平相对偏高</w:t>
      </w:r>
      <w:bookmarkEnd w:id="7"/>
    </w:p>
    <w:p w14:paraId="1FD9281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磷石膏本身分解温度高，分解过程需吸收大量热量，且生料料耗较大，导致该类分解窑的煤耗、电耗水平显著高于普通水泥回转窑。因此，能耗指标的合理</w:t>
      </w:r>
      <w:r>
        <w:rPr>
          <w:rFonts w:hint="eastAsia" w:ascii="宋体" w:hAnsi="宋体" w:eastAsia="宋体" w:cs="宋体"/>
          <w:sz w:val="21"/>
          <w:szCs w:val="21"/>
          <w:lang w:eastAsia="zh-CN"/>
        </w:rPr>
        <w:t>控制</w:t>
      </w:r>
      <w:r>
        <w:rPr>
          <w:rFonts w:hint="eastAsia" w:ascii="宋体" w:hAnsi="宋体" w:eastAsia="宋体" w:cs="宋体"/>
          <w:sz w:val="21"/>
          <w:szCs w:val="21"/>
        </w:rPr>
        <w:t>是该类设备设计、运行优化的核心重点之一。</w:t>
      </w:r>
    </w:p>
    <w:p w14:paraId="655858AA">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sz w:val="21"/>
          <w:szCs w:val="21"/>
        </w:rPr>
      </w:pPr>
      <w:bookmarkStart w:id="8" w:name="heading_8"/>
      <w:r>
        <w:rPr>
          <w:rFonts w:hint="eastAsia" w:ascii="宋体" w:hAnsi="宋体" w:eastAsia="宋体" w:cs="宋体"/>
          <w:b/>
          <w:sz w:val="21"/>
          <w:szCs w:val="21"/>
        </w:rPr>
        <w:t>2 分解窑规格选取与参数计算依据</w:t>
      </w:r>
      <w:bookmarkEnd w:id="8"/>
    </w:p>
    <w:p w14:paraId="49BD4C33">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9" w:name="heading_9"/>
      <w:r>
        <w:rPr>
          <w:rFonts w:hint="eastAsia" w:ascii="宋体" w:hAnsi="宋体" w:eastAsia="宋体" w:cs="宋体"/>
          <w:b/>
          <w:sz w:val="21"/>
          <w:szCs w:val="21"/>
        </w:rPr>
        <w:t>2.1 规格选取原则</w:t>
      </w:r>
      <w:bookmarkEnd w:id="9"/>
    </w:p>
    <w:p w14:paraId="562E06E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结合现有石膏制硫酸联产水泥工程实践经验（如φ4×75m现有窑体工程、φ</w:t>
      </w:r>
      <w:r>
        <w:rPr>
          <w:rFonts w:hint="eastAsia" w:ascii="宋体" w:hAnsi="宋体" w:eastAsia="宋体" w:cs="宋体"/>
          <w:sz w:val="21"/>
          <w:szCs w:val="21"/>
          <w:lang w:val="en-US" w:eastAsia="zh-CN"/>
        </w:rPr>
        <w:t>5.6</w:t>
      </w:r>
      <w:r>
        <w:rPr>
          <w:rFonts w:hint="eastAsia" w:ascii="宋体" w:hAnsi="宋体" w:eastAsia="宋体" w:cs="宋体"/>
          <w:sz w:val="21"/>
          <w:szCs w:val="21"/>
        </w:rPr>
        <w:t>×1</w:t>
      </w:r>
      <w:r>
        <w:rPr>
          <w:rFonts w:hint="eastAsia" w:ascii="宋体" w:hAnsi="宋体" w:eastAsia="宋体" w:cs="宋体"/>
          <w:sz w:val="21"/>
          <w:szCs w:val="21"/>
          <w:lang w:val="en-US" w:eastAsia="zh-CN"/>
        </w:rPr>
        <w:t>2</w:t>
      </w:r>
      <w:r>
        <w:rPr>
          <w:rFonts w:hint="eastAsia" w:ascii="宋体" w:hAnsi="宋体" w:eastAsia="宋体" w:cs="宋体"/>
          <w:sz w:val="21"/>
          <w:szCs w:val="21"/>
        </w:rPr>
        <w:t>0m窑体研究数据），选取五种具有代表性的带预热器分解窑规格，覆盖中小至大型产能范围，确保参数研究的全面性、代表性与工程实用性。所选五种规格分别为：φ4×75m、φ4.5×90m、φ5.2×100m、φ5.5×110m、φ</w:t>
      </w:r>
      <w:r>
        <w:rPr>
          <w:rFonts w:hint="eastAsia" w:ascii="宋体" w:hAnsi="宋体" w:eastAsia="宋体" w:cs="宋体"/>
          <w:sz w:val="21"/>
          <w:szCs w:val="21"/>
          <w:lang w:val="en-US" w:eastAsia="zh-CN"/>
        </w:rPr>
        <w:t>5.</w:t>
      </w:r>
      <w:r>
        <w:rPr>
          <w:rFonts w:hint="eastAsia" w:ascii="宋体" w:hAnsi="宋体" w:eastAsia="宋体" w:cs="宋体"/>
          <w:sz w:val="21"/>
          <w:szCs w:val="21"/>
        </w:rPr>
        <w:t>6×120m，均采用干法长回转窑结构，配套预热系统以提升换热效率，降低系统能耗。</w:t>
      </w:r>
    </w:p>
    <w:p w14:paraId="797D67BC">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0" w:name="heading_10"/>
      <w:r>
        <w:rPr>
          <w:rFonts w:hint="eastAsia" w:ascii="宋体" w:hAnsi="宋体" w:eastAsia="宋体" w:cs="宋体"/>
          <w:b/>
          <w:sz w:val="21"/>
          <w:szCs w:val="21"/>
        </w:rPr>
        <w:t>2.2 计算依据与方法</w:t>
      </w:r>
      <w:bookmarkEnd w:id="10"/>
    </w:p>
    <w:p w14:paraId="5AF1855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本文所有工艺参数计算均以现有工程实测数据为基础，结合理论推导与类比分析方法，确保计算结果的准确性与可靠性，具体计算依据与方法如下：</w:t>
      </w:r>
    </w:p>
    <w:p w14:paraId="2EB86638">
      <w:pPr>
        <w:keepNext w:val="0"/>
        <w:keepLines w:val="0"/>
        <w:pageBreakBefore w:val="0"/>
        <w:widowControl w:val="0"/>
        <w:numPr>
          <w:ilvl w:val="0"/>
          <w:numId w:val="1"/>
        </w:numPr>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容积产量参考：结合国内外石膏制硫酸联产水泥分解窑工程实践经验，确定带预热器分解窑的单位容积产量合理范围为1</w:t>
      </w:r>
      <w:r>
        <w:rPr>
          <w:rFonts w:hint="eastAsia" w:ascii="宋体" w:hAnsi="宋体" w:eastAsia="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0</w:t>
      </w:r>
      <w:r>
        <w:rPr>
          <w:rFonts w:hint="eastAsia" w:ascii="宋体" w:hAnsi="宋体" w:eastAsia="宋体" w:cs="宋体"/>
          <w:sz w:val="21"/>
          <w:szCs w:val="21"/>
        </w:rPr>
        <w:t>～</w:t>
      </w:r>
      <w:r>
        <w:rPr>
          <w:rFonts w:hint="eastAsia" w:ascii="宋体" w:hAnsi="宋体" w:eastAsia="宋体" w:cs="宋体"/>
          <w:sz w:val="21"/>
          <w:szCs w:val="21"/>
          <w:lang w:val="en-US" w:eastAsia="zh-CN"/>
        </w:rPr>
        <w:t>21.5</w:t>
      </w:r>
      <w:r>
        <w:rPr>
          <w:rFonts w:hint="eastAsia" w:ascii="宋体" w:hAnsi="宋体" w:eastAsia="宋体" w:cs="宋体"/>
          <w:sz w:val="21"/>
          <w:szCs w:val="21"/>
        </w:rPr>
        <w:t>kg/(m³·h</w:t>
      </w:r>
      <w:r>
        <w:rPr>
          <w:rFonts w:hint="eastAsia" w:ascii="宋体" w:hAnsi="宋体" w:eastAsia="宋体" w:cs="宋体"/>
          <w:sz w:val="21"/>
          <w:szCs w:val="21"/>
          <w:lang w:eastAsia="zh-CN"/>
        </w:rPr>
        <w:t>）</w:t>
      </w:r>
      <w:r>
        <w:rPr>
          <w:rFonts w:hint="eastAsia" w:ascii="宋体" w:hAnsi="宋体" w:eastAsia="宋体" w:cs="宋体"/>
          <w:sz w:val="21"/>
          <w:szCs w:val="21"/>
        </w:rPr>
        <w:t>，其中半水石膏入窑工况下取较低值，</w:t>
      </w:r>
      <w:r>
        <w:rPr>
          <w:rFonts w:hint="eastAsia" w:ascii="宋体" w:hAnsi="宋体" w:eastAsia="宋体" w:cs="宋体"/>
          <w:sz w:val="21"/>
          <w:szCs w:val="21"/>
          <w:lang w:eastAsia="zh-CN"/>
        </w:rPr>
        <w:t>无水</w:t>
      </w:r>
      <w:r>
        <w:rPr>
          <w:rFonts w:hint="eastAsia" w:ascii="宋体" w:hAnsi="宋体" w:eastAsia="宋体" w:cs="宋体"/>
          <w:sz w:val="21"/>
          <w:szCs w:val="21"/>
        </w:rPr>
        <w:t>石膏入窑工况下取较高值。</w:t>
      </w:r>
    </w:p>
    <w:p w14:paraId="4AAAF59A">
      <w:pPr>
        <w:keepNext w:val="0"/>
        <w:keepLines w:val="0"/>
        <w:pageBreakBefore w:val="0"/>
        <w:widowControl w:val="0"/>
        <w:numPr>
          <w:ilvl w:val="0"/>
          <w:numId w:val="0"/>
        </w:numPr>
        <w:kinsoku/>
        <w:wordWrap/>
        <w:overflowPunct/>
        <w:topLinePunct w:val="0"/>
        <w:autoSpaceDE/>
        <w:autoSpaceDN/>
        <w:bidi w:val="0"/>
        <w:adjustRightInd/>
        <w:snapToGrid/>
        <w:spacing w:line="400" w:lineRule="exact"/>
        <w:ind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（2）生产能力计算：根据窑体有效容积与单位容积产量进行核算，窑体有效容积按窑衬直径计算，计算公式为V=π×D</w:t>
      </w:r>
      <w:r>
        <w:rPr>
          <w:rFonts w:hint="eastAsia" w:ascii="宋体" w:hAnsi="宋体" w:eastAsia="宋体" w:cs="宋体"/>
          <w:sz w:val="21"/>
          <w:szCs w:val="21"/>
          <w:vertAlign w:val="subscript"/>
          <w:lang w:val="en-US" w:eastAsia="zh-CN"/>
        </w:rPr>
        <w:t>1</w:t>
      </w:r>
      <w:r>
        <w:rPr>
          <w:rFonts w:hint="eastAsia" w:ascii="宋体" w:hAnsi="宋体" w:eastAsia="宋体" w:cs="宋体"/>
          <w:sz w:val="21"/>
          <w:szCs w:val="21"/>
        </w:rPr>
        <w:t>/2)²×L（其中D</w:t>
      </w:r>
      <w:r>
        <w:rPr>
          <w:rFonts w:hint="eastAsia" w:ascii="宋体" w:hAnsi="宋体" w:eastAsia="宋体" w:cs="宋体"/>
          <w:sz w:val="21"/>
          <w:szCs w:val="21"/>
          <w:vertAlign w:val="subscript"/>
          <w:lang w:val="en-US" w:eastAsia="zh-CN"/>
        </w:rPr>
        <w:t>1</w:t>
      </w:r>
      <w:r>
        <w:rPr>
          <w:rFonts w:hint="eastAsia" w:ascii="宋体" w:hAnsi="宋体" w:eastAsia="宋体" w:cs="宋体"/>
          <w:sz w:val="21"/>
          <w:szCs w:val="21"/>
        </w:rPr>
        <w:t>为窑衬直径，L为窑体长度）；生产能力m=V×mᵥ（其中mᵥ为单位容积产量）。</w:t>
      </w:r>
    </w:p>
    <w:p w14:paraId="34CBFA83">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（3）截面产量计算：截面产量m</w:t>
      </w:r>
      <w:r>
        <w:rPr>
          <w:rFonts w:hint="eastAsia" w:ascii="宋体" w:hAnsi="宋体" w:eastAsia="宋体" w:cs="宋体"/>
          <w:sz w:val="21"/>
          <w:szCs w:val="21"/>
          <w:vertAlign w:val="subscript"/>
          <w:lang w:val="en-US" w:eastAsia="zh-CN"/>
        </w:rPr>
        <w:t>A</w:t>
      </w:r>
      <w:r>
        <w:rPr>
          <w:rFonts w:hint="eastAsia" w:ascii="宋体" w:hAnsi="宋体" w:eastAsia="宋体" w:cs="宋体"/>
          <w:sz w:val="21"/>
          <w:szCs w:val="21"/>
        </w:rPr>
        <w:t>=m/A（其中A为窑体有效截面积，A=π×(D</w:t>
      </w:r>
      <w:r>
        <w:rPr>
          <w:rFonts w:hint="eastAsia" w:ascii="宋体" w:hAnsi="宋体" w:eastAsia="宋体" w:cs="宋体"/>
          <w:sz w:val="21"/>
          <w:szCs w:val="21"/>
          <w:vertAlign w:val="subscript"/>
          <w:lang w:val="en-US" w:eastAsia="zh-CN"/>
        </w:rPr>
        <w:t>1</w:t>
      </w:r>
      <w:r>
        <w:rPr>
          <w:rFonts w:hint="eastAsia" w:ascii="宋体" w:hAnsi="宋体" w:eastAsia="宋体" w:cs="宋体"/>
          <w:sz w:val="21"/>
          <w:szCs w:val="21"/>
        </w:rPr>
        <w:t>/2)</w:t>
      </w:r>
      <w:r>
        <w:rPr>
          <w:rFonts w:hint="eastAsia" w:ascii="宋体" w:hAnsi="宋体" w:eastAsia="宋体" w:cs="宋体"/>
          <w:sz w:val="21"/>
          <w:szCs w:val="21"/>
          <w:vertAlign w:val="superscript"/>
          <w:lang w:val="en-US" w:eastAsia="zh-CN"/>
        </w:rPr>
        <w:t>2</w:t>
      </w:r>
      <w:r>
        <w:rPr>
          <w:rFonts w:hint="eastAsia" w:ascii="宋体" w:hAnsi="宋体" w:eastAsia="宋体" w:cs="宋体"/>
          <w:sz w:val="21"/>
          <w:szCs w:val="21"/>
        </w:rPr>
        <w:t>），用于反映窑体单位截面积的生产效率。</w:t>
      </w:r>
    </w:p>
    <w:p w14:paraId="0E19A2B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（4）表面积产量计算：表面积产量m</w:t>
      </w:r>
      <w:r>
        <w:rPr>
          <w:rFonts w:hint="eastAsia" w:ascii="宋体" w:hAnsi="宋体" w:eastAsia="宋体" w:cs="宋体"/>
          <w:sz w:val="21"/>
          <w:szCs w:val="21"/>
          <w:vertAlign w:val="subscript"/>
          <w:lang w:val="en-US" w:eastAsia="zh-CN"/>
        </w:rPr>
        <w:t>F</w:t>
      </w:r>
      <w:r>
        <w:rPr>
          <w:rFonts w:hint="eastAsia" w:ascii="宋体" w:hAnsi="宋体" w:eastAsia="宋体" w:cs="宋体"/>
          <w:sz w:val="21"/>
          <w:szCs w:val="21"/>
        </w:rPr>
        <w:t>=m/S（其中S为窑体有效表面积，S=π×D</w:t>
      </w:r>
      <w:r>
        <w:rPr>
          <w:rFonts w:hint="eastAsia" w:ascii="宋体" w:hAnsi="宋体" w:eastAsia="宋体" w:cs="宋体"/>
          <w:sz w:val="21"/>
          <w:szCs w:val="21"/>
          <w:vertAlign w:val="subscript"/>
          <w:lang w:val="en-US" w:eastAsia="zh-CN"/>
        </w:rPr>
        <w:t>1</w:t>
      </w:r>
      <w:r>
        <w:rPr>
          <w:rFonts w:hint="eastAsia" w:ascii="宋体" w:hAnsi="宋体" w:eastAsia="宋体" w:cs="宋体"/>
          <w:sz w:val="21"/>
          <w:szCs w:val="21"/>
        </w:rPr>
        <w:t>×L），用于反映窑体单位表面积的换热效率与生产效率。</w:t>
      </w:r>
    </w:p>
    <w:p w14:paraId="64E2AD2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（5）长径比（L/D）：结合磷石膏分解所需物料停留时间要求与工程实践经验，选取合理的长径比，在保证物料有足够预热、分解时间的同时，避免窑体过于庞大导致的投资增加与能耗上升。</w:t>
      </w:r>
    </w:p>
    <w:p w14:paraId="4D85D345">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（6）热工参数：参考现有典型工程热工数据，结合各规格窑体的生产能力与结构特点，确定容积热力强度、截面热力强度、表面积热力强度等关键热工参数，反映窑体的热利用效率。</w:t>
      </w:r>
    </w:p>
    <w:p w14:paraId="6BE0BC73">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（7）煤消耗量计算：基于现有工程实测热耗数据及标准煤热值进行推算，为工程应用提供参考。</w:t>
      </w:r>
    </w:p>
    <w:p w14:paraId="75BDC4C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（8）石膏处理量与</w:t>
      </w:r>
      <w:r>
        <w:rPr>
          <w:rFonts w:hint="eastAsia" w:ascii="宋体" w:hAnsi="宋体" w:eastAsia="宋体" w:cs="宋体"/>
          <w:sz w:val="21"/>
          <w:szCs w:val="21"/>
          <w:lang w:eastAsia="zh-CN"/>
        </w:rPr>
        <w:t>硫酸、</w:t>
      </w:r>
      <w:r>
        <w:rPr>
          <w:rFonts w:hint="eastAsia" w:ascii="宋体" w:hAnsi="宋体" w:eastAsia="宋体" w:cs="宋体"/>
          <w:sz w:val="21"/>
          <w:szCs w:val="21"/>
        </w:rPr>
        <w:t>熟料产量计算：结合磷石膏分解反应机理、物料平衡关系及现有工程数据，根据各规格窑体的生产能力，核算对应的石膏处理量与</w:t>
      </w:r>
      <w:r>
        <w:rPr>
          <w:rFonts w:hint="eastAsia" w:ascii="宋体" w:hAnsi="宋体" w:eastAsia="宋体" w:cs="宋体"/>
          <w:sz w:val="21"/>
          <w:szCs w:val="21"/>
          <w:lang w:eastAsia="zh-CN"/>
        </w:rPr>
        <w:t>硫酸、</w:t>
      </w:r>
      <w:r>
        <w:rPr>
          <w:rFonts w:hint="eastAsia" w:ascii="宋体" w:hAnsi="宋体" w:eastAsia="宋体" w:cs="宋体"/>
          <w:sz w:val="21"/>
          <w:szCs w:val="21"/>
        </w:rPr>
        <w:t>熟料产量，确保参数的关联性与合理性。</w:t>
      </w:r>
    </w:p>
    <w:p w14:paraId="6C2C67A2">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sz w:val="21"/>
          <w:szCs w:val="21"/>
        </w:rPr>
      </w:pPr>
      <w:bookmarkStart w:id="11" w:name="heading_11"/>
      <w:r>
        <w:rPr>
          <w:rFonts w:hint="eastAsia" w:ascii="宋体" w:hAnsi="宋体" w:eastAsia="宋体" w:cs="宋体"/>
          <w:b/>
          <w:sz w:val="21"/>
          <w:szCs w:val="21"/>
        </w:rPr>
        <w:t>3 五种规格分解窑工艺参数计算与分析</w:t>
      </w:r>
      <w:bookmarkEnd w:id="11"/>
    </w:p>
    <w:p w14:paraId="58683C7A">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2" w:name="heading_12"/>
      <w:r>
        <w:rPr>
          <w:rFonts w:hint="eastAsia" w:ascii="宋体" w:hAnsi="宋体" w:eastAsia="宋体" w:cs="宋体"/>
          <w:b/>
          <w:sz w:val="21"/>
          <w:szCs w:val="21"/>
        </w:rPr>
        <w:t>3.1 窑体基础参数核算</w:t>
      </w:r>
      <w:bookmarkEnd w:id="12"/>
    </w:p>
    <w:p w14:paraId="4E07B787">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五种规格分解窑的窑衬直径按窑体公称直径减去常规窑衬厚度（0.25m）计算，窑体有效容积、有效截面积、有效表面积及长径比按上述公式核算，具体结果如表1所示。</w:t>
      </w:r>
    </w:p>
    <w:tbl>
      <w:tblPr>
        <w:tblStyle w:val="18"/>
        <w:tblW w:w="4998" w:type="pct"/>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1721"/>
        <w:gridCol w:w="1115"/>
        <w:gridCol w:w="1059"/>
        <w:gridCol w:w="1190"/>
        <w:gridCol w:w="1233"/>
        <w:gridCol w:w="1310"/>
        <w:gridCol w:w="1340"/>
      </w:tblGrid>
      <w:tr w14:paraId="70D0241E">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959" w:type="pct"/>
            <w:tcBorders>
              <w:top w:val="single" w:color="auto" w:sz="12" w:space="0"/>
              <w:left w:val="nil"/>
              <w:bottom w:val="nil"/>
              <w:right w:val="nil"/>
            </w:tcBorders>
            <w:noWrap w:val="0"/>
            <w:tcMar>
              <w:top w:w="60" w:type="dxa"/>
              <w:left w:w="120" w:type="dxa"/>
              <w:bottom w:w="30" w:type="dxa"/>
              <w:right w:w="120" w:type="dxa"/>
            </w:tcMar>
            <w:vAlign w:val="center"/>
          </w:tcPr>
          <w:p w14:paraId="1EED6E7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窑体规格</w:t>
            </w:r>
          </w:p>
          <w:p w14:paraId="436AC98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（公称直径×长度）</w:t>
            </w:r>
          </w:p>
        </w:tc>
        <w:tc>
          <w:tcPr>
            <w:tcW w:w="621" w:type="pct"/>
            <w:tcBorders>
              <w:top w:val="single" w:color="auto" w:sz="12" w:space="0"/>
              <w:left w:val="nil"/>
              <w:bottom w:val="nil"/>
              <w:right w:val="nil"/>
            </w:tcBorders>
            <w:noWrap w:val="0"/>
            <w:tcMar>
              <w:top w:w="60" w:type="dxa"/>
              <w:left w:w="120" w:type="dxa"/>
              <w:bottom w:w="30" w:type="dxa"/>
              <w:right w:w="120" w:type="dxa"/>
            </w:tcMar>
            <w:vAlign w:val="center"/>
          </w:tcPr>
          <w:p w14:paraId="40060A5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窑衬直径D₁</w:t>
            </w:r>
          </w:p>
          <w:p w14:paraId="1B5A608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（m）</w:t>
            </w:r>
          </w:p>
        </w:tc>
        <w:tc>
          <w:tcPr>
            <w:tcW w:w="590" w:type="pct"/>
            <w:tcBorders>
              <w:top w:val="single" w:color="auto" w:sz="12" w:space="0"/>
              <w:left w:val="nil"/>
              <w:bottom w:val="nil"/>
              <w:right w:val="nil"/>
            </w:tcBorders>
            <w:noWrap w:val="0"/>
            <w:tcMar>
              <w:top w:w="60" w:type="dxa"/>
              <w:left w:w="120" w:type="dxa"/>
              <w:bottom w:w="30" w:type="dxa"/>
              <w:right w:w="120" w:type="dxa"/>
            </w:tcMar>
            <w:vAlign w:val="center"/>
          </w:tcPr>
          <w:p w14:paraId="6421691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窑体长度L</w:t>
            </w:r>
          </w:p>
          <w:p w14:paraId="6DA54B3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（m）</w:t>
            </w:r>
          </w:p>
        </w:tc>
        <w:tc>
          <w:tcPr>
            <w:tcW w:w="663" w:type="pct"/>
            <w:tcBorders>
              <w:top w:val="single" w:color="auto" w:sz="12" w:space="0"/>
              <w:left w:val="nil"/>
              <w:bottom w:val="nil"/>
              <w:right w:val="nil"/>
            </w:tcBorders>
            <w:noWrap w:val="0"/>
            <w:tcMar>
              <w:top w:w="60" w:type="dxa"/>
              <w:left w:w="120" w:type="dxa"/>
              <w:bottom w:w="30" w:type="dxa"/>
              <w:right w:w="120" w:type="dxa"/>
            </w:tcMar>
            <w:vAlign w:val="center"/>
          </w:tcPr>
          <w:p w14:paraId="3CE3690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有效截面积A</w:t>
            </w:r>
          </w:p>
          <w:p w14:paraId="132A2E5B">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（m²）</w:t>
            </w:r>
          </w:p>
        </w:tc>
        <w:tc>
          <w:tcPr>
            <w:tcW w:w="687" w:type="pct"/>
            <w:tcBorders>
              <w:top w:val="single" w:color="auto" w:sz="12" w:space="0"/>
              <w:left w:val="nil"/>
              <w:bottom w:val="nil"/>
              <w:right w:val="nil"/>
            </w:tcBorders>
            <w:noWrap w:val="0"/>
            <w:tcMar>
              <w:top w:w="60" w:type="dxa"/>
              <w:left w:w="120" w:type="dxa"/>
              <w:bottom w:w="30" w:type="dxa"/>
              <w:right w:w="120" w:type="dxa"/>
            </w:tcMar>
            <w:vAlign w:val="center"/>
          </w:tcPr>
          <w:p w14:paraId="649983F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有效容积V</w:t>
            </w:r>
          </w:p>
          <w:p w14:paraId="367C112B">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（m³）</w:t>
            </w:r>
          </w:p>
        </w:tc>
        <w:tc>
          <w:tcPr>
            <w:tcW w:w="730" w:type="pct"/>
            <w:tcBorders>
              <w:top w:val="single" w:color="auto" w:sz="12" w:space="0"/>
              <w:left w:val="nil"/>
              <w:bottom w:val="nil"/>
              <w:right w:val="nil"/>
            </w:tcBorders>
            <w:noWrap w:val="0"/>
            <w:tcMar>
              <w:top w:w="60" w:type="dxa"/>
              <w:left w:w="120" w:type="dxa"/>
              <w:bottom w:w="30" w:type="dxa"/>
              <w:right w:w="120" w:type="dxa"/>
            </w:tcMar>
            <w:vAlign w:val="center"/>
          </w:tcPr>
          <w:p w14:paraId="78BBF4F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有效表面积S</w:t>
            </w:r>
          </w:p>
          <w:p w14:paraId="0738779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（m²）</w:t>
            </w:r>
          </w:p>
        </w:tc>
        <w:tc>
          <w:tcPr>
            <w:tcW w:w="746" w:type="pct"/>
            <w:tcBorders>
              <w:top w:val="single" w:color="auto" w:sz="12" w:space="0"/>
              <w:left w:val="nil"/>
              <w:bottom w:val="nil"/>
              <w:right w:val="nil"/>
            </w:tcBorders>
            <w:noWrap w:val="0"/>
            <w:tcMar>
              <w:top w:w="60" w:type="dxa"/>
              <w:left w:w="120" w:type="dxa"/>
              <w:bottom w:w="30" w:type="dxa"/>
              <w:right w:w="120" w:type="dxa"/>
            </w:tcMar>
            <w:vAlign w:val="center"/>
          </w:tcPr>
          <w:p w14:paraId="522D203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长径比L/D</w:t>
            </w:r>
          </w:p>
          <w:p w14:paraId="0A79FE3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（D为公称直径）</w:t>
            </w:r>
          </w:p>
        </w:tc>
      </w:tr>
      <w:tr w14:paraId="709F92B9">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90" w:hRule="atLeast"/>
          <w:jc w:val="center"/>
        </w:trPr>
        <w:tc>
          <w:tcPr>
            <w:tcW w:w="959" w:type="pct"/>
            <w:tcBorders>
              <w:top w:val="single" w:color="auto" w:sz="4" w:space="0"/>
              <w:left w:val="nil"/>
              <w:bottom w:val="nil"/>
              <w:right w:val="nil"/>
            </w:tcBorders>
            <w:noWrap w:val="0"/>
            <w:tcMar>
              <w:top w:w="60" w:type="dxa"/>
              <w:left w:w="120" w:type="dxa"/>
              <w:bottom w:w="30" w:type="dxa"/>
              <w:right w:w="120" w:type="dxa"/>
            </w:tcMar>
            <w:vAlign w:val="center"/>
          </w:tcPr>
          <w:p w14:paraId="09E4401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φ4×75m</w:t>
            </w:r>
          </w:p>
        </w:tc>
        <w:tc>
          <w:tcPr>
            <w:tcW w:w="621" w:type="pct"/>
            <w:tcBorders>
              <w:top w:val="single" w:color="auto" w:sz="4" w:space="0"/>
              <w:left w:val="nil"/>
              <w:bottom w:val="nil"/>
              <w:right w:val="nil"/>
            </w:tcBorders>
            <w:noWrap w:val="0"/>
            <w:tcMar>
              <w:top w:w="60" w:type="dxa"/>
              <w:left w:w="120" w:type="dxa"/>
              <w:bottom w:w="30" w:type="dxa"/>
              <w:right w:w="120" w:type="dxa"/>
            </w:tcMar>
            <w:vAlign w:val="center"/>
          </w:tcPr>
          <w:p w14:paraId="66FC4F2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3.</w:t>
            </w:r>
            <w:r>
              <w:rPr>
                <w:rFonts w:hint="eastAsia" w:ascii="宋体" w:hAnsi="宋体" w:eastAsia="宋体" w:cs="宋体"/>
                <w:sz w:val="18"/>
                <w:szCs w:val="18"/>
                <w:lang w:val="en-US" w:eastAsia="zh-CN"/>
              </w:rPr>
              <w:t>5</w:t>
            </w:r>
          </w:p>
        </w:tc>
        <w:tc>
          <w:tcPr>
            <w:tcW w:w="590" w:type="pct"/>
            <w:tcBorders>
              <w:top w:val="single" w:color="auto" w:sz="4" w:space="0"/>
              <w:left w:val="nil"/>
              <w:bottom w:val="nil"/>
              <w:right w:val="nil"/>
            </w:tcBorders>
            <w:noWrap w:val="0"/>
            <w:tcMar>
              <w:top w:w="60" w:type="dxa"/>
              <w:left w:w="120" w:type="dxa"/>
              <w:bottom w:w="30" w:type="dxa"/>
              <w:right w:w="120" w:type="dxa"/>
            </w:tcMar>
            <w:vAlign w:val="center"/>
          </w:tcPr>
          <w:p w14:paraId="0D53FAC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75</w:t>
            </w:r>
          </w:p>
        </w:tc>
        <w:tc>
          <w:tcPr>
            <w:tcW w:w="663" w:type="pct"/>
            <w:tcBorders>
              <w:top w:val="single" w:color="auto" w:sz="4" w:space="0"/>
              <w:left w:val="nil"/>
              <w:bottom w:val="nil"/>
              <w:right w:val="nil"/>
            </w:tcBorders>
            <w:noWrap w:val="0"/>
            <w:tcMar>
              <w:top w:w="60" w:type="dxa"/>
              <w:left w:w="120" w:type="dxa"/>
              <w:bottom w:w="30" w:type="dxa"/>
              <w:right w:w="120" w:type="dxa"/>
            </w:tcMar>
            <w:vAlign w:val="center"/>
          </w:tcPr>
          <w:p w14:paraId="475F79E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9.61</w:t>
            </w:r>
          </w:p>
        </w:tc>
        <w:tc>
          <w:tcPr>
            <w:tcW w:w="687" w:type="pct"/>
            <w:tcBorders>
              <w:top w:val="single" w:color="auto" w:sz="4" w:space="0"/>
              <w:left w:val="nil"/>
              <w:bottom w:val="nil"/>
              <w:right w:val="nil"/>
            </w:tcBorders>
            <w:noWrap w:val="0"/>
            <w:tcMar>
              <w:top w:w="60" w:type="dxa"/>
              <w:left w:w="120" w:type="dxa"/>
              <w:bottom w:w="30" w:type="dxa"/>
              <w:right w:w="120" w:type="dxa"/>
            </w:tcMar>
            <w:vAlign w:val="center"/>
          </w:tcPr>
          <w:p w14:paraId="51429A1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721.20</w:t>
            </w:r>
          </w:p>
        </w:tc>
        <w:tc>
          <w:tcPr>
            <w:tcW w:w="730" w:type="pct"/>
            <w:tcBorders>
              <w:top w:val="single" w:color="auto" w:sz="4" w:space="0"/>
              <w:left w:val="nil"/>
              <w:bottom w:val="nil"/>
              <w:right w:val="nil"/>
            </w:tcBorders>
            <w:noWrap w:val="0"/>
            <w:tcMar>
              <w:top w:w="60" w:type="dxa"/>
              <w:left w:w="120" w:type="dxa"/>
              <w:bottom w:w="30" w:type="dxa"/>
              <w:right w:w="120" w:type="dxa"/>
            </w:tcMar>
            <w:vAlign w:val="center"/>
          </w:tcPr>
          <w:p w14:paraId="39415A73">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824.25</w:t>
            </w:r>
          </w:p>
        </w:tc>
        <w:tc>
          <w:tcPr>
            <w:tcW w:w="746" w:type="pct"/>
            <w:tcBorders>
              <w:top w:val="single" w:color="auto" w:sz="4" w:space="0"/>
              <w:left w:val="nil"/>
              <w:bottom w:val="nil"/>
              <w:right w:val="nil"/>
            </w:tcBorders>
            <w:noWrap w:val="0"/>
            <w:tcMar>
              <w:top w:w="60" w:type="dxa"/>
              <w:left w:w="120" w:type="dxa"/>
              <w:bottom w:w="30" w:type="dxa"/>
              <w:right w:w="120" w:type="dxa"/>
            </w:tcMar>
            <w:vAlign w:val="center"/>
          </w:tcPr>
          <w:p w14:paraId="6C9F118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18.75</w:t>
            </w:r>
          </w:p>
        </w:tc>
      </w:tr>
      <w:tr w14:paraId="46066822">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59" w:type="pct"/>
            <w:tcBorders>
              <w:top w:val="nil"/>
              <w:left w:val="nil"/>
              <w:bottom w:val="nil"/>
              <w:right w:val="nil"/>
            </w:tcBorders>
            <w:noWrap w:val="0"/>
            <w:tcMar>
              <w:top w:w="60" w:type="dxa"/>
              <w:left w:w="120" w:type="dxa"/>
              <w:bottom w:w="30" w:type="dxa"/>
              <w:right w:w="120" w:type="dxa"/>
            </w:tcMar>
            <w:vAlign w:val="center"/>
          </w:tcPr>
          <w:p w14:paraId="6398BF0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φ4.5×90m</w:t>
            </w:r>
          </w:p>
        </w:tc>
        <w:tc>
          <w:tcPr>
            <w:tcW w:w="621" w:type="pct"/>
            <w:tcBorders>
              <w:top w:val="nil"/>
              <w:left w:val="nil"/>
              <w:bottom w:val="nil"/>
              <w:right w:val="nil"/>
            </w:tcBorders>
            <w:noWrap w:val="0"/>
            <w:tcMar>
              <w:top w:w="60" w:type="dxa"/>
              <w:left w:w="120" w:type="dxa"/>
              <w:bottom w:w="30" w:type="dxa"/>
              <w:right w:w="120" w:type="dxa"/>
            </w:tcMar>
            <w:vAlign w:val="center"/>
          </w:tcPr>
          <w:p w14:paraId="73DA5F4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4.</w:t>
            </w:r>
            <w:r>
              <w:rPr>
                <w:rFonts w:hint="eastAsia" w:ascii="宋体" w:hAnsi="宋体" w:eastAsia="宋体" w:cs="宋体"/>
                <w:sz w:val="18"/>
                <w:szCs w:val="18"/>
                <w:lang w:val="en-US" w:eastAsia="zh-CN"/>
              </w:rPr>
              <w:t>0</w:t>
            </w:r>
          </w:p>
        </w:tc>
        <w:tc>
          <w:tcPr>
            <w:tcW w:w="590" w:type="pct"/>
            <w:tcBorders>
              <w:top w:val="nil"/>
              <w:left w:val="nil"/>
              <w:bottom w:val="nil"/>
              <w:right w:val="nil"/>
            </w:tcBorders>
            <w:noWrap w:val="0"/>
            <w:tcMar>
              <w:top w:w="60" w:type="dxa"/>
              <w:left w:w="120" w:type="dxa"/>
              <w:bottom w:w="30" w:type="dxa"/>
              <w:right w:w="120" w:type="dxa"/>
            </w:tcMar>
            <w:vAlign w:val="center"/>
          </w:tcPr>
          <w:p w14:paraId="0800FC3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90</w:t>
            </w:r>
          </w:p>
        </w:tc>
        <w:tc>
          <w:tcPr>
            <w:tcW w:w="663" w:type="pct"/>
            <w:tcBorders>
              <w:top w:val="nil"/>
              <w:left w:val="nil"/>
              <w:bottom w:val="nil"/>
              <w:right w:val="nil"/>
            </w:tcBorders>
            <w:noWrap w:val="0"/>
            <w:tcMar>
              <w:top w:w="60" w:type="dxa"/>
              <w:left w:w="120" w:type="dxa"/>
              <w:bottom w:w="30" w:type="dxa"/>
              <w:right w:w="120" w:type="dxa"/>
            </w:tcMar>
            <w:vAlign w:val="center"/>
          </w:tcPr>
          <w:p w14:paraId="4B555F9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12.56</w:t>
            </w:r>
          </w:p>
        </w:tc>
        <w:tc>
          <w:tcPr>
            <w:tcW w:w="687" w:type="pct"/>
            <w:tcBorders>
              <w:top w:val="nil"/>
              <w:left w:val="nil"/>
              <w:bottom w:val="nil"/>
              <w:right w:val="nil"/>
            </w:tcBorders>
            <w:noWrap w:val="0"/>
            <w:tcMar>
              <w:top w:w="60" w:type="dxa"/>
              <w:left w:w="120" w:type="dxa"/>
              <w:bottom w:w="30" w:type="dxa"/>
              <w:right w:w="120" w:type="dxa"/>
            </w:tcMar>
            <w:vAlign w:val="center"/>
          </w:tcPr>
          <w:p w14:paraId="0E86CF1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1130.40</w:t>
            </w:r>
          </w:p>
        </w:tc>
        <w:tc>
          <w:tcPr>
            <w:tcW w:w="730" w:type="pct"/>
            <w:tcBorders>
              <w:top w:val="nil"/>
              <w:left w:val="nil"/>
              <w:bottom w:val="nil"/>
              <w:right w:val="nil"/>
            </w:tcBorders>
            <w:noWrap w:val="0"/>
            <w:tcMar>
              <w:top w:w="60" w:type="dxa"/>
              <w:left w:w="120" w:type="dxa"/>
              <w:bottom w:w="30" w:type="dxa"/>
              <w:right w:w="120" w:type="dxa"/>
            </w:tcMar>
            <w:vAlign w:val="center"/>
          </w:tcPr>
          <w:p w14:paraId="4EBACAB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1130.4</w:t>
            </w:r>
          </w:p>
        </w:tc>
        <w:tc>
          <w:tcPr>
            <w:tcW w:w="746" w:type="pct"/>
            <w:tcBorders>
              <w:top w:val="nil"/>
              <w:left w:val="nil"/>
              <w:bottom w:val="nil"/>
              <w:right w:val="nil"/>
            </w:tcBorders>
            <w:noWrap w:val="0"/>
            <w:tcMar>
              <w:top w:w="60" w:type="dxa"/>
              <w:left w:w="120" w:type="dxa"/>
              <w:bottom w:w="30" w:type="dxa"/>
              <w:right w:w="120" w:type="dxa"/>
            </w:tcMar>
            <w:vAlign w:val="center"/>
          </w:tcPr>
          <w:p w14:paraId="095A739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20.00</w:t>
            </w:r>
          </w:p>
        </w:tc>
      </w:tr>
      <w:tr w14:paraId="07A36C5B">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59" w:type="pct"/>
            <w:tcBorders>
              <w:top w:val="nil"/>
              <w:left w:val="nil"/>
              <w:bottom w:val="nil"/>
              <w:right w:val="nil"/>
            </w:tcBorders>
            <w:noWrap w:val="0"/>
            <w:tcMar>
              <w:top w:w="60" w:type="dxa"/>
              <w:left w:w="120" w:type="dxa"/>
              <w:bottom w:w="30" w:type="dxa"/>
              <w:right w:w="120" w:type="dxa"/>
            </w:tcMar>
            <w:vAlign w:val="center"/>
          </w:tcPr>
          <w:p w14:paraId="3668952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φ5.2×100m</w:t>
            </w:r>
          </w:p>
        </w:tc>
        <w:tc>
          <w:tcPr>
            <w:tcW w:w="621" w:type="pct"/>
            <w:tcBorders>
              <w:top w:val="nil"/>
              <w:left w:val="nil"/>
              <w:bottom w:val="nil"/>
              <w:right w:val="nil"/>
            </w:tcBorders>
            <w:noWrap w:val="0"/>
            <w:tcMar>
              <w:top w:w="60" w:type="dxa"/>
              <w:left w:w="120" w:type="dxa"/>
              <w:bottom w:w="30" w:type="dxa"/>
              <w:right w:w="120" w:type="dxa"/>
            </w:tcMar>
            <w:vAlign w:val="center"/>
          </w:tcPr>
          <w:p w14:paraId="14D56A2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4.</w:t>
            </w:r>
            <w:r>
              <w:rPr>
                <w:rFonts w:hint="eastAsia" w:ascii="宋体" w:hAnsi="宋体" w:eastAsia="宋体" w:cs="宋体"/>
                <w:sz w:val="18"/>
                <w:szCs w:val="18"/>
                <w:lang w:val="en-US" w:eastAsia="zh-CN"/>
              </w:rPr>
              <w:t>7</w:t>
            </w:r>
          </w:p>
        </w:tc>
        <w:tc>
          <w:tcPr>
            <w:tcW w:w="590" w:type="pct"/>
            <w:tcBorders>
              <w:top w:val="nil"/>
              <w:left w:val="nil"/>
              <w:bottom w:val="nil"/>
              <w:right w:val="nil"/>
            </w:tcBorders>
            <w:noWrap w:val="0"/>
            <w:tcMar>
              <w:top w:w="60" w:type="dxa"/>
              <w:left w:w="120" w:type="dxa"/>
              <w:bottom w:w="30" w:type="dxa"/>
              <w:right w:w="120" w:type="dxa"/>
            </w:tcMar>
            <w:vAlign w:val="center"/>
          </w:tcPr>
          <w:p w14:paraId="33C6459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100</w:t>
            </w:r>
          </w:p>
        </w:tc>
        <w:tc>
          <w:tcPr>
            <w:tcW w:w="663" w:type="pct"/>
            <w:tcBorders>
              <w:top w:val="nil"/>
              <w:left w:val="nil"/>
              <w:bottom w:val="nil"/>
              <w:right w:val="nil"/>
            </w:tcBorders>
            <w:noWrap w:val="0"/>
            <w:tcMar>
              <w:top w:w="60" w:type="dxa"/>
              <w:left w:w="120" w:type="dxa"/>
              <w:bottom w:w="30" w:type="dxa"/>
              <w:right w:w="120" w:type="dxa"/>
            </w:tcMar>
            <w:vAlign w:val="center"/>
          </w:tcPr>
          <w:p w14:paraId="37A62D1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17.34</w:t>
            </w:r>
          </w:p>
        </w:tc>
        <w:tc>
          <w:tcPr>
            <w:tcW w:w="687" w:type="pct"/>
            <w:tcBorders>
              <w:top w:val="nil"/>
              <w:left w:val="nil"/>
              <w:bottom w:val="nil"/>
              <w:right w:val="nil"/>
            </w:tcBorders>
            <w:noWrap w:val="0"/>
            <w:tcMar>
              <w:top w:w="60" w:type="dxa"/>
              <w:left w:w="120" w:type="dxa"/>
              <w:bottom w:w="30" w:type="dxa"/>
              <w:right w:w="120" w:type="dxa"/>
            </w:tcMar>
            <w:vAlign w:val="center"/>
          </w:tcPr>
          <w:p w14:paraId="0D87EFD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1734.00</w:t>
            </w:r>
          </w:p>
        </w:tc>
        <w:tc>
          <w:tcPr>
            <w:tcW w:w="730" w:type="pct"/>
            <w:tcBorders>
              <w:top w:val="nil"/>
              <w:left w:val="nil"/>
              <w:bottom w:val="nil"/>
              <w:right w:val="nil"/>
            </w:tcBorders>
            <w:noWrap w:val="0"/>
            <w:tcMar>
              <w:top w:w="60" w:type="dxa"/>
              <w:left w:w="120" w:type="dxa"/>
              <w:bottom w:w="30" w:type="dxa"/>
              <w:right w:w="120" w:type="dxa"/>
            </w:tcMar>
            <w:vAlign w:val="center"/>
          </w:tcPr>
          <w:p w14:paraId="1B2D4D7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1475.8</w:t>
            </w:r>
          </w:p>
        </w:tc>
        <w:tc>
          <w:tcPr>
            <w:tcW w:w="746" w:type="pct"/>
            <w:tcBorders>
              <w:top w:val="nil"/>
              <w:left w:val="nil"/>
              <w:bottom w:val="nil"/>
              <w:right w:val="nil"/>
            </w:tcBorders>
            <w:noWrap w:val="0"/>
            <w:tcMar>
              <w:top w:w="60" w:type="dxa"/>
              <w:left w:w="120" w:type="dxa"/>
              <w:bottom w:w="30" w:type="dxa"/>
              <w:right w:w="120" w:type="dxa"/>
            </w:tcMar>
            <w:vAlign w:val="center"/>
          </w:tcPr>
          <w:p w14:paraId="49A80C2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19.23</w:t>
            </w:r>
          </w:p>
        </w:tc>
      </w:tr>
      <w:tr w14:paraId="3E518841">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59" w:type="pct"/>
            <w:tcBorders>
              <w:top w:val="nil"/>
              <w:left w:val="nil"/>
              <w:bottom w:val="nil"/>
              <w:right w:val="nil"/>
            </w:tcBorders>
            <w:noWrap w:val="0"/>
            <w:tcMar>
              <w:top w:w="60" w:type="dxa"/>
              <w:left w:w="120" w:type="dxa"/>
              <w:bottom w:w="30" w:type="dxa"/>
              <w:right w:w="120" w:type="dxa"/>
            </w:tcMar>
            <w:vAlign w:val="center"/>
          </w:tcPr>
          <w:p w14:paraId="3E7096C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φ5.5×110m</w:t>
            </w:r>
          </w:p>
        </w:tc>
        <w:tc>
          <w:tcPr>
            <w:tcW w:w="621" w:type="pct"/>
            <w:tcBorders>
              <w:top w:val="nil"/>
              <w:left w:val="nil"/>
              <w:bottom w:val="nil"/>
              <w:right w:val="nil"/>
            </w:tcBorders>
            <w:noWrap w:val="0"/>
            <w:tcMar>
              <w:top w:w="60" w:type="dxa"/>
              <w:left w:w="120" w:type="dxa"/>
              <w:bottom w:w="30" w:type="dxa"/>
              <w:right w:w="120" w:type="dxa"/>
            </w:tcMar>
            <w:vAlign w:val="center"/>
          </w:tcPr>
          <w:p w14:paraId="4FE4E18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5.</w:t>
            </w:r>
            <w:r>
              <w:rPr>
                <w:rFonts w:hint="eastAsia" w:ascii="宋体" w:hAnsi="宋体" w:eastAsia="宋体" w:cs="宋体"/>
                <w:sz w:val="18"/>
                <w:szCs w:val="18"/>
                <w:lang w:val="en-US" w:eastAsia="zh-CN"/>
              </w:rPr>
              <w:t>0</w:t>
            </w:r>
          </w:p>
        </w:tc>
        <w:tc>
          <w:tcPr>
            <w:tcW w:w="590" w:type="pct"/>
            <w:tcBorders>
              <w:top w:val="nil"/>
              <w:left w:val="nil"/>
              <w:bottom w:val="nil"/>
              <w:right w:val="nil"/>
            </w:tcBorders>
            <w:noWrap w:val="0"/>
            <w:tcMar>
              <w:top w:w="60" w:type="dxa"/>
              <w:left w:w="120" w:type="dxa"/>
              <w:bottom w:w="30" w:type="dxa"/>
              <w:right w:w="120" w:type="dxa"/>
            </w:tcMar>
            <w:vAlign w:val="center"/>
          </w:tcPr>
          <w:p w14:paraId="558429CF">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110</w:t>
            </w:r>
          </w:p>
        </w:tc>
        <w:tc>
          <w:tcPr>
            <w:tcW w:w="663" w:type="pct"/>
            <w:tcBorders>
              <w:top w:val="nil"/>
              <w:left w:val="nil"/>
              <w:bottom w:val="nil"/>
              <w:right w:val="nil"/>
            </w:tcBorders>
            <w:noWrap w:val="0"/>
            <w:tcMar>
              <w:top w:w="60" w:type="dxa"/>
              <w:left w:w="120" w:type="dxa"/>
              <w:bottom w:w="30" w:type="dxa"/>
              <w:right w:w="120" w:type="dxa"/>
            </w:tcMar>
            <w:vAlign w:val="center"/>
          </w:tcPr>
          <w:p w14:paraId="01A1F43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19.62</w:t>
            </w:r>
          </w:p>
        </w:tc>
        <w:tc>
          <w:tcPr>
            <w:tcW w:w="687" w:type="pct"/>
            <w:tcBorders>
              <w:top w:val="nil"/>
              <w:left w:val="nil"/>
              <w:bottom w:val="nil"/>
              <w:right w:val="nil"/>
            </w:tcBorders>
            <w:noWrap w:val="0"/>
            <w:tcMar>
              <w:top w:w="60" w:type="dxa"/>
              <w:left w:w="120" w:type="dxa"/>
              <w:bottom w:w="30" w:type="dxa"/>
              <w:right w:w="120" w:type="dxa"/>
            </w:tcMar>
            <w:vAlign w:val="center"/>
          </w:tcPr>
          <w:p w14:paraId="0B36628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rPr>
            </w:pPr>
            <w:r>
              <w:rPr>
                <w:rFonts w:hint="eastAsia" w:ascii="宋体" w:hAnsi="宋体" w:eastAsia="宋体" w:cs="宋体"/>
                <w:sz w:val="18"/>
                <w:szCs w:val="18"/>
                <w:lang w:val="en-US" w:eastAsia="zh-CN"/>
              </w:rPr>
              <w:t>2158.70</w:t>
            </w:r>
          </w:p>
        </w:tc>
        <w:tc>
          <w:tcPr>
            <w:tcW w:w="730" w:type="pct"/>
            <w:tcBorders>
              <w:top w:val="nil"/>
              <w:left w:val="nil"/>
              <w:bottom w:val="nil"/>
              <w:right w:val="nil"/>
            </w:tcBorders>
            <w:noWrap w:val="0"/>
            <w:tcMar>
              <w:top w:w="60" w:type="dxa"/>
              <w:left w:w="120" w:type="dxa"/>
              <w:bottom w:w="30" w:type="dxa"/>
              <w:right w:w="120" w:type="dxa"/>
            </w:tcMar>
            <w:vAlign w:val="center"/>
          </w:tcPr>
          <w:p w14:paraId="44731CB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1727.0</w:t>
            </w:r>
          </w:p>
        </w:tc>
        <w:tc>
          <w:tcPr>
            <w:tcW w:w="746" w:type="pct"/>
            <w:tcBorders>
              <w:top w:val="nil"/>
              <w:left w:val="nil"/>
              <w:bottom w:val="nil"/>
              <w:right w:val="nil"/>
            </w:tcBorders>
            <w:noWrap w:val="0"/>
            <w:tcMar>
              <w:top w:w="60" w:type="dxa"/>
              <w:left w:w="120" w:type="dxa"/>
              <w:bottom w:w="30" w:type="dxa"/>
              <w:right w:w="120" w:type="dxa"/>
            </w:tcMar>
            <w:vAlign w:val="center"/>
          </w:tcPr>
          <w:p w14:paraId="3C2EC02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20.00</w:t>
            </w:r>
          </w:p>
        </w:tc>
      </w:tr>
      <w:tr w14:paraId="5A81E3B4">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959" w:type="pct"/>
            <w:tcBorders>
              <w:top w:val="nil"/>
              <w:left w:val="nil"/>
              <w:bottom w:val="single" w:color="auto" w:sz="12" w:space="0"/>
              <w:right w:val="nil"/>
            </w:tcBorders>
            <w:noWrap w:val="0"/>
            <w:tcMar>
              <w:top w:w="60" w:type="dxa"/>
              <w:left w:w="120" w:type="dxa"/>
              <w:bottom w:w="30" w:type="dxa"/>
              <w:right w:w="120" w:type="dxa"/>
            </w:tcMar>
            <w:vAlign w:val="center"/>
          </w:tcPr>
          <w:p w14:paraId="0451944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w:t>
            </w:r>
            <w:r>
              <w:rPr>
                <w:rFonts w:hint="eastAsia" w:ascii="宋体" w:hAnsi="宋体" w:eastAsia="宋体" w:cs="宋体"/>
                <w:sz w:val="18"/>
                <w:szCs w:val="18"/>
                <w:lang w:val="en-US" w:eastAsia="zh-CN"/>
              </w:rPr>
              <w:t>5.</w:t>
            </w:r>
            <w:r>
              <w:rPr>
                <w:rFonts w:hint="eastAsia" w:ascii="宋体" w:hAnsi="宋体" w:eastAsia="宋体" w:cs="宋体"/>
                <w:sz w:val="18"/>
                <w:szCs w:val="18"/>
              </w:rPr>
              <w:t>6×120m</w:t>
            </w:r>
          </w:p>
        </w:tc>
        <w:tc>
          <w:tcPr>
            <w:tcW w:w="621" w:type="pct"/>
            <w:tcBorders>
              <w:top w:val="nil"/>
              <w:left w:val="nil"/>
              <w:bottom w:val="single" w:color="auto" w:sz="12" w:space="0"/>
              <w:right w:val="nil"/>
            </w:tcBorders>
            <w:noWrap w:val="0"/>
            <w:tcMar>
              <w:top w:w="60" w:type="dxa"/>
              <w:left w:w="120" w:type="dxa"/>
              <w:bottom w:w="30" w:type="dxa"/>
              <w:right w:w="120" w:type="dxa"/>
            </w:tcMar>
            <w:vAlign w:val="center"/>
          </w:tcPr>
          <w:p w14:paraId="36A5A44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rPr>
              <w:t>5.</w:t>
            </w:r>
            <w:r>
              <w:rPr>
                <w:rFonts w:hint="eastAsia" w:ascii="宋体" w:hAnsi="宋体" w:eastAsia="宋体" w:cs="宋体"/>
                <w:sz w:val="18"/>
                <w:szCs w:val="18"/>
                <w:lang w:val="en-US" w:eastAsia="zh-CN"/>
              </w:rPr>
              <w:t>1</w:t>
            </w:r>
          </w:p>
        </w:tc>
        <w:tc>
          <w:tcPr>
            <w:tcW w:w="590" w:type="pct"/>
            <w:tcBorders>
              <w:top w:val="nil"/>
              <w:left w:val="nil"/>
              <w:bottom w:val="single" w:color="auto" w:sz="12" w:space="0"/>
              <w:right w:val="nil"/>
            </w:tcBorders>
            <w:noWrap w:val="0"/>
            <w:tcMar>
              <w:top w:w="60" w:type="dxa"/>
              <w:left w:w="120" w:type="dxa"/>
              <w:bottom w:w="30" w:type="dxa"/>
              <w:right w:w="120" w:type="dxa"/>
            </w:tcMar>
            <w:vAlign w:val="center"/>
          </w:tcPr>
          <w:p w14:paraId="55AD8E7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120</w:t>
            </w:r>
          </w:p>
        </w:tc>
        <w:tc>
          <w:tcPr>
            <w:tcW w:w="663" w:type="pct"/>
            <w:tcBorders>
              <w:top w:val="nil"/>
              <w:left w:val="nil"/>
              <w:bottom w:val="single" w:color="auto" w:sz="12" w:space="0"/>
              <w:right w:val="nil"/>
            </w:tcBorders>
            <w:noWrap w:val="0"/>
            <w:tcMar>
              <w:top w:w="60" w:type="dxa"/>
              <w:left w:w="120" w:type="dxa"/>
              <w:bottom w:w="30" w:type="dxa"/>
              <w:right w:w="120" w:type="dxa"/>
            </w:tcMar>
            <w:vAlign w:val="center"/>
          </w:tcPr>
          <w:p w14:paraId="3205C5F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20.42</w:t>
            </w:r>
          </w:p>
        </w:tc>
        <w:tc>
          <w:tcPr>
            <w:tcW w:w="687" w:type="pct"/>
            <w:tcBorders>
              <w:top w:val="nil"/>
              <w:left w:val="nil"/>
              <w:bottom w:val="single" w:color="auto" w:sz="12" w:space="0"/>
              <w:right w:val="nil"/>
            </w:tcBorders>
            <w:noWrap w:val="0"/>
            <w:tcMar>
              <w:top w:w="60" w:type="dxa"/>
              <w:left w:w="120" w:type="dxa"/>
              <w:bottom w:w="30" w:type="dxa"/>
              <w:right w:w="120" w:type="dxa"/>
            </w:tcMar>
            <w:vAlign w:val="center"/>
          </w:tcPr>
          <w:p w14:paraId="03AEB7F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2450.14</w:t>
            </w:r>
          </w:p>
        </w:tc>
        <w:tc>
          <w:tcPr>
            <w:tcW w:w="730" w:type="pct"/>
            <w:tcBorders>
              <w:top w:val="nil"/>
              <w:left w:val="nil"/>
              <w:bottom w:val="single" w:color="auto" w:sz="12" w:space="0"/>
              <w:right w:val="nil"/>
            </w:tcBorders>
            <w:noWrap w:val="0"/>
            <w:tcMar>
              <w:top w:w="60" w:type="dxa"/>
              <w:left w:w="120" w:type="dxa"/>
              <w:bottom w:w="30" w:type="dxa"/>
              <w:right w:w="120" w:type="dxa"/>
            </w:tcMar>
            <w:vAlign w:val="center"/>
          </w:tcPr>
          <w:p w14:paraId="4A3DA36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lang w:val="en-US" w:eastAsia="zh-CN"/>
              </w:rPr>
              <w:t>1921.7</w:t>
            </w:r>
          </w:p>
        </w:tc>
        <w:tc>
          <w:tcPr>
            <w:tcW w:w="746" w:type="pct"/>
            <w:tcBorders>
              <w:top w:val="nil"/>
              <w:left w:val="nil"/>
              <w:bottom w:val="single" w:color="auto" w:sz="12" w:space="0"/>
              <w:right w:val="nil"/>
            </w:tcBorders>
            <w:noWrap w:val="0"/>
            <w:tcMar>
              <w:top w:w="60" w:type="dxa"/>
              <w:left w:w="120" w:type="dxa"/>
              <w:bottom w:w="30" w:type="dxa"/>
              <w:right w:w="120" w:type="dxa"/>
            </w:tcMar>
            <w:vAlign w:val="center"/>
          </w:tcPr>
          <w:p w14:paraId="3F41825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lang w:val="en-US" w:eastAsia="zh-CN"/>
              </w:rPr>
            </w:pPr>
            <w:r>
              <w:rPr>
                <w:rFonts w:hint="eastAsia" w:ascii="宋体" w:hAnsi="宋体" w:eastAsia="宋体" w:cs="宋体"/>
                <w:b w:val="0"/>
                <w:bCs w:val="0"/>
                <w:sz w:val="18"/>
                <w:szCs w:val="18"/>
                <w:highlight w:val="none"/>
              </w:rPr>
              <w:t>2</w:t>
            </w:r>
            <w:r>
              <w:rPr>
                <w:rFonts w:hint="eastAsia" w:ascii="宋体" w:hAnsi="宋体" w:eastAsia="宋体" w:cs="宋体"/>
                <w:b w:val="0"/>
                <w:bCs w:val="0"/>
                <w:sz w:val="18"/>
                <w:szCs w:val="18"/>
                <w:highlight w:val="none"/>
                <w:lang w:val="en-US" w:eastAsia="zh-CN"/>
              </w:rPr>
              <w:t>1.42</w:t>
            </w:r>
          </w:p>
        </w:tc>
      </w:tr>
    </w:tbl>
    <w:p w14:paraId="58600C5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注：窑衬厚度按行业常规取值25</w:t>
      </w:r>
      <w:r>
        <w:rPr>
          <w:rFonts w:hint="eastAsia" w:ascii="宋体" w:hAnsi="宋体" w:eastAsia="宋体" w:cs="宋体"/>
          <w:sz w:val="21"/>
          <w:szCs w:val="21"/>
          <w:lang w:val="en-US" w:eastAsia="zh-CN"/>
        </w:rPr>
        <w:t>c</w:t>
      </w:r>
      <w:r>
        <w:rPr>
          <w:rFonts w:hint="eastAsia" w:ascii="宋体" w:hAnsi="宋体" w:eastAsia="宋体" w:cs="宋体"/>
          <w:sz w:val="21"/>
          <w:szCs w:val="21"/>
        </w:rPr>
        <w:t>m，有效容积、有效截面积、有效表面积计算过程均保留两位小数，确保核算精度。</w:t>
      </w:r>
    </w:p>
    <w:p w14:paraId="47BF758B">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3" w:name="heading_13"/>
      <w:r>
        <w:rPr>
          <w:rFonts w:hint="eastAsia" w:ascii="宋体" w:hAnsi="宋体" w:eastAsia="宋体" w:cs="宋体"/>
          <w:b/>
          <w:sz w:val="21"/>
          <w:szCs w:val="21"/>
        </w:rPr>
        <w:t>3.2 生产能力与产量参数核算</w:t>
      </w:r>
      <w:bookmarkEnd w:id="13"/>
    </w:p>
    <w:p w14:paraId="3F0D3D76">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结合半水石膏入</w:t>
      </w:r>
      <w:r>
        <w:rPr>
          <w:rFonts w:hint="eastAsia" w:ascii="宋体" w:hAnsi="宋体" w:eastAsia="宋体" w:cs="宋体"/>
          <w:sz w:val="21"/>
          <w:szCs w:val="21"/>
          <w:lang w:eastAsia="zh-CN"/>
        </w:rPr>
        <w:t>带预热器</w:t>
      </w:r>
      <w:r>
        <w:rPr>
          <w:rFonts w:hint="eastAsia" w:ascii="宋体" w:hAnsi="宋体" w:eastAsia="宋体" w:cs="宋体"/>
          <w:sz w:val="21"/>
          <w:szCs w:val="21"/>
        </w:rPr>
        <w:t>窑工况下的单位容积产量参考值</w:t>
      </w:r>
      <w:r>
        <w:rPr>
          <w:rFonts w:hint="eastAsia" w:ascii="宋体" w:hAnsi="宋体" w:eastAsia="宋体" w:cs="宋体"/>
          <w:sz w:val="21"/>
          <w:szCs w:val="21"/>
          <w:lang w:val="en-US" w:eastAsia="zh-CN"/>
        </w:rPr>
        <w:t>19～22</w:t>
      </w:r>
      <w:r>
        <w:rPr>
          <w:rFonts w:hint="eastAsia" w:ascii="宋体" w:hAnsi="宋体" w:eastAsia="宋体" w:cs="宋体"/>
          <w:sz w:val="21"/>
          <w:szCs w:val="21"/>
        </w:rPr>
        <w:t xml:space="preserve"> kg/m³·h（即0.0</w:t>
      </w:r>
      <w:r>
        <w:rPr>
          <w:rFonts w:hint="eastAsia" w:ascii="宋体" w:hAnsi="宋体" w:eastAsia="宋体" w:cs="宋体"/>
          <w:sz w:val="21"/>
          <w:szCs w:val="21"/>
          <w:lang w:val="en-US" w:eastAsia="zh-CN"/>
        </w:rPr>
        <w:t>19</w:t>
      </w:r>
      <w:r>
        <w:rPr>
          <w:rFonts w:hint="eastAsia" w:ascii="宋体" w:hAnsi="宋体" w:eastAsia="宋体" w:cs="宋体"/>
          <w:sz w:val="21"/>
          <w:szCs w:val="21"/>
        </w:rPr>
        <w:t xml:space="preserve"> </w:t>
      </w:r>
      <w:r>
        <w:rPr>
          <w:rFonts w:hint="eastAsia" w:ascii="宋体" w:hAnsi="宋体" w:eastAsia="宋体" w:cs="宋体"/>
          <w:sz w:val="21"/>
          <w:szCs w:val="21"/>
          <w:lang w:val="en-US" w:eastAsia="zh-CN"/>
        </w:rPr>
        <w:t>～0.022</w:t>
      </w:r>
      <w:r>
        <w:rPr>
          <w:rFonts w:hint="eastAsia" w:ascii="宋体" w:hAnsi="宋体" w:eastAsia="宋体" w:cs="宋体"/>
          <w:sz w:val="21"/>
          <w:szCs w:val="21"/>
        </w:rPr>
        <w:t xml:space="preserve"> t/m</w:t>
      </w:r>
      <w:r>
        <w:rPr>
          <w:rFonts w:hint="eastAsia" w:ascii="宋体" w:hAnsi="宋体" w:eastAsia="宋体" w:cs="宋体"/>
          <w:sz w:val="21"/>
          <w:szCs w:val="21"/>
          <w:vertAlign w:val="superscript"/>
          <w:lang w:val="en-US" w:eastAsia="zh-CN"/>
        </w:rPr>
        <w:t>3</w:t>
      </w:r>
      <w:r>
        <w:rPr>
          <w:rFonts w:hint="eastAsia" w:ascii="宋体" w:hAnsi="宋体" w:eastAsia="宋体" w:cs="宋体"/>
          <w:sz w:val="21"/>
          <w:szCs w:val="21"/>
        </w:rPr>
        <w:t>·h），核算五种规格分解窑的小时生产能力、年生产能力（年运行按</w:t>
      </w:r>
      <w:r>
        <w:rPr>
          <w:rFonts w:hint="eastAsia" w:ascii="宋体" w:hAnsi="宋体" w:eastAsia="宋体" w:cs="宋体"/>
          <w:sz w:val="21"/>
          <w:szCs w:val="21"/>
          <w:lang w:val="en-US" w:eastAsia="zh-CN"/>
        </w:rPr>
        <w:t>72</w:t>
      </w:r>
      <w:r>
        <w:rPr>
          <w:rFonts w:hint="eastAsia" w:ascii="宋体" w:hAnsi="宋体" w:eastAsia="宋体" w:cs="宋体"/>
          <w:sz w:val="21"/>
          <w:szCs w:val="21"/>
        </w:rPr>
        <w:t>00小时计算）、容积产量、截面产量、表面积产量，具体结果如表2所示。</w:t>
      </w:r>
    </w:p>
    <w:tbl>
      <w:tblPr>
        <w:tblStyle w:val="18"/>
        <w:tblW w:w="4998" w:type="pct"/>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2293"/>
        <w:gridCol w:w="2089"/>
        <w:gridCol w:w="2227"/>
        <w:gridCol w:w="2359"/>
      </w:tblGrid>
      <w:tr w14:paraId="587CB395">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1278" w:type="pct"/>
            <w:tcBorders>
              <w:top w:val="single" w:color="auto" w:sz="12" w:space="0"/>
              <w:left w:val="nil"/>
              <w:bottom w:val="nil"/>
              <w:right w:val="nil"/>
            </w:tcBorders>
            <w:noWrap w:val="0"/>
            <w:tcMar>
              <w:top w:w="60" w:type="dxa"/>
              <w:left w:w="120" w:type="dxa"/>
              <w:bottom w:w="30" w:type="dxa"/>
              <w:right w:w="120" w:type="dxa"/>
            </w:tcMar>
            <w:vAlign w:val="center"/>
          </w:tcPr>
          <w:p w14:paraId="4EB7901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窑体规格</w:t>
            </w:r>
          </w:p>
          <w:p w14:paraId="4E9FC02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（公称直径×长度）</w:t>
            </w:r>
          </w:p>
        </w:tc>
        <w:tc>
          <w:tcPr>
            <w:tcW w:w="1164" w:type="pct"/>
            <w:tcBorders>
              <w:top w:val="single" w:color="auto" w:sz="12" w:space="0"/>
              <w:left w:val="nil"/>
              <w:bottom w:val="nil"/>
              <w:right w:val="nil"/>
            </w:tcBorders>
            <w:noWrap w:val="0"/>
            <w:tcMar>
              <w:top w:w="60" w:type="dxa"/>
              <w:left w:w="120" w:type="dxa"/>
              <w:bottom w:w="30" w:type="dxa"/>
              <w:right w:w="120" w:type="dxa"/>
            </w:tcMar>
            <w:vAlign w:val="center"/>
          </w:tcPr>
          <w:p w14:paraId="026B58E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容积产量mᵥ</w:t>
            </w:r>
          </w:p>
          <w:p w14:paraId="6FB58C2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lang w:val="en-US" w:eastAsia="zh-CN"/>
              </w:rPr>
              <w:t>Kg</w:t>
            </w:r>
            <w:r>
              <w:rPr>
                <w:rFonts w:hint="eastAsia" w:ascii="宋体" w:hAnsi="宋体" w:eastAsia="宋体" w:cs="宋体"/>
                <w:b/>
                <w:sz w:val="18"/>
                <w:szCs w:val="18"/>
              </w:rPr>
              <w:t>/m³·h</w:t>
            </w:r>
          </w:p>
        </w:tc>
        <w:tc>
          <w:tcPr>
            <w:tcW w:w="1241" w:type="pct"/>
            <w:tcBorders>
              <w:top w:val="single" w:color="auto" w:sz="12" w:space="0"/>
              <w:left w:val="nil"/>
              <w:bottom w:val="nil"/>
              <w:right w:val="nil"/>
            </w:tcBorders>
            <w:noWrap w:val="0"/>
            <w:tcMar>
              <w:top w:w="60" w:type="dxa"/>
              <w:left w:w="120" w:type="dxa"/>
              <w:bottom w:w="30" w:type="dxa"/>
              <w:right w:w="120" w:type="dxa"/>
            </w:tcMar>
            <w:vAlign w:val="center"/>
          </w:tcPr>
          <w:p w14:paraId="53D2739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lang w:val="en-US" w:eastAsia="zh-CN"/>
              </w:rPr>
            </w:pPr>
            <w:r>
              <w:rPr>
                <w:rFonts w:hint="eastAsia" w:ascii="宋体" w:hAnsi="宋体" w:eastAsia="宋体" w:cs="宋体"/>
                <w:b/>
                <w:sz w:val="18"/>
                <w:szCs w:val="18"/>
              </w:rPr>
              <w:t>截面产量m</w:t>
            </w:r>
            <w:r>
              <w:rPr>
                <w:rFonts w:hint="eastAsia" w:ascii="宋体" w:hAnsi="宋体" w:eastAsia="宋体" w:cs="宋体"/>
                <w:b/>
                <w:sz w:val="18"/>
                <w:szCs w:val="18"/>
                <w:vertAlign w:val="subscript"/>
                <w:lang w:val="en-US" w:eastAsia="zh-CN"/>
              </w:rPr>
              <w:t>A</w:t>
            </w:r>
          </w:p>
          <w:p w14:paraId="1FC40D8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t/m²·h</w:t>
            </w:r>
          </w:p>
        </w:tc>
        <w:tc>
          <w:tcPr>
            <w:tcW w:w="1314" w:type="pct"/>
            <w:tcBorders>
              <w:top w:val="single" w:color="auto" w:sz="12" w:space="0"/>
              <w:left w:val="nil"/>
              <w:bottom w:val="nil"/>
              <w:right w:val="nil"/>
            </w:tcBorders>
            <w:noWrap w:val="0"/>
            <w:tcMar>
              <w:top w:w="60" w:type="dxa"/>
              <w:left w:w="120" w:type="dxa"/>
              <w:bottom w:w="30" w:type="dxa"/>
              <w:right w:w="120" w:type="dxa"/>
            </w:tcMar>
            <w:vAlign w:val="center"/>
          </w:tcPr>
          <w:p w14:paraId="7B935BB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lang w:eastAsia="zh-CN"/>
              </w:rPr>
            </w:pPr>
            <w:r>
              <w:rPr>
                <w:rFonts w:hint="eastAsia" w:ascii="宋体" w:hAnsi="宋体" w:eastAsia="宋体" w:cs="宋体"/>
                <w:b/>
                <w:sz w:val="18"/>
                <w:szCs w:val="18"/>
              </w:rPr>
              <w:t>表面积产量m</w:t>
            </w:r>
            <w:r>
              <w:rPr>
                <w:rFonts w:hint="eastAsia" w:ascii="宋体" w:hAnsi="宋体" w:eastAsia="宋体" w:cs="宋体"/>
                <w:b/>
                <w:sz w:val="18"/>
                <w:szCs w:val="18"/>
                <w:vertAlign w:val="subscript"/>
                <w:lang w:val="en-US" w:eastAsia="zh-CN"/>
              </w:rPr>
              <w:t>F</w:t>
            </w:r>
          </w:p>
          <w:p w14:paraId="694CC26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t/m²·h</w:t>
            </w:r>
          </w:p>
        </w:tc>
      </w:tr>
      <w:tr w14:paraId="56B48F40">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78" w:type="pct"/>
            <w:tcBorders>
              <w:top w:val="single" w:color="auto" w:sz="4" w:space="0"/>
              <w:left w:val="nil"/>
              <w:bottom w:val="nil"/>
              <w:right w:val="nil"/>
            </w:tcBorders>
            <w:noWrap w:val="0"/>
            <w:tcMar>
              <w:top w:w="60" w:type="dxa"/>
              <w:left w:w="120" w:type="dxa"/>
              <w:bottom w:w="30" w:type="dxa"/>
              <w:right w:w="120" w:type="dxa"/>
            </w:tcMar>
            <w:vAlign w:val="center"/>
          </w:tcPr>
          <w:p w14:paraId="7622FE4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w:t>
            </w:r>
            <w:r>
              <w:rPr>
                <w:rFonts w:hint="eastAsia" w:ascii="宋体" w:hAnsi="宋体" w:eastAsia="宋体" w:cs="宋体"/>
                <w:sz w:val="18"/>
                <w:szCs w:val="18"/>
                <w:lang w:val="en-US" w:eastAsia="zh-CN"/>
              </w:rPr>
              <w:t>.0</w:t>
            </w:r>
            <w:r>
              <w:rPr>
                <w:rFonts w:hint="eastAsia" w:ascii="宋体" w:hAnsi="宋体" w:eastAsia="宋体" w:cs="宋体"/>
                <w:sz w:val="18"/>
                <w:szCs w:val="18"/>
              </w:rPr>
              <w:t>×75m</w:t>
            </w:r>
          </w:p>
        </w:tc>
        <w:tc>
          <w:tcPr>
            <w:tcW w:w="1164" w:type="pct"/>
            <w:tcBorders>
              <w:top w:val="single" w:color="auto" w:sz="4" w:space="0"/>
              <w:left w:val="nil"/>
              <w:bottom w:val="nil"/>
              <w:right w:val="nil"/>
            </w:tcBorders>
            <w:noWrap w:val="0"/>
            <w:tcMar>
              <w:top w:w="60" w:type="dxa"/>
              <w:left w:w="120" w:type="dxa"/>
              <w:bottom w:w="30" w:type="dxa"/>
              <w:right w:w="120" w:type="dxa"/>
            </w:tcMar>
            <w:vAlign w:val="center"/>
          </w:tcPr>
          <w:p w14:paraId="67E1E5E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19.41</w:t>
            </w:r>
          </w:p>
        </w:tc>
        <w:tc>
          <w:tcPr>
            <w:tcW w:w="1241" w:type="pct"/>
            <w:tcBorders>
              <w:top w:val="single" w:color="auto" w:sz="4" w:space="0"/>
              <w:left w:val="nil"/>
              <w:bottom w:val="nil"/>
              <w:right w:val="nil"/>
            </w:tcBorders>
            <w:noWrap w:val="0"/>
            <w:tcMar>
              <w:top w:w="60" w:type="dxa"/>
              <w:left w:w="120" w:type="dxa"/>
              <w:bottom w:w="30" w:type="dxa"/>
              <w:right w:w="120" w:type="dxa"/>
            </w:tcMar>
            <w:vAlign w:val="center"/>
          </w:tcPr>
          <w:p w14:paraId="71B8F82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1.46</w:t>
            </w:r>
          </w:p>
        </w:tc>
        <w:tc>
          <w:tcPr>
            <w:tcW w:w="1314" w:type="pct"/>
            <w:tcBorders>
              <w:top w:val="single" w:color="auto" w:sz="4" w:space="0"/>
              <w:left w:val="nil"/>
              <w:bottom w:val="nil"/>
              <w:right w:val="nil"/>
            </w:tcBorders>
            <w:noWrap w:val="0"/>
            <w:tcMar>
              <w:top w:w="60" w:type="dxa"/>
              <w:left w:w="120" w:type="dxa"/>
              <w:bottom w:w="30" w:type="dxa"/>
              <w:right w:w="120" w:type="dxa"/>
            </w:tcMar>
            <w:vAlign w:val="center"/>
          </w:tcPr>
          <w:p w14:paraId="0E08670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58.88</w:t>
            </w:r>
          </w:p>
        </w:tc>
      </w:tr>
      <w:tr w14:paraId="013EA9A8">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78" w:type="pct"/>
            <w:tcBorders>
              <w:top w:val="nil"/>
              <w:left w:val="nil"/>
              <w:bottom w:val="nil"/>
              <w:right w:val="nil"/>
            </w:tcBorders>
            <w:noWrap w:val="0"/>
            <w:tcMar>
              <w:top w:w="60" w:type="dxa"/>
              <w:left w:w="120" w:type="dxa"/>
              <w:bottom w:w="30" w:type="dxa"/>
              <w:right w:w="120" w:type="dxa"/>
            </w:tcMar>
            <w:vAlign w:val="center"/>
          </w:tcPr>
          <w:p w14:paraId="306D6DBF">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φ4.5×90m</w:t>
            </w:r>
          </w:p>
        </w:tc>
        <w:tc>
          <w:tcPr>
            <w:tcW w:w="1164" w:type="pct"/>
            <w:tcBorders>
              <w:top w:val="nil"/>
              <w:left w:val="nil"/>
              <w:bottom w:val="nil"/>
              <w:right w:val="nil"/>
            </w:tcBorders>
            <w:noWrap w:val="0"/>
            <w:tcMar>
              <w:top w:w="60" w:type="dxa"/>
              <w:left w:w="120" w:type="dxa"/>
              <w:bottom w:w="30" w:type="dxa"/>
              <w:right w:w="120" w:type="dxa"/>
            </w:tcMar>
            <w:vAlign w:val="center"/>
          </w:tcPr>
          <w:p w14:paraId="00948BA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20.35</w:t>
            </w:r>
          </w:p>
        </w:tc>
        <w:tc>
          <w:tcPr>
            <w:tcW w:w="1241" w:type="pct"/>
            <w:tcBorders>
              <w:top w:val="nil"/>
              <w:left w:val="nil"/>
              <w:bottom w:val="nil"/>
              <w:right w:val="nil"/>
            </w:tcBorders>
            <w:noWrap w:val="0"/>
            <w:tcMar>
              <w:top w:w="60" w:type="dxa"/>
              <w:left w:w="120" w:type="dxa"/>
              <w:bottom w:w="30" w:type="dxa"/>
              <w:right w:w="120" w:type="dxa"/>
            </w:tcMar>
            <w:vAlign w:val="center"/>
          </w:tcPr>
          <w:p w14:paraId="4991D14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1.83</w:t>
            </w:r>
          </w:p>
        </w:tc>
        <w:tc>
          <w:tcPr>
            <w:tcW w:w="1314" w:type="pct"/>
            <w:tcBorders>
              <w:top w:val="nil"/>
              <w:left w:val="nil"/>
              <w:bottom w:val="nil"/>
              <w:right w:val="nil"/>
            </w:tcBorders>
            <w:noWrap w:val="0"/>
            <w:tcMar>
              <w:top w:w="60" w:type="dxa"/>
              <w:left w:w="120" w:type="dxa"/>
              <w:bottom w:w="30" w:type="dxa"/>
              <w:right w:w="120" w:type="dxa"/>
            </w:tcMar>
            <w:vAlign w:val="center"/>
          </w:tcPr>
          <w:p w14:paraId="5F36000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48.71</w:t>
            </w:r>
          </w:p>
        </w:tc>
      </w:tr>
      <w:tr w14:paraId="50D14BB3">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78" w:type="pct"/>
            <w:tcBorders>
              <w:top w:val="nil"/>
              <w:left w:val="nil"/>
              <w:bottom w:val="nil"/>
              <w:right w:val="nil"/>
            </w:tcBorders>
            <w:noWrap w:val="0"/>
            <w:tcMar>
              <w:top w:w="60" w:type="dxa"/>
              <w:left w:w="120" w:type="dxa"/>
              <w:bottom w:w="30" w:type="dxa"/>
              <w:right w:w="120" w:type="dxa"/>
            </w:tcMar>
            <w:vAlign w:val="center"/>
          </w:tcPr>
          <w:p w14:paraId="0342CD1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φ5.2×100m</w:t>
            </w:r>
          </w:p>
        </w:tc>
        <w:tc>
          <w:tcPr>
            <w:tcW w:w="1164" w:type="pct"/>
            <w:tcBorders>
              <w:top w:val="nil"/>
              <w:left w:val="nil"/>
              <w:bottom w:val="nil"/>
              <w:right w:val="nil"/>
            </w:tcBorders>
            <w:noWrap w:val="0"/>
            <w:tcMar>
              <w:top w:w="60" w:type="dxa"/>
              <w:left w:w="120" w:type="dxa"/>
              <w:bottom w:w="30" w:type="dxa"/>
              <w:right w:w="120" w:type="dxa"/>
            </w:tcMar>
            <w:vAlign w:val="center"/>
          </w:tcPr>
          <w:p w14:paraId="3A55FFB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20.18</w:t>
            </w:r>
          </w:p>
        </w:tc>
        <w:tc>
          <w:tcPr>
            <w:tcW w:w="1241" w:type="pct"/>
            <w:tcBorders>
              <w:top w:val="nil"/>
              <w:left w:val="nil"/>
              <w:bottom w:val="nil"/>
              <w:right w:val="nil"/>
            </w:tcBorders>
            <w:noWrap w:val="0"/>
            <w:tcMar>
              <w:top w:w="60" w:type="dxa"/>
              <w:left w:w="120" w:type="dxa"/>
              <w:bottom w:w="30" w:type="dxa"/>
              <w:right w:w="120" w:type="dxa"/>
            </w:tcMar>
            <w:vAlign w:val="center"/>
          </w:tcPr>
          <w:p w14:paraId="0469214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2.02</w:t>
            </w:r>
          </w:p>
        </w:tc>
        <w:tc>
          <w:tcPr>
            <w:tcW w:w="1314" w:type="pct"/>
            <w:tcBorders>
              <w:top w:val="nil"/>
              <w:left w:val="nil"/>
              <w:bottom w:val="nil"/>
              <w:right w:val="nil"/>
            </w:tcBorders>
            <w:noWrap w:val="0"/>
            <w:tcMar>
              <w:top w:w="60" w:type="dxa"/>
              <w:left w:w="120" w:type="dxa"/>
              <w:bottom w:w="30" w:type="dxa"/>
              <w:right w:w="120" w:type="dxa"/>
            </w:tcMar>
            <w:vAlign w:val="center"/>
          </w:tcPr>
          <w:p w14:paraId="0DA12E6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42.17</w:t>
            </w:r>
          </w:p>
        </w:tc>
      </w:tr>
      <w:tr w14:paraId="7DBCDF7A">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78" w:type="pct"/>
            <w:tcBorders>
              <w:top w:val="nil"/>
              <w:left w:val="nil"/>
              <w:bottom w:val="nil"/>
              <w:right w:val="nil"/>
            </w:tcBorders>
            <w:noWrap w:val="0"/>
            <w:tcMar>
              <w:top w:w="60" w:type="dxa"/>
              <w:left w:w="120" w:type="dxa"/>
              <w:bottom w:w="30" w:type="dxa"/>
              <w:right w:w="120" w:type="dxa"/>
            </w:tcMar>
            <w:vAlign w:val="center"/>
          </w:tcPr>
          <w:p w14:paraId="2984C4E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φ5.5×110m</w:t>
            </w:r>
          </w:p>
        </w:tc>
        <w:tc>
          <w:tcPr>
            <w:tcW w:w="1164" w:type="pct"/>
            <w:tcBorders>
              <w:top w:val="nil"/>
              <w:left w:val="nil"/>
              <w:bottom w:val="nil"/>
              <w:right w:val="nil"/>
            </w:tcBorders>
            <w:noWrap w:val="0"/>
            <w:tcMar>
              <w:top w:w="60" w:type="dxa"/>
              <w:left w:w="120" w:type="dxa"/>
              <w:bottom w:w="30" w:type="dxa"/>
              <w:right w:w="120" w:type="dxa"/>
            </w:tcMar>
            <w:vAlign w:val="center"/>
          </w:tcPr>
          <w:p w14:paraId="042E9A0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20.84</w:t>
            </w:r>
          </w:p>
        </w:tc>
        <w:tc>
          <w:tcPr>
            <w:tcW w:w="1241" w:type="pct"/>
            <w:tcBorders>
              <w:top w:val="nil"/>
              <w:left w:val="nil"/>
              <w:bottom w:val="nil"/>
              <w:right w:val="nil"/>
            </w:tcBorders>
            <w:noWrap w:val="0"/>
            <w:tcMar>
              <w:top w:w="60" w:type="dxa"/>
              <w:left w:w="120" w:type="dxa"/>
              <w:bottom w:w="30" w:type="dxa"/>
              <w:right w:w="120" w:type="dxa"/>
            </w:tcMar>
            <w:vAlign w:val="center"/>
          </w:tcPr>
          <w:p w14:paraId="76B4C9C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2.29</w:t>
            </w:r>
          </w:p>
        </w:tc>
        <w:tc>
          <w:tcPr>
            <w:tcW w:w="1314" w:type="pct"/>
            <w:tcBorders>
              <w:top w:val="nil"/>
              <w:left w:val="nil"/>
              <w:bottom w:val="nil"/>
              <w:right w:val="nil"/>
            </w:tcBorders>
            <w:noWrap w:val="0"/>
            <w:tcMar>
              <w:top w:w="60" w:type="dxa"/>
              <w:left w:w="120" w:type="dxa"/>
              <w:bottom w:w="30" w:type="dxa"/>
              <w:right w:w="120" w:type="dxa"/>
            </w:tcMar>
            <w:vAlign w:val="center"/>
          </w:tcPr>
          <w:p w14:paraId="1BCD5E3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38.31</w:t>
            </w:r>
          </w:p>
        </w:tc>
      </w:tr>
      <w:tr w14:paraId="448ABB35">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78" w:type="pct"/>
            <w:tcBorders>
              <w:top w:val="nil"/>
              <w:left w:val="nil"/>
              <w:bottom w:val="single" w:color="auto" w:sz="12" w:space="0"/>
              <w:right w:val="nil"/>
            </w:tcBorders>
            <w:noWrap w:val="0"/>
            <w:tcMar>
              <w:top w:w="60" w:type="dxa"/>
              <w:left w:w="120" w:type="dxa"/>
              <w:bottom w:w="30" w:type="dxa"/>
              <w:right w:w="120" w:type="dxa"/>
            </w:tcMar>
            <w:vAlign w:val="center"/>
          </w:tcPr>
          <w:p w14:paraId="2F4F282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w:t>
            </w:r>
            <w:r>
              <w:rPr>
                <w:rFonts w:hint="eastAsia" w:ascii="宋体" w:hAnsi="宋体" w:eastAsia="宋体" w:cs="宋体"/>
                <w:sz w:val="18"/>
                <w:szCs w:val="18"/>
                <w:lang w:val="en-US" w:eastAsia="zh-CN"/>
              </w:rPr>
              <w:t>5.6</w:t>
            </w:r>
            <w:r>
              <w:rPr>
                <w:rFonts w:hint="eastAsia" w:ascii="宋体" w:hAnsi="宋体" w:eastAsia="宋体" w:cs="宋体"/>
                <w:sz w:val="18"/>
                <w:szCs w:val="18"/>
              </w:rPr>
              <w:t>×120m</w:t>
            </w:r>
          </w:p>
        </w:tc>
        <w:tc>
          <w:tcPr>
            <w:tcW w:w="1164" w:type="pct"/>
            <w:tcBorders>
              <w:top w:val="nil"/>
              <w:left w:val="nil"/>
              <w:bottom w:val="single" w:color="auto" w:sz="12" w:space="0"/>
              <w:right w:val="nil"/>
            </w:tcBorders>
            <w:noWrap w:val="0"/>
            <w:tcMar>
              <w:top w:w="60" w:type="dxa"/>
              <w:left w:w="120" w:type="dxa"/>
              <w:bottom w:w="30" w:type="dxa"/>
              <w:right w:w="120" w:type="dxa"/>
            </w:tcMar>
            <w:vAlign w:val="center"/>
          </w:tcPr>
          <w:p w14:paraId="4E18A4E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22.67</w:t>
            </w:r>
          </w:p>
        </w:tc>
        <w:tc>
          <w:tcPr>
            <w:tcW w:w="1241" w:type="pct"/>
            <w:tcBorders>
              <w:top w:val="nil"/>
              <w:left w:val="nil"/>
              <w:bottom w:val="single" w:color="auto" w:sz="12" w:space="0"/>
              <w:right w:val="nil"/>
            </w:tcBorders>
            <w:noWrap w:val="0"/>
            <w:tcMar>
              <w:top w:w="60" w:type="dxa"/>
              <w:left w:w="120" w:type="dxa"/>
              <w:bottom w:w="30" w:type="dxa"/>
              <w:right w:w="120" w:type="dxa"/>
            </w:tcMar>
            <w:vAlign w:val="center"/>
          </w:tcPr>
          <w:p w14:paraId="53E8CBB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2.72</w:t>
            </w:r>
          </w:p>
        </w:tc>
        <w:tc>
          <w:tcPr>
            <w:tcW w:w="1314" w:type="pct"/>
            <w:tcBorders>
              <w:top w:val="nil"/>
              <w:left w:val="nil"/>
              <w:bottom w:val="single" w:color="auto" w:sz="12" w:space="0"/>
              <w:right w:val="nil"/>
            </w:tcBorders>
            <w:noWrap w:val="0"/>
            <w:tcMar>
              <w:top w:w="60" w:type="dxa"/>
              <w:left w:w="120" w:type="dxa"/>
              <w:bottom w:w="30" w:type="dxa"/>
              <w:right w:w="120" w:type="dxa"/>
            </w:tcMar>
            <w:vAlign w:val="center"/>
          </w:tcPr>
          <w:p w14:paraId="7BFA586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34.59</w:t>
            </w:r>
          </w:p>
        </w:tc>
      </w:tr>
    </w:tbl>
    <w:p w14:paraId="3C708C4A">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注：年生产能力按行业常规年运行</w:t>
      </w:r>
      <w:r>
        <w:rPr>
          <w:rFonts w:hint="eastAsia" w:ascii="宋体" w:hAnsi="宋体" w:eastAsia="宋体" w:cs="宋体"/>
          <w:sz w:val="21"/>
          <w:szCs w:val="21"/>
          <w:lang w:val="en-US" w:eastAsia="zh-CN"/>
        </w:rPr>
        <w:t>72</w:t>
      </w:r>
      <w:r>
        <w:rPr>
          <w:rFonts w:hint="eastAsia" w:ascii="宋体" w:hAnsi="宋体" w:eastAsia="宋体" w:cs="宋体"/>
          <w:sz w:val="21"/>
          <w:szCs w:val="21"/>
        </w:rPr>
        <w:t>00小时计算，容积产量取值符合石膏制硫酸联产水泥分解窑工程实践合理范围，各项产量参数计算均保留两位小数。</w:t>
      </w:r>
    </w:p>
    <w:p w14:paraId="57077E55">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4" w:name="heading_14"/>
      <w:r>
        <w:rPr>
          <w:rFonts w:hint="eastAsia" w:ascii="宋体" w:hAnsi="宋体" w:eastAsia="宋体" w:cs="宋体"/>
          <w:b/>
          <w:sz w:val="21"/>
          <w:szCs w:val="21"/>
        </w:rPr>
        <w:t>3.3 石膏处理量与熟料产量核算</w:t>
      </w:r>
      <w:bookmarkEnd w:id="14"/>
    </w:p>
    <w:p w14:paraId="13CC09F4">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结合磷石膏分解反应物料平衡关系、现有工程实测数据及各规格窑体的生产能力，核算五种规格分解窑的石膏处理量（半水石膏）与熟料产量，具体结果如表3所示。</w:t>
      </w:r>
    </w:p>
    <w:tbl>
      <w:tblPr>
        <w:tblStyle w:val="18"/>
        <w:tblW w:w="4998" w:type="pct"/>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2267"/>
        <w:gridCol w:w="1868"/>
        <w:gridCol w:w="1633"/>
        <w:gridCol w:w="1644"/>
        <w:gridCol w:w="1556"/>
      </w:tblGrid>
      <w:tr w14:paraId="2523332F">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1263" w:type="pct"/>
            <w:tcBorders>
              <w:top w:val="single" w:color="auto" w:sz="12" w:space="0"/>
              <w:left w:val="nil"/>
              <w:bottom w:val="nil"/>
              <w:right w:val="nil"/>
            </w:tcBorders>
            <w:noWrap w:val="0"/>
            <w:tcMar>
              <w:top w:w="60" w:type="dxa"/>
              <w:left w:w="120" w:type="dxa"/>
              <w:bottom w:w="30" w:type="dxa"/>
              <w:right w:w="120" w:type="dxa"/>
            </w:tcMar>
            <w:vAlign w:val="center"/>
          </w:tcPr>
          <w:p w14:paraId="168BEA23">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窑体规格</w:t>
            </w:r>
          </w:p>
          <w:p w14:paraId="3CFCE893">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（公称直径×长度）</w:t>
            </w:r>
          </w:p>
        </w:tc>
        <w:tc>
          <w:tcPr>
            <w:tcW w:w="1041" w:type="pct"/>
            <w:tcBorders>
              <w:top w:val="single" w:color="auto" w:sz="12" w:space="0"/>
              <w:left w:val="nil"/>
              <w:bottom w:val="nil"/>
              <w:right w:val="nil"/>
            </w:tcBorders>
            <w:noWrap w:val="0"/>
            <w:tcMar>
              <w:top w:w="60" w:type="dxa"/>
              <w:left w:w="120" w:type="dxa"/>
              <w:bottom w:w="30" w:type="dxa"/>
              <w:right w:w="120" w:type="dxa"/>
            </w:tcMar>
            <w:vAlign w:val="center"/>
          </w:tcPr>
          <w:p w14:paraId="4287F693">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小时石膏处理量</w:t>
            </w:r>
          </w:p>
          <w:p w14:paraId="6B46A604">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（t/h）</w:t>
            </w:r>
          </w:p>
        </w:tc>
        <w:tc>
          <w:tcPr>
            <w:tcW w:w="910" w:type="pct"/>
            <w:tcBorders>
              <w:top w:val="single" w:color="auto" w:sz="12" w:space="0"/>
              <w:left w:val="nil"/>
              <w:bottom w:val="nil"/>
              <w:right w:val="nil"/>
            </w:tcBorders>
            <w:noWrap w:val="0"/>
            <w:tcMar>
              <w:top w:w="60" w:type="dxa"/>
              <w:left w:w="120" w:type="dxa"/>
              <w:bottom w:w="30" w:type="dxa"/>
              <w:right w:w="120" w:type="dxa"/>
            </w:tcMar>
            <w:vAlign w:val="center"/>
          </w:tcPr>
          <w:p w14:paraId="61233829">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年石膏处理量</w:t>
            </w:r>
          </w:p>
          <w:p w14:paraId="7EAC55EB">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（万吨/a）</w:t>
            </w:r>
          </w:p>
        </w:tc>
        <w:tc>
          <w:tcPr>
            <w:tcW w:w="916" w:type="pct"/>
            <w:tcBorders>
              <w:top w:val="single" w:color="auto" w:sz="12" w:space="0"/>
              <w:left w:val="nil"/>
              <w:bottom w:val="nil"/>
              <w:right w:val="nil"/>
            </w:tcBorders>
            <w:noWrap w:val="0"/>
            <w:tcMar>
              <w:top w:w="60" w:type="dxa"/>
              <w:left w:w="120" w:type="dxa"/>
              <w:bottom w:w="30" w:type="dxa"/>
              <w:right w:w="120" w:type="dxa"/>
            </w:tcMar>
            <w:vAlign w:val="center"/>
          </w:tcPr>
          <w:p w14:paraId="48B10612">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小时</w:t>
            </w:r>
            <w:r>
              <w:rPr>
                <w:rFonts w:hint="eastAsia" w:ascii="宋体" w:hAnsi="宋体" w:eastAsia="宋体" w:cs="宋体"/>
                <w:b/>
                <w:sz w:val="18"/>
                <w:szCs w:val="18"/>
                <w:lang w:val="en-US" w:eastAsia="zh-CN"/>
              </w:rPr>
              <w:t>硫酸</w:t>
            </w:r>
            <w:r>
              <w:rPr>
                <w:rFonts w:hint="eastAsia" w:ascii="宋体" w:hAnsi="宋体" w:eastAsia="宋体" w:cs="宋体"/>
                <w:b/>
                <w:sz w:val="18"/>
                <w:szCs w:val="18"/>
              </w:rPr>
              <w:t>产量</w:t>
            </w:r>
          </w:p>
          <w:p w14:paraId="4159D50E">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（t/h）</w:t>
            </w:r>
          </w:p>
        </w:tc>
        <w:tc>
          <w:tcPr>
            <w:tcW w:w="867" w:type="pct"/>
            <w:tcBorders>
              <w:top w:val="single" w:color="auto" w:sz="12" w:space="0"/>
              <w:left w:val="nil"/>
              <w:bottom w:val="nil"/>
              <w:right w:val="nil"/>
            </w:tcBorders>
            <w:noWrap w:val="0"/>
            <w:tcMar>
              <w:top w:w="60" w:type="dxa"/>
              <w:left w:w="120" w:type="dxa"/>
              <w:bottom w:w="30" w:type="dxa"/>
              <w:right w:w="120" w:type="dxa"/>
            </w:tcMar>
            <w:vAlign w:val="center"/>
          </w:tcPr>
          <w:p w14:paraId="37C38798">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年熟料产量</w:t>
            </w:r>
          </w:p>
          <w:p w14:paraId="18F7D2A0">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（万吨/a）</w:t>
            </w:r>
          </w:p>
        </w:tc>
      </w:tr>
      <w:tr w14:paraId="34551BBB">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63" w:type="pct"/>
            <w:tcBorders>
              <w:top w:val="single" w:color="auto" w:sz="4" w:space="0"/>
              <w:left w:val="nil"/>
              <w:bottom w:val="nil"/>
              <w:right w:val="nil"/>
            </w:tcBorders>
            <w:noWrap w:val="0"/>
            <w:tcMar>
              <w:top w:w="60" w:type="dxa"/>
              <w:left w:w="120" w:type="dxa"/>
              <w:bottom w:w="30" w:type="dxa"/>
              <w:right w:w="120" w:type="dxa"/>
            </w:tcMar>
            <w:vAlign w:val="center"/>
          </w:tcPr>
          <w:p w14:paraId="66331873">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w:t>
            </w:r>
            <w:r>
              <w:rPr>
                <w:rFonts w:hint="eastAsia" w:ascii="宋体" w:hAnsi="宋体" w:eastAsia="宋体" w:cs="宋体"/>
                <w:sz w:val="18"/>
                <w:szCs w:val="18"/>
                <w:lang w:val="en-US" w:eastAsia="zh-CN"/>
              </w:rPr>
              <w:t>.0</w:t>
            </w:r>
            <w:r>
              <w:rPr>
                <w:rFonts w:hint="eastAsia" w:ascii="宋体" w:hAnsi="宋体" w:eastAsia="宋体" w:cs="宋体"/>
                <w:sz w:val="18"/>
                <w:szCs w:val="18"/>
              </w:rPr>
              <w:t>×75m</w:t>
            </w:r>
          </w:p>
        </w:tc>
        <w:tc>
          <w:tcPr>
            <w:tcW w:w="1041" w:type="pct"/>
            <w:tcBorders>
              <w:top w:val="single" w:color="auto" w:sz="4" w:space="0"/>
              <w:left w:val="nil"/>
              <w:bottom w:val="nil"/>
              <w:right w:val="nil"/>
            </w:tcBorders>
            <w:noWrap w:val="0"/>
            <w:tcMar>
              <w:top w:w="60" w:type="dxa"/>
              <w:left w:w="120" w:type="dxa"/>
              <w:bottom w:w="30" w:type="dxa"/>
              <w:right w:w="120" w:type="dxa"/>
            </w:tcMar>
            <w:vAlign w:val="center"/>
          </w:tcPr>
          <w:p w14:paraId="53CD8F7F">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27.89</w:t>
            </w:r>
          </w:p>
        </w:tc>
        <w:tc>
          <w:tcPr>
            <w:tcW w:w="910" w:type="pct"/>
            <w:tcBorders>
              <w:top w:val="single" w:color="auto" w:sz="4" w:space="0"/>
              <w:left w:val="nil"/>
              <w:bottom w:val="nil"/>
              <w:right w:val="nil"/>
            </w:tcBorders>
            <w:noWrap w:val="0"/>
            <w:tcMar>
              <w:top w:w="60" w:type="dxa"/>
              <w:left w:w="120" w:type="dxa"/>
              <w:bottom w:w="30" w:type="dxa"/>
              <w:right w:w="120" w:type="dxa"/>
            </w:tcMar>
            <w:vAlign w:val="center"/>
          </w:tcPr>
          <w:p w14:paraId="119560AB">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20.00</w:t>
            </w:r>
          </w:p>
        </w:tc>
        <w:tc>
          <w:tcPr>
            <w:tcW w:w="916" w:type="pct"/>
            <w:tcBorders>
              <w:top w:val="single" w:color="auto" w:sz="4" w:space="0"/>
              <w:left w:val="nil"/>
              <w:bottom w:val="nil"/>
              <w:right w:val="nil"/>
            </w:tcBorders>
            <w:noWrap w:val="0"/>
            <w:tcMar>
              <w:top w:w="60" w:type="dxa"/>
              <w:left w:w="120" w:type="dxa"/>
              <w:bottom w:w="30" w:type="dxa"/>
              <w:right w:w="120" w:type="dxa"/>
            </w:tcMar>
            <w:vAlign w:val="center"/>
          </w:tcPr>
          <w:p w14:paraId="1589817A">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14.00</w:t>
            </w:r>
          </w:p>
        </w:tc>
        <w:tc>
          <w:tcPr>
            <w:tcW w:w="867" w:type="pct"/>
            <w:tcBorders>
              <w:top w:val="single" w:color="auto" w:sz="4" w:space="0"/>
              <w:left w:val="nil"/>
              <w:bottom w:val="nil"/>
              <w:right w:val="nil"/>
            </w:tcBorders>
            <w:noWrap w:val="0"/>
            <w:tcMar>
              <w:top w:w="60" w:type="dxa"/>
              <w:left w:w="120" w:type="dxa"/>
              <w:bottom w:w="30" w:type="dxa"/>
              <w:right w:w="120" w:type="dxa"/>
            </w:tcMar>
            <w:vAlign w:val="center"/>
          </w:tcPr>
          <w:p w14:paraId="00DBE82A">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10.08</w:t>
            </w:r>
          </w:p>
        </w:tc>
      </w:tr>
      <w:tr w14:paraId="3BB0AAF6">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63" w:type="pct"/>
            <w:tcBorders>
              <w:top w:val="nil"/>
              <w:left w:val="nil"/>
              <w:bottom w:val="nil"/>
              <w:right w:val="nil"/>
            </w:tcBorders>
            <w:noWrap w:val="0"/>
            <w:tcMar>
              <w:top w:w="60" w:type="dxa"/>
              <w:left w:w="120" w:type="dxa"/>
              <w:bottom w:w="30" w:type="dxa"/>
              <w:right w:w="120" w:type="dxa"/>
            </w:tcMar>
            <w:vAlign w:val="center"/>
          </w:tcPr>
          <w:p w14:paraId="545510F1">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φ4.5×90m</w:t>
            </w:r>
          </w:p>
        </w:tc>
        <w:tc>
          <w:tcPr>
            <w:tcW w:w="1041" w:type="pct"/>
            <w:tcBorders>
              <w:top w:val="nil"/>
              <w:left w:val="nil"/>
              <w:bottom w:val="nil"/>
              <w:right w:val="nil"/>
            </w:tcBorders>
            <w:noWrap w:val="0"/>
            <w:tcMar>
              <w:top w:w="60" w:type="dxa"/>
              <w:left w:w="120" w:type="dxa"/>
              <w:bottom w:w="30" w:type="dxa"/>
              <w:right w:w="120" w:type="dxa"/>
            </w:tcMar>
            <w:vAlign w:val="center"/>
          </w:tcPr>
          <w:p w14:paraId="5FD199DA">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45.77</w:t>
            </w:r>
          </w:p>
        </w:tc>
        <w:tc>
          <w:tcPr>
            <w:tcW w:w="910" w:type="pct"/>
            <w:tcBorders>
              <w:top w:val="nil"/>
              <w:left w:val="nil"/>
              <w:bottom w:val="nil"/>
              <w:right w:val="nil"/>
            </w:tcBorders>
            <w:noWrap w:val="0"/>
            <w:tcMar>
              <w:top w:w="60" w:type="dxa"/>
              <w:left w:w="120" w:type="dxa"/>
              <w:bottom w:w="30" w:type="dxa"/>
              <w:right w:w="120" w:type="dxa"/>
            </w:tcMar>
            <w:vAlign w:val="center"/>
          </w:tcPr>
          <w:p w14:paraId="002485ED">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rPr>
            </w:pPr>
            <w:r>
              <w:rPr>
                <w:rFonts w:hint="eastAsia" w:ascii="宋体" w:hAnsi="宋体" w:eastAsia="宋体" w:cs="宋体"/>
                <w:sz w:val="18"/>
                <w:szCs w:val="18"/>
                <w:highlight w:val="none"/>
                <w:lang w:val="en-US" w:eastAsia="zh-CN"/>
              </w:rPr>
              <w:t>32.95</w:t>
            </w:r>
          </w:p>
        </w:tc>
        <w:tc>
          <w:tcPr>
            <w:tcW w:w="916" w:type="pct"/>
            <w:tcBorders>
              <w:top w:val="nil"/>
              <w:left w:val="nil"/>
              <w:bottom w:val="nil"/>
              <w:right w:val="nil"/>
            </w:tcBorders>
            <w:noWrap w:val="0"/>
            <w:tcMar>
              <w:top w:w="60" w:type="dxa"/>
              <w:left w:w="120" w:type="dxa"/>
              <w:bottom w:w="30" w:type="dxa"/>
              <w:right w:w="120" w:type="dxa"/>
            </w:tcMar>
            <w:vAlign w:val="center"/>
          </w:tcPr>
          <w:p w14:paraId="2C9160F9">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23.00</w:t>
            </w:r>
          </w:p>
        </w:tc>
        <w:tc>
          <w:tcPr>
            <w:tcW w:w="867" w:type="pct"/>
            <w:tcBorders>
              <w:top w:val="nil"/>
              <w:left w:val="nil"/>
              <w:bottom w:val="nil"/>
              <w:right w:val="nil"/>
            </w:tcBorders>
            <w:noWrap w:val="0"/>
            <w:tcMar>
              <w:top w:w="60" w:type="dxa"/>
              <w:left w:w="120" w:type="dxa"/>
              <w:bottom w:w="30" w:type="dxa"/>
              <w:right w:w="120" w:type="dxa"/>
            </w:tcMar>
            <w:vAlign w:val="center"/>
          </w:tcPr>
          <w:p w14:paraId="6E0226AD">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15.40</w:t>
            </w:r>
          </w:p>
        </w:tc>
      </w:tr>
      <w:tr w14:paraId="252F968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63" w:type="pct"/>
            <w:tcBorders>
              <w:top w:val="nil"/>
              <w:left w:val="nil"/>
              <w:bottom w:val="nil"/>
              <w:right w:val="nil"/>
            </w:tcBorders>
            <w:noWrap w:val="0"/>
            <w:tcMar>
              <w:top w:w="60" w:type="dxa"/>
              <w:left w:w="120" w:type="dxa"/>
              <w:bottom w:w="30" w:type="dxa"/>
              <w:right w:w="120" w:type="dxa"/>
            </w:tcMar>
            <w:vAlign w:val="center"/>
          </w:tcPr>
          <w:p w14:paraId="70C44408">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φ5.2×100m</w:t>
            </w:r>
          </w:p>
        </w:tc>
        <w:tc>
          <w:tcPr>
            <w:tcW w:w="1041" w:type="pct"/>
            <w:tcBorders>
              <w:top w:val="nil"/>
              <w:left w:val="nil"/>
              <w:bottom w:val="nil"/>
              <w:right w:val="nil"/>
            </w:tcBorders>
            <w:noWrap w:val="0"/>
            <w:tcMar>
              <w:top w:w="60" w:type="dxa"/>
              <w:left w:w="120" w:type="dxa"/>
              <w:bottom w:w="30" w:type="dxa"/>
              <w:right w:w="120" w:type="dxa"/>
            </w:tcMar>
            <w:vAlign w:val="center"/>
          </w:tcPr>
          <w:p w14:paraId="1609B48B">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69.65</w:t>
            </w:r>
          </w:p>
        </w:tc>
        <w:tc>
          <w:tcPr>
            <w:tcW w:w="910" w:type="pct"/>
            <w:tcBorders>
              <w:top w:val="nil"/>
              <w:left w:val="nil"/>
              <w:bottom w:val="nil"/>
              <w:right w:val="nil"/>
            </w:tcBorders>
            <w:noWrap w:val="0"/>
            <w:tcMar>
              <w:top w:w="60" w:type="dxa"/>
              <w:left w:w="120" w:type="dxa"/>
              <w:bottom w:w="30" w:type="dxa"/>
              <w:right w:w="120" w:type="dxa"/>
            </w:tcMar>
            <w:vAlign w:val="center"/>
          </w:tcPr>
          <w:p w14:paraId="57EFBB16">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50.14</w:t>
            </w:r>
          </w:p>
        </w:tc>
        <w:tc>
          <w:tcPr>
            <w:tcW w:w="916" w:type="pct"/>
            <w:tcBorders>
              <w:top w:val="nil"/>
              <w:left w:val="nil"/>
              <w:bottom w:val="nil"/>
              <w:right w:val="nil"/>
            </w:tcBorders>
            <w:noWrap w:val="0"/>
            <w:tcMar>
              <w:top w:w="60" w:type="dxa"/>
              <w:left w:w="120" w:type="dxa"/>
              <w:bottom w:w="30" w:type="dxa"/>
              <w:right w:w="120" w:type="dxa"/>
            </w:tcMar>
            <w:vAlign w:val="center"/>
          </w:tcPr>
          <w:p w14:paraId="29B6766C">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35.00</w:t>
            </w:r>
          </w:p>
        </w:tc>
        <w:tc>
          <w:tcPr>
            <w:tcW w:w="867" w:type="pct"/>
            <w:tcBorders>
              <w:top w:val="nil"/>
              <w:left w:val="nil"/>
              <w:bottom w:val="nil"/>
              <w:right w:val="nil"/>
            </w:tcBorders>
            <w:noWrap w:val="0"/>
            <w:tcMar>
              <w:top w:w="60" w:type="dxa"/>
              <w:left w:w="120" w:type="dxa"/>
              <w:bottom w:w="30" w:type="dxa"/>
              <w:right w:w="120" w:type="dxa"/>
            </w:tcMar>
            <w:vAlign w:val="center"/>
          </w:tcPr>
          <w:p w14:paraId="46946A16">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23.44</w:t>
            </w:r>
          </w:p>
        </w:tc>
      </w:tr>
      <w:tr w14:paraId="1F5EE3E7">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63" w:type="pct"/>
            <w:tcBorders>
              <w:top w:val="nil"/>
              <w:left w:val="nil"/>
              <w:bottom w:val="nil"/>
              <w:right w:val="nil"/>
            </w:tcBorders>
            <w:noWrap w:val="0"/>
            <w:tcMar>
              <w:top w:w="60" w:type="dxa"/>
              <w:left w:w="120" w:type="dxa"/>
              <w:bottom w:w="30" w:type="dxa"/>
              <w:right w:w="120" w:type="dxa"/>
            </w:tcMar>
            <w:vAlign w:val="center"/>
          </w:tcPr>
          <w:p w14:paraId="2EDEE3ED">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φ5.5×110m</w:t>
            </w:r>
          </w:p>
        </w:tc>
        <w:tc>
          <w:tcPr>
            <w:tcW w:w="1041" w:type="pct"/>
            <w:tcBorders>
              <w:top w:val="nil"/>
              <w:left w:val="nil"/>
              <w:bottom w:val="nil"/>
              <w:right w:val="nil"/>
            </w:tcBorders>
            <w:noWrap w:val="0"/>
            <w:tcMar>
              <w:top w:w="60" w:type="dxa"/>
              <w:left w:w="120" w:type="dxa"/>
              <w:bottom w:w="30" w:type="dxa"/>
              <w:right w:w="120" w:type="dxa"/>
            </w:tcMar>
            <w:vAlign w:val="center"/>
          </w:tcPr>
          <w:p w14:paraId="401B961D">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89.55</w:t>
            </w:r>
          </w:p>
        </w:tc>
        <w:tc>
          <w:tcPr>
            <w:tcW w:w="910" w:type="pct"/>
            <w:tcBorders>
              <w:top w:val="nil"/>
              <w:left w:val="nil"/>
              <w:bottom w:val="nil"/>
              <w:right w:val="nil"/>
            </w:tcBorders>
            <w:noWrap w:val="0"/>
            <w:tcMar>
              <w:top w:w="60" w:type="dxa"/>
              <w:left w:w="120" w:type="dxa"/>
              <w:bottom w:w="30" w:type="dxa"/>
              <w:right w:w="120" w:type="dxa"/>
            </w:tcMar>
            <w:vAlign w:val="center"/>
          </w:tcPr>
          <w:p w14:paraId="275BC5FF">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64.48</w:t>
            </w:r>
          </w:p>
        </w:tc>
        <w:tc>
          <w:tcPr>
            <w:tcW w:w="916" w:type="pct"/>
            <w:tcBorders>
              <w:top w:val="nil"/>
              <w:left w:val="nil"/>
              <w:bottom w:val="nil"/>
              <w:right w:val="nil"/>
            </w:tcBorders>
            <w:noWrap w:val="0"/>
            <w:tcMar>
              <w:top w:w="60" w:type="dxa"/>
              <w:left w:w="120" w:type="dxa"/>
              <w:bottom w:w="30" w:type="dxa"/>
              <w:right w:w="120" w:type="dxa"/>
            </w:tcMar>
            <w:vAlign w:val="center"/>
          </w:tcPr>
          <w:p w14:paraId="6CB3BB11">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45.00</w:t>
            </w:r>
          </w:p>
        </w:tc>
        <w:tc>
          <w:tcPr>
            <w:tcW w:w="867" w:type="pct"/>
            <w:tcBorders>
              <w:top w:val="nil"/>
              <w:left w:val="nil"/>
              <w:bottom w:val="nil"/>
              <w:right w:val="nil"/>
            </w:tcBorders>
            <w:noWrap w:val="0"/>
            <w:tcMar>
              <w:top w:w="60" w:type="dxa"/>
              <w:left w:w="120" w:type="dxa"/>
              <w:bottom w:w="30" w:type="dxa"/>
              <w:right w:w="120" w:type="dxa"/>
            </w:tcMar>
            <w:vAlign w:val="center"/>
          </w:tcPr>
          <w:p w14:paraId="55A1BF82">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28.11</w:t>
            </w:r>
          </w:p>
        </w:tc>
      </w:tr>
      <w:tr w14:paraId="300667FA">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63" w:type="pct"/>
            <w:tcBorders>
              <w:top w:val="nil"/>
              <w:left w:val="nil"/>
              <w:bottom w:val="single" w:color="auto" w:sz="12" w:space="0"/>
              <w:right w:val="nil"/>
            </w:tcBorders>
            <w:noWrap w:val="0"/>
            <w:tcMar>
              <w:top w:w="60" w:type="dxa"/>
              <w:left w:w="120" w:type="dxa"/>
              <w:bottom w:w="30" w:type="dxa"/>
              <w:right w:w="120" w:type="dxa"/>
            </w:tcMar>
            <w:vAlign w:val="center"/>
          </w:tcPr>
          <w:p w14:paraId="549927E7">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w:t>
            </w:r>
            <w:r>
              <w:rPr>
                <w:rFonts w:hint="eastAsia" w:ascii="宋体" w:hAnsi="宋体" w:eastAsia="宋体" w:cs="宋体"/>
                <w:sz w:val="18"/>
                <w:szCs w:val="18"/>
                <w:lang w:val="en-US" w:eastAsia="zh-CN"/>
              </w:rPr>
              <w:t>5.6</w:t>
            </w:r>
            <w:r>
              <w:rPr>
                <w:rFonts w:hint="eastAsia" w:ascii="宋体" w:hAnsi="宋体" w:eastAsia="宋体" w:cs="宋体"/>
                <w:sz w:val="18"/>
                <w:szCs w:val="18"/>
              </w:rPr>
              <w:t>×120m</w:t>
            </w:r>
          </w:p>
        </w:tc>
        <w:tc>
          <w:tcPr>
            <w:tcW w:w="1041" w:type="pct"/>
            <w:tcBorders>
              <w:top w:val="nil"/>
              <w:left w:val="nil"/>
              <w:bottom w:val="single" w:color="auto" w:sz="12" w:space="0"/>
              <w:right w:val="nil"/>
            </w:tcBorders>
            <w:noWrap w:val="0"/>
            <w:tcMar>
              <w:top w:w="60" w:type="dxa"/>
              <w:left w:w="120" w:type="dxa"/>
              <w:bottom w:w="30" w:type="dxa"/>
              <w:right w:w="120" w:type="dxa"/>
            </w:tcMar>
            <w:vAlign w:val="center"/>
          </w:tcPr>
          <w:p w14:paraId="7F72AF4E">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109.45</w:t>
            </w:r>
          </w:p>
        </w:tc>
        <w:tc>
          <w:tcPr>
            <w:tcW w:w="910" w:type="pct"/>
            <w:tcBorders>
              <w:top w:val="nil"/>
              <w:left w:val="nil"/>
              <w:bottom w:val="single" w:color="auto" w:sz="12" w:space="0"/>
              <w:right w:val="nil"/>
            </w:tcBorders>
            <w:noWrap w:val="0"/>
            <w:tcMar>
              <w:top w:w="60" w:type="dxa"/>
              <w:left w:w="120" w:type="dxa"/>
              <w:bottom w:w="30" w:type="dxa"/>
              <w:right w:w="120" w:type="dxa"/>
            </w:tcMar>
            <w:vAlign w:val="center"/>
          </w:tcPr>
          <w:p w14:paraId="3DF4DB51">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78.80</w:t>
            </w:r>
          </w:p>
        </w:tc>
        <w:tc>
          <w:tcPr>
            <w:tcW w:w="916" w:type="pct"/>
            <w:tcBorders>
              <w:top w:val="nil"/>
              <w:left w:val="nil"/>
              <w:bottom w:val="single" w:color="auto" w:sz="12" w:space="0"/>
              <w:right w:val="nil"/>
            </w:tcBorders>
            <w:noWrap w:val="0"/>
            <w:tcMar>
              <w:top w:w="60" w:type="dxa"/>
              <w:left w:w="120" w:type="dxa"/>
              <w:bottom w:w="30" w:type="dxa"/>
              <w:right w:w="120" w:type="dxa"/>
            </w:tcMar>
            <w:vAlign w:val="center"/>
          </w:tcPr>
          <w:p w14:paraId="15068500">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55.00</w:t>
            </w:r>
          </w:p>
        </w:tc>
        <w:tc>
          <w:tcPr>
            <w:tcW w:w="867" w:type="pct"/>
            <w:tcBorders>
              <w:top w:val="nil"/>
              <w:left w:val="nil"/>
              <w:bottom w:val="single" w:color="auto" w:sz="12" w:space="0"/>
              <w:right w:val="nil"/>
            </w:tcBorders>
            <w:noWrap w:val="0"/>
            <w:tcMar>
              <w:top w:w="60" w:type="dxa"/>
              <w:left w:w="120" w:type="dxa"/>
              <w:bottom w:w="30" w:type="dxa"/>
              <w:right w:w="120" w:type="dxa"/>
            </w:tcMar>
            <w:vAlign w:val="center"/>
          </w:tcPr>
          <w:p w14:paraId="69553F5D">
            <w:pPr>
              <w:keepNext/>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36.63</w:t>
            </w:r>
          </w:p>
        </w:tc>
      </w:tr>
    </w:tbl>
    <w:p w14:paraId="34B5D0B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注：石膏处理量以半水石膏为核算基准，基于生料中半水石膏占比89.05%核算得出；熟料产量与窑体小时生产能力一致，年</w:t>
      </w:r>
      <w:r>
        <w:rPr>
          <w:rFonts w:hint="eastAsia" w:ascii="宋体" w:hAnsi="宋体" w:eastAsia="宋体" w:cs="宋体"/>
          <w:sz w:val="21"/>
          <w:szCs w:val="21"/>
          <w:lang w:eastAsia="zh-CN"/>
        </w:rPr>
        <w:t>硫酸、</w:t>
      </w:r>
      <w:r>
        <w:rPr>
          <w:rFonts w:hint="eastAsia" w:ascii="宋体" w:hAnsi="宋体" w:eastAsia="宋体" w:cs="宋体"/>
          <w:sz w:val="21"/>
          <w:szCs w:val="21"/>
        </w:rPr>
        <w:t>熟料产量按年运行</w:t>
      </w:r>
      <w:r>
        <w:rPr>
          <w:rFonts w:hint="eastAsia" w:ascii="宋体" w:hAnsi="宋体" w:eastAsia="宋体" w:cs="宋体"/>
          <w:sz w:val="21"/>
          <w:szCs w:val="21"/>
          <w:lang w:val="en-US" w:eastAsia="zh-CN"/>
        </w:rPr>
        <w:t>72</w:t>
      </w:r>
      <w:r>
        <w:rPr>
          <w:rFonts w:hint="eastAsia" w:ascii="宋体" w:hAnsi="宋体" w:eastAsia="宋体" w:cs="宋体"/>
          <w:sz w:val="21"/>
          <w:szCs w:val="21"/>
        </w:rPr>
        <w:t>00小时计算。</w:t>
      </w:r>
    </w:p>
    <w:p w14:paraId="5D3FFA45">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5" w:name="heading_15"/>
      <w:r>
        <w:rPr>
          <w:rFonts w:hint="eastAsia" w:ascii="宋体" w:hAnsi="宋体" w:eastAsia="宋体" w:cs="宋体"/>
          <w:b/>
          <w:sz w:val="21"/>
          <w:szCs w:val="21"/>
        </w:rPr>
        <w:t>3.4 煤消耗量核算</w:t>
      </w:r>
      <w:bookmarkEnd w:id="15"/>
    </w:p>
    <w:p w14:paraId="66B67ACD">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基于现有典型工程热耗数据及标准煤热值，推算五种规格分解窑的小时煤消耗量，具体结果如表4所示。</w:t>
      </w:r>
    </w:p>
    <w:tbl>
      <w:tblPr>
        <w:tblStyle w:val="18"/>
        <w:tblW w:w="4999" w:type="pct"/>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3535"/>
        <w:gridCol w:w="2655"/>
        <w:gridCol w:w="2780"/>
      </w:tblGrid>
      <w:tr w14:paraId="25592C34">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1970" w:type="pct"/>
            <w:tcBorders>
              <w:top w:val="single" w:color="auto" w:sz="12" w:space="0"/>
              <w:left w:val="nil"/>
              <w:bottom w:val="nil"/>
              <w:right w:val="nil"/>
            </w:tcBorders>
            <w:noWrap w:val="0"/>
            <w:tcMar>
              <w:top w:w="60" w:type="dxa"/>
              <w:left w:w="120" w:type="dxa"/>
              <w:bottom w:w="30" w:type="dxa"/>
              <w:right w:w="120" w:type="dxa"/>
            </w:tcMar>
            <w:vAlign w:val="center"/>
          </w:tcPr>
          <w:p w14:paraId="5372808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窑体规格（公称直径×长度）</w:t>
            </w:r>
          </w:p>
        </w:tc>
        <w:tc>
          <w:tcPr>
            <w:tcW w:w="1479" w:type="pct"/>
            <w:tcBorders>
              <w:top w:val="single" w:color="auto" w:sz="12" w:space="0"/>
              <w:left w:val="nil"/>
              <w:bottom w:val="nil"/>
              <w:right w:val="nil"/>
            </w:tcBorders>
            <w:noWrap w:val="0"/>
            <w:tcMar>
              <w:top w:w="60" w:type="dxa"/>
              <w:left w:w="120" w:type="dxa"/>
              <w:bottom w:w="30" w:type="dxa"/>
              <w:right w:w="120" w:type="dxa"/>
            </w:tcMar>
            <w:vAlign w:val="center"/>
          </w:tcPr>
          <w:p w14:paraId="009BABA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小时煤消耗量（t/h）</w:t>
            </w:r>
          </w:p>
        </w:tc>
        <w:tc>
          <w:tcPr>
            <w:tcW w:w="1549" w:type="pct"/>
            <w:tcBorders>
              <w:top w:val="single" w:color="auto" w:sz="12" w:space="0"/>
              <w:left w:val="nil"/>
              <w:bottom w:val="nil"/>
              <w:right w:val="nil"/>
            </w:tcBorders>
            <w:noWrap w:val="0"/>
            <w:tcMar>
              <w:top w:w="60" w:type="dxa"/>
              <w:left w:w="120" w:type="dxa"/>
              <w:bottom w:w="30" w:type="dxa"/>
              <w:right w:w="120" w:type="dxa"/>
            </w:tcMar>
            <w:vAlign w:val="center"/>
          </w:tcPr>
          <w:p w14:paraId="771E240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年煤消耗量（万吨/a）</w:t>
            </w:r>
          </w:p>
        </w:tc>
      </w:tr>
      <w:tr w14:paraId="4B984993">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970" w:type="pct"/>
            <w:tcBorders>
              <w:top w:val="single" w:color="auto" w:sz="4" w:space="0"/>
              <w:left w:val="nil"/>
              <w:bottom w:val="nil"/>
              <w:right w:val="nil"/>
            </w:tcBorders>
            <w:noWrap w:val="0"/>
            <w:tcMar>
              <w:top w:w="60" w:type="dxa"/>
              <w:left w:w="120" w:type="dxa"/>
              <w:bottom w:w="30" w:type="dxa"/>
              <w:right w:w="120" w:type="dxa"/>
            </w:tcMar>
            <w:vAlign w:val="center"/>
          </w:tcPr>
          <w:p w14:paraId="36509B0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w:t>
            </w:r>
            <w:r>
              <w:rPr>
                <w:rFonts w:hint="eastAsia" w:ascii="宋体" w:hAnsi="宋体" w:eastAsia="宋体" w:cs="宋体"/>
                <w:sz w:val="18"/>
                <w:szCs w:val="18"/>
                <w:lang w:val="en-US" w:eastAsia="zh-CN"/>
              </w:rPr>
              <w:t>.0</w:t>
            </w:r>
            <w:r>
              <w:rPr>
                <w:rFonts w:hint="eastAsia" w:ascii="宋体" w:hAnsi="宋体" w:eastAsia="宋体" w:cs="宋体"/>
                <w:sz w:val="18"/>
                <w:szCs w:val="18"/>
              </w:rPr>
              <w:t>×75m</w:t>
            </w:r>
          </w:p>
        </w:tc>
        <w:tc>
          <w:tcPr>
            <w:tcW w:w="1479" w:type="pct"/>
            <w:tcBorders>
              <w:top w:val="single" w:color="auto" w:sz="4" w:space="0"/>
              <w:left w:val="nil"/>
              <w:bottom w:val="nil"/>
              <w:right w:val="nil"/>
            </w:tcBorders>
            <w:noWrap w:val="0"/>
            <w:tcMar>
              <w:top w:w="60" w:type="dxa"/>
              <w:left w:w="120" w:type="dxa"/>
              <w:bottom w:w="30" w:type="dxa"/>
              <w:right w:w="120" w:type="dxa"/>
            </w:tcMar>
            <w:vAlign w:val="center"/>
          </w:tcPr>
          <w:p w14:paraId="6468381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2.</w:t>
            </w:r>
            <w:r>
              <w:rPr>
                <w:rFonts w:hint="eastAsia" w:ascii="宋体" w:hAnsi="宋体" w:eastAsia="宋体" w:cs="宋体"/>
                <w:sz w:val="18"/>
                <w:szCs w:val="18"/>
                <w:lang w:val="en-US" w:eastAsia="zh-CN"/>
              </w:rPr>
              <w:t>6</w:t>
            </w:r>
            <w:r>
              <w:rPr>
                <w:rFonts w:hint="eastAsia" w:ascii="宋体" w:hAnsi="宋体" w:eastAsia="宋体" w:cs="宋体"/>
                <w:sz w:val="18"/>
                <w:szCs w:val="18"/>
              </w:rPr>
              <w:t>4</w:t>
            </w:r>
          </w:p>
        </w:tc>
        <w:tc>
          <w:tcPr>
            <w:tcW w:w="1549" w:type="pct"/>
            <w:tcBorders>
              <w:top w:val="single" w:color="auto" w:sz="4" w:space="0"/>
              <w:left w:val="nil"/>
              <w:bottom w:val="nil"/>
              <w:right w:val="nil"/>
            </w:tcBorders>
            <w:noWrap w:val="0"/>
            <w:tcMar>
              <w:top w:w="60" w:type="dxa"/>
              <w:left w:w="120" w:type="dxa"/>
              <w:bottom w:w="30" w:type="dxa"/>
              <w:right w:w="120" w:type="dxa"/>
            </w:tcMar>
            <w:vAlign w:val="center"/>
          </w:tcPr>
          <w:p w14:paraId="66BFF653">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green"/>
                <w:lang w:val="en-US" w:eastAsia="zh-CN"/>
              </w:rPr>
            </w:pPr>
            <w:r>
              <w:rPr>
                <w:rFonts w:hint="eastAsia" w:ascii="宋体" w:hAnsi="宋体" w:eastAsia="宋体" w:cs="宋体"/>
                <w:sz w:val="18"/>
                <w:szCs w:val="18"/>
                <w:highlight w:val="none"/>
                <w:lang w:val="en-US" w:eastAsia="zh-CN"/>
              </w:rPr>
              <w:t>1.90</w:t>
            </w:r>
          </w:p>
        </w:tc>
      </w:tr>
      <w:tr w14:paraId="64912F74">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970" w:type="pct"/>
            <w:tcBorders>
              <w:top w:val="nil"/>
              <w:left w:val="nil"/>
              <w:bottom w:val="nil"/>
              <w:right w:val="nil"/>
            </w:tcBorders>
            <w:noWrap w:val="0"/>
            <w:tcMar>
              <w:top w:w="60" w:type="dxa"/>
              <w:left w:w="120" w:type="dxa"/>
              <w:bottom w:w="30" w:type="dxa"/>
              <w:right w:w="120" w:type="dxa"/>
            </w:tcMar>
            <w:vAlign w:val="center"/>
          </w:tcPr>
          <w:p w14:paraId="680FF3D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φ4.5×90m</w:t>
            </w:r>
          </w:p>
        </w:tc>
        <w:tc>
          <w:tcPr>
            <w:tcW w:w="1479" w:type="pct"/>
            <w:tcBorders>
              <w:top w:val="nil"/>
              <w:left w:val="nil"/>
              <w:bottom w:val="nil"/>
              <w:right w:val="nil"/>
            </w:tcBorders>
            <w:noWrap w:val="0"/>
            <w:tcMar>
              <w:top w:w="60" w:type="dxa"/>
              <w:left w:w="120" w:type="dxa"/>
              <w:bottom w:w="30" w:type="dxa"/>
              <w:right w:w="120" w:type="dxa"/>
            </w:tcMar>
            <w:vAlign w:val="center"/>
          </w:tcPr>
          <w:p w14:paraId="179A699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4.62</w:t>
            </w:r>
          </w:p>
        </w:tc>
        <w:tc>
          <w:tcPr>
            <w:tcW w:w="1549" w:type="pct"/>
            <w:tcBorders>
              <w:top w:val="nil"/>
              <w:left w:val="nil"/>
              <w:bottom w:val="nil"/>
              <w:right w:val="nil"/>
            </w:tcBorders>
            <w:noWrap w:val="0"/>
            <w:tcMar>
              <w:top w:w="60" w:type="dxa"/>
              <w:left w:w="120" w:type="dxa"/>
              <w:bottom w:w="30" w:type="dxa"/>
              <w:right w:w="120" w:type="dxa"/>
            </w:tcMar>
            <w:vAlign w:val="center"/>
          </w:tcPr>
          <w:p w14:paraId="006AFE7F">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rPr>
              <w:t>3</w:t>
            </w:r>
            <w:r>
              <w:rPr>
                <w:rFonts w:hint="eastAsia" w:ascii="宋体" w:hAnsi="宋体" w:eastAsia="宋体" w:cs="宋体"/>
                <w:sz w:val="18"/>
                <w:szCs w:val="18"/>
                <w:highlight w:val="none"/>
                <w:lang w:val="en-US" w:eastAsia="zh-CN"/>
              </w:rPr>
              <w:t>.33</w:t>
            </w:r>
          </w:p>
        </w:tc>
      </w:tr>
      <w:tr w14:paraId="220EBBA3">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970" w:type="pct"/>
            <w:tcBorders>
              <w:top w:val="nil"/>
              <w:left w:val="nil"/>
              <w:bottom w:val="nil"/>
              <w:right w:val="nil"/>
            </w:tcBorders>
            <w:noWrap w:val="0"/>
            <w:tcMar>
              <w:top w:w="60" w:type="dxa"/>
              <w:left w:w="120" w:type="dxa"/>
              <w:bottom w:w="30" w:type="dxa"/>
              <w:right w:w="120" w:type="dxa"/>
            </w:tcMar>
            <w:vAlign w:val="center"/>
          </w:tcPr>
          <w:p w14:paraId="335C5A2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φ5.2×100m</w:t>
            </w:r>
          </w:p>
        </w:tc>
        <w:tc>
          <w:tcPr>
            <w:tcW w:w="1479" w:type="pct"/>
            <w:tcBorders>
              <w:top w:val="nil"/>
              <w:left w:val="nil"/>
              <w:bottom w:val="nil"/>
              <w:right w:val="nil"/>
            </w:tcBorders>
            <w:noWrap w:val="0"/>
            <w:tcMar>
              <w:top w:w="60" w:type="dxa"/>
              <w:left w:w="120" w:type="dxa"/>
              <w:bottom w:w="30" w:type="dxa"/>
              <w:right w:w="120" w:type="dxa"/>
            </w:tcMar>
            <w:vAlign w:val="center"/>
          </w:tcPr>
          <w:p w14:paraId="0196DDD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7.35</w:t>
            </w:r>
          </w:p>
        </w:tc>
        <w:tc>
          <w:tcPr>
            <w:tcW w:w="1549" w:type="pct"/>
            <w:tcBorders>
              <w:top w:val="nil"/>
              <w:left w:val="nil"/>
              <w:bottom w:val="nil"/>
              <w:right w:val="nil"/>
            </w:tcBorders>
            <w:noWrap w:val="0"/>
            <w:tcMar>
              <w:top w:w="60" w:type="dxa"/>
              <w:left w:w="120" w:type="dxa"/>
              <w:bottom w:w="30" w:type="dxa"/>
              <w:right w:w="120" w:type="dxa"/>
            </w:tcMar>
            <w:vAlign w:val="center"/>
          </w:tcPr>
          <w:p w14:paraId="3E2CA81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5.29</w:t>
            </w:r>
          </w:p>
        </w:tc>
      </w:tr>
      <w:tr w14:paraId="1C399B5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970" w:type="pct"/>
            <w:tcBorders>
              <w:top w:val="nil"/>
              <w:left w:val="nil"/>
              <w:bottom w:val="nil"/>
              <w:right w:val="nil"/>
            </w:tcBorders>
            <w:noWrap w:val="0"/>
            <w:tcMar>
              <w:top w:w="60" w:type="dxa"/>
              <w:left w:w="120" w:type="dxa"/>
              <w:bottom w:w="30" w:type="dxa"/>
              <w:right w:w="120" w:type="dxa"/>
            </w:tcMar>
            <w:vAlign w:val="center"/>
          </w:tcPr>
          <w:p w14:paraId="43DCA3E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φ5.5×110m</w:t>
            </w:r>
          </w:p>
        </w:tc>
        <w:tc>
          <w:tcPr>
            <w:tcW w:w="1479" w:type="pct"/>
            <w:tcBorders>
              <w:top w:val="nil"/>
              <w:left w:val="nil"/>
              <w:bottom w:val="nil"/>
              <w:right w:val="nil"/>
            </w:tcBorders>
            <w:noWrap w:val="0"/>
            <w:tcMar>
              <w:top w:w="60" w:type="dxa"/>
              <w:left w:w="120" w:type="dxa"/>
              <w:bottom w:w="30" w:type="dxa"/>
              <w:right w:w="120" w:type="dxa"/>
            </w:tcMar>
            <w:vAlign w:val="center"/>
          </w:tcPr>
          <w:p w14:paraId="33B0D51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9.25</w:t>
            </w:r>
          </w:p>
        </w:tc>
        <w:tc>
          <w:tcPr>
            <w:tcW w:w="1549" w:type="pct"/>
            <w:tcBorders>
              <w:top w:val="nil"/>
              <w:left w:val="nil"/>
              <w:bottom w:val="nil"/>
              <w:right w:val="nil"/>
            </w:tcBorders>
            <w:noWrap w:val="0"/>
            <w:tcMar>
              <w:top w:w="60" w:type="dxa"/>
              <w:left w:w="120" w:type="dxa"/>
              <w:bottom w:w="30" w:type="dxa"/>
              <w:right w:w="120" w:type="dxa"/>
            </w:tcMar>
            <w:vAlign w:val="center"/>
          </w:tcPr>
          <w:p w14:paraId="3BE683F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lang w:val="en-US" w:eastAsia="zh-CN"/>
              </w:rPr>
              <w:t>6.66</w:t>
            </w:r>
          </w:p>
        </w:tc>
      </w:tr>
      <w:tr w14:paraId="2502721C">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970" w:type="pct"/>
            <w:tcBorders>
              <w:top w:val="nil"/>
              <w:left w:val="nil"/>
              <w:bottom w:val="single" w:color="auto" w:sz="12" w:space="0"/>
              <w:right w:val="nil"/>
            </w:tcBorders>
            <w:noWrap w:val="0"/>
            <w:tcMar>
              <w:top w:w="60" w:type="dxa"/>
              <w:left w:w="120" w:type="dxa"/>
              <w:bottom w:w="30" w:type="dxa"/>
              <w:right w:w="120" w:type="dxa"/>
            </w:tcMar>
            <w:vAlign w:val="center"/>
          </w:tcPr>
          <w:p w14:paraId="05DF3941">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w:t>
            </w:r>
            <w:r>
              <w:rPr>
                <w:rFonts w:hint="eastAsia" w:ascii="宋体" w:hAnsi="宋体" w:eastAsia="宋体" w:cs="宋体"/>
                <w:sz w:val="18"/>
                <w:szCs w:val="18"/>
                <w:lang w:val="en-US" w:eastAsia="zh-CN"/>
              </w:rPr>
              <w:t>5.6</w:t>
            </w:r>
            <w:r>
              <w:rPr>
                <w:rFonts w:hint="eastAsia" w:ascii="宋体" w:hAnsi="宋体" w:eastAsia="宋体" w:cs="宋体"/>
                <w:sz w:val="18"/>
                <w:szCs w:val="18"/>
              </w:rPr>
              <w:t>×120m</w:t>
            </w:r>
          </w:p>
        </w:tc>
        <w:tc>
          <w:tcPr>
            <w:tcW w:w="1479" w:type="pct"/>
            <w:tcBorders>
              <w:top w:val="nil"/>
              <w:left w:val="nil"/>
              <w:bottom w:val="single" w:color="auto" w:sz="12" w:space="0"/>
              <w:right w:val="nil"/>
            </w:tcBorders>
            <w:noWrap w:val="0"/>
            <w:tcMar>
              <w:top w:w="60" w:type="dxa"/>
              <w:left w:w="120" w:type="dxa"/>
              <w:bottom w:w="30" w:type="dxa"/>
              <w:right w:w="120" w:type="dxa"/>
            </w:tcMar>
            <w:vAlign w:val="center"/>
          </w:tcPr>
          <w:p w14:paraId="62BFBCF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10.17</w:t>
            </w:r>
          </w:p>
        </w:tc>
        <w:tc>
          <w:tcPr>
            <w:tcW w:w="1549" w:type="pct"/>
            <w:tcBorders>
              <w:top w:val="nil"/>
              <w:left w:val="nil"/>
              <w:bottom w:val="single" w:color="auto" w:sz="12" w:space="0"/>
              <w:right w:val="nil"/>
            </w:tcBorders>
            <w:noWrap w:val="0"/>
            <w:tcMar>
              <w:top w:w="60" w:type="dxa"/>
              <w:left w:w="120" w:type="dxa"/>
              <w:bottom w:w="30" w:type="dxa"/>
              <w:right w:w="120" w:type="dxa"/>
            </w:tcMar>
            <w:vAlign w:val="center"/>
          </w:tcPr>
          <w:p w14:paraId="15C3AFF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highlight w:val="none"/>
                <w:lang w:val="en-US" w:eastAsia="zh-CN"/>
              </w:rPr>
            </w:pPr>
            <w:r>
              <w:rPr>
                <w:rFonts w:hint="eastAsia" w:ascii="宋体" w:hAnsi="宋体" w:eastAsia="宋体" w:cs="宋体"/>
                <w:sz w:val="18"/>
                <w:szCs w:val="18"/>
                <w:highlight w:val="none"/>
              </w:rPr>
              <w:t>7</w:t>
            </w:r>
            <w:r>
              <w:rPr>
                <w:rFonts w:hint="eastAsia" w:ascii="宋体" w:hAnsi="宋体" w:eastAsia="宋体" w:cs="宋体"/>
                <w:sz w:val="18"/>
                <w:szCs w:val="18"/>
                <w:highlight w:val="none"/>
                <w:lang w:val="en-US" w:eastAsia="zh-CN"/>
              </w:rPr>
              <w:t>.33</w:t>
            </w:r>
          </w:p>
        </w:tc>
      </w:tr>
    </w:tbl>
    <w:p w14:paraId="4C292F39">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注：煤消耗量基于</w:t>
      </w:r>
      <w:r>
        <w:rPr>
          <w:rFonts w:hint="eastAsia" w:ascii="宋体" w:hAnsi="宋体" w:eastAsia="宋体" w:cs="宋体"/>
          <w:sz w:val="21"/>
          <w:szCs w:val="21"/>
          <w:lang w:eastAsia="zh-CN"/>
        </w:rPr>
        <w:t>现有</w:t>
      </w:r>
      <w:r>
        <w:rPr>
          <w:rFonts w:hint="eastAsia" w:ascii="宋体" w:hAnsi="宋体" w:eastAsia="宋体" w:cs="宋体"/>
          <w:sz w:val="21"/>
          <w:szCs w:val="21"/>
        </w:rPr>
        <w:t>熟料及标准煤热值推算，仅供工程设计参考，实际煤消耗量可根据生产工况、燃料品质进行调整。</w:t>
      </w:r>
    </w:p>
    <w:p w14:paraId="111136B4">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6" w:name="heading_16"/>
      <w:r>
        <w:rPr>
          <w:rFonts w:hint="eastAsia" w:ascii="宋体" w:hAnsi="宋体" w:eastAsia="宋体" w:cs="宋体"/>
          <w:b/>
          <w:sz w:val="21"/>
          <w:szCs w:val="21"/>
        </w:rPr>
        <w:t>3.5 热工参数确定与分析</w:t>
      </w:r>
      <w:bookmarkEnd w:id="16"/>
    </w:p>
    <w:p w14:paraId="6583210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结合现有典型石膏制硫酸联产水泥分解窑热工实测数据，类比五种规格窑体的生产能力与结构特点，确定各规格窑体的关键热工参数，主要包括容积热力强度、截面热力强度、表面积热力强度，具体结果如表5所示。</w:t>
      </w:r>
    </w:p>
    <w:tbl>
      <w:tblPr>
        <w:tblStyle w:val="18"/>
        <w:tblW w:w="4998" w:type="pct"/>
        <w:jc w:val="center"/>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Layout w:type="autofit"/>
        <w:tblCellMar>
          <w:top w:w="0" w:type="dxa"/>
          <w:left w:w="10" w:type="dxa"/>
          <w:bottom w:w="0" w:type="dxa"/>
          <w:right w:w="10" w:type="dxa"/>
        </w:tblCellMar>
      </w:tblPr>
      <w:tblGrid>
        <w:gridCol w:w="2311"/>
        <w:gridCol w:w="2134"/>
        <w:gridCol w:w="2293"/>
        <w:gridCol w:w="2230"/>
      </w:tblGrid>
      <w:tr w14:paraId="21F62550">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tblHeader/>
          <w:jc w:val="center"/>
        </w:trPr>
        <w:tc>
          <w:tcPr>
            <w:tcW w:w="1288" w:type="pct"/>
            <w:tcBorders>
              <w:top w:val="single" w:color="auto" w:sz="12" w:space="0"/>
              <w:left w:val="nil"/>
              <w:bottom w:val="nil"/>
              <w:right w:val="nil"/>
            </w:tcBorders>
            <w:noWrap w:val="0"/>
            <w:tcMar>
              <w:top w:w="60" w:type="dxa"/>
              <w:left w:w="120" w:type="dxa"/>
              <w:bottom w:w="30" w:type="dxa"/>
              <w:right w:w="120" w:type="dxa"/>
            </w:tcMar>
            <w:vAlign w:val="center"/>
          </w:tcPr>
          <w:p w14:paraId="2578FE3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窑体规格</w:t>
            </w:r>
          </w:p>
          <w:p w14:paraId="718531C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both"/>
              <w:textAlignment w:val="auto"/>
              <w:rPr>
                <w:rFonts w:hint="eastAsia" w:ascii="宋体" w:hAnsi="宋体" w:eastAsia="宋体" w:cs="宋体"/>
                <w:b/>
                <w:sz w:val="18"/>
                <w:szCs w:val="18"/>
              </w:rPr>
            </w:pPr>
            <w:r>
              <w:rPr>
                <w:rFonts w:hint="eastAsia" w:ascii="宋体" w:hAnsi="宋体" w:eastAsia="宋体" w:cs="宋体"/>
                <w:b/>
                <w:sz w:val="18"/>
                <w:szCs w:val="18"/>
              </w:rPr>
              <w:t>（公称直径×长度）</w:t>
            </w:r>
          </w:p>
        </w:tc>
        <w:tc>
          <w:tcPr>
            <w:tcW w:w="1189" w:type="pct"/>
            <w:tcBorders>
              <w:top w:val="single" w:color="auto" w:sz="12" w:space="0"/>
              <w:left w:val="nil"/>
              <w:bottom w:val="nil"/>
              <w:right w:val="nil"/>
            </w:tcBorders>
            <w:noWrap w:val="0"/>
            <w:tcMar>
              <w:top w:w="60" w:type="dxa"/>
              <w:left w:w="120" w:type="dxa"/>
              <w:bottom w:w="30" w:type="dxa"/>
              <w:right w:w="120" w:type="dxa"/>
            </w:tcMar>
            <w:vAlign w:val="center"/>
          </w:tcPr>
          <w:p w14:paraId="15B1217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容积热力强度qᵥ</w:t>
            </w:r>
          </w:p>
          <w:p w14:paraId="5D01CDF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kJ/m³·h</w:t>
            </w:r>
          </w:p>
        </w:tc>
        <w:tc>
          <w:tcPr>
            <w:tcW w:w="1278" w:type="pct"/>
            <w:tcBorders>
              <w:top w:val="single" w:color="auto" w:sz="12" w:space="0"/>
              <w:left w:val="nil"/>
              <w:bottom w:val="nil"/>
              <w:right w:val="nil"/>
            </w:tcBorders>
            <w:noWrap w:val="0"/>
            <w:tcMar>
              <w:top w:w="60" w:type="dxa"/>
              <w:left w:w="120" w:type="dxa"/>
              <w:bottom w:w="30" w:type="dxa"/>
              <w:right w:w="120" w:type="dxa"/>
            </w:tcMar>
            <w:vAlign w:val="center"/>
          </w:tcPr>
          <w:p w14:paraId="0ED97256">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lang w:val="en-US" w:eastAsia="zh-CN"/>
              </w:rPr>
            </w:pPr>
            <w:r>
              <w:rPr>
                <w:rFonts w:hint="eastAsia" w:ascii="宋体" w:hAnsi="宋体" w:eastAsia="宋体" w:cs="宋体"/>
                <w:b/>
                <w:sz w:val="18"/>
                <w:szCs w:val="18"/>
              </w:rPr>
              <w:t>截面热力强度q</w:t>
            </w:r>
            <w:r>
              <w:rPr>
                <w:rFonts w:hint="eastAsia" w:ascii="宋体" w:hAnsi="宋体" w:eastAsia="宋体" w:cs="宋体"/>
                <w:b/>
                <w:sz w:val="18"/>
                <w:szCs w:val="18"/>
                <w:vertAlign w:val="subscript"/>
                <w:lang w:val="en-US" w:eastAsia="zh-CN"/>
              </w:rPr>
              <w:t>A</w:t>
            </w:r>
          </w:p>
          <w:p w14:paraId="222B94B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kJ/m²·h</w:t>
            </w:r>
          </w:p>
        </w:tc>
        <w:tc>
          <w:tcPr>
            <w:tcW w:w="1243" w:type="pct"/>
            <w:tcBorders>
              <w:top w:val="single" w:color="auto" w:sz="12" w:space="0"/>
              <w:left w:val="nil"/>
              <w:bottom w:val="nil"/>
              <w:right w:val="nil"/>
            </w:tcBorders>
            <w:noWrap w:val="0"/>
            <w:tcMar>
              <w:top w:w="60" w:type="dxa"/>
              <w:left w:w="120" w:type="dxa"/>
              <w:bottom w:w="30" w:type="dxa"/>
              <w:right w:w="120" w:type="dxa"/>
            </w:tcMar>
            <w:vAlign w:val="center"/>
          </w:tcPr>
          <w:p w14:paraId="628EFF3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lang w:val="en-US" w:eastAsia="zh-CN"/>
              </w:rPr>
            </w:pPr>
            <w:r>
              <w:rPr>
                <w:rFonts w:hint="eastAsia" w:ascii="宋体" w:hAnsi="宋体" w:eastAsia="宋体" w:cs="宋体"/>
                <w:b/>
                <w:sz w:val="18"/>
                <w:szCs w:val="18"/>
              </w:rPr>
              <w:t>表面积热力强度q</w:t>
            </w:r>
            <w:r>
              <w:rPr>
                <w:rFonts w:hint="eastAsia" w:ascii="宋体" w:hAnsi="宋体" w:eastAsia="宋体" w:cs="宋体"/>
                <w:b/>
                <w:sz w:val="18"/>
                <w:szCs w:val="18"/>
                <w:vertAlign w:val="subscript"/>
                <w:lang w:val="en-US" w:eastAsia="zh-CN"/>
              </w:rPr>
              <w:t>F</w:t>
            </w:r>
          </w:p>
          <w:p w14:paraId="0E91D00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sz w:val="18"/>
                <w:szCs w:val="18"/>
              </w:rPr>
            </w:pPr>
            <w:r>
              <w:rPr>
                <w:rFonts w:hint="eastAsia" w:ascii="宋体" w:hAnsi="宋体" w:eastAsia="宋体" w:cs="宋体"/>
                <w:b/>
                <w:sz w:val="18"/>
                <w:szCs w:val="18"/>
              </w:rPr>
              <w:t>kJ/m²·h</w:t>
            </w:r>
          </w:p>
        </w:tc>
      </w:tr>
      <w:tr w14:paraId="2EF18FC2">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88" w:type="pct"/>
            <w:tcBorders>
              <w:top w:val="single" w:color="auto" w:sz="4" w:space="0"/>
              <w:left w:val="nil"/>
              <w:bottom w:val="nil"/>
              <w:right w:val="nil"/>
            </w:tcBorders>
            <w:noWrap w:val="0"/>
            <w:tcMar>
              <w:top w:w="60" w:type="dxa"/>
              <w:left w:w="120" w:type="dxa"/>
              <w:bottom w:w="30" w:type="dxa"/>
              <w:right w:w="120" w:type="dxa"/>
            </w:tcMar>
            <w:vAlign w:val="center"/>
          </w:tcPr>
          <w:p w14:paraId="33326929">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w:t>
            </w:r>
            <w:r>
              <w:rPr>
                <w:rFonts w:hint="eastAsia" w:ascii="宋体" w:hAnsi="宋体" w:eastAsia="宋体" w:cs="宋体"/>
                <w:sz w:val="18"/>
                <w:szCs w:val="18"/>
                <w:lang w:val="en-US" w:eastAsia="zh-CN"/>
              </w:rPr>
              <w:t>.0</w:t>
            </w:r>
            <w:r>
              <w:rPr>
                <w:rFonts w:hint="eastAsia" w:ascii="宋体" w:hAnsi="宋体" w:eastAsia="宋体" w:cs="宋体"/>
                <w:sz w:val="18"/>
                <w:szCs w:val="18"/>
              </w:rPr>
              <w:t>×75m</w:t>
            </w:r>
          </w:p>
        </w:tc>
        <w:tc>
          <w:tcPr>
            <w:tcW w:w="1189" w:type="pct"/>
            <w:tcBorders>
              <w:top w:val="single" w:color="auto" w:sz="4" w:space="0"/>
              <w:left w:val="nil"/>
              <w:bottom w:val="nil"/>
              <w:right w:val="nil"/>
            </w:tcBorders>
            <w:noWrap w:val="0"/>
            <w:tcMar>
              <w:top w:w="60" w:type="dxa"/>
              <w:left w:w="120" w:type="dxa"/>
              <w:bottom w:w="30" w:type="dxa"/>
              <w:right w:w="120" w:type="dxa"/>
            </w:tcMar>
            <w:vAlign w:val="center"/>
          </w:tcPr>
          <w:p w14:paraId="4D41708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lang w:val="en-US" w:eastAsia="zh-CN"/>
              </w:rPr>
            </w:pPr>
            <w:r>
              <w:rPr>
                <w:rFonts w:hint="eastAsia" w:ascii="宋体" w:hAnsi="宋体" w:eastAsia="宋体" w:cs="宋体"/>
                <w:sz w:val="18"/>
                <w:szCs w:val="18"/>
                <w:lang w:val="en-US" w:eastAsia="zh-CN"/>
              </w:rPr>
              <w:t>0.11×10</w:t>
            </w:r>
            <w:r>
              <w:rPr>
                <w:rFonts w:hint="eastAsia" w:ascii="宋体" w:hAnsi="宋体" w:eastAsia="宋体" w:cs="宋体"/>
                <w:sz w:val="18"/>
                <w:szCs w:val="18"/>
                <w:vertAlign w:val="superscript"/>
                <w:lang w:val="en-US" w:eastAsia="zh-CN"/>
              </w:rPr>
              <w:t>6</w:t>
            </w:r>
          </w:p>
        </w:tc>
        <w:tc>
          <w:tcPr>
            <w:tcW w:w="1278" w:type="pct"/>
            <w:tcBorders>
              <w:top w:val="single" w:color="auto" w:sz="4" w:space="0"/>
              <w:left w:val="nil"/>
              <w:bottom w:val="nil"/>
              <w:right w:val="nil"/>
            </w:tcBorders>
            <w:noWrap w:val="0"/>
            <w:tcMar>
              <w:top w:w="60" w:type="dxa"/>
              <w:left w:w="120" w:type="dxa"/>
              <w:bottom w:w="30" w:type="dxa"/>
              <w:right w:w="120" w:type="dxa"/>
            </w:tcMar>
            <w:vAlign w:val="center"/>
          </w:tcPr>
          <w:p w14:paraId="2D802DB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7.98×10</w:t>
            </w:r>
            <w:r>
              <w:rPr>
                <w:rFonts w:hint="eastAsia" w:ascii="宋体" w:hAnsi="宋体" w:eastAsia="宋体" w:cs="宋体"/>
                <w:sz w:val="18"/>
                <w:szCs w:val="18"/>
                <w:vertAlign w:val="superscript"/>
                <w:lang w:val="en-US" w:eastAsia="zh-CN"/>
              </w:rPr>
              <w:t>6</w:t>
            </w:r>
          </w:p>
        </w:tc>
        <w:tc>
          <w:tcPr>
            <w:tcW w:w="1243" w:type="pct"/>
            <w:tcBorders>
              <w:top w:val="single" w:color="auto" w:sz="4" w:space="0"/>
              <w:left w:val="nil"/>
              <w:bottom w:val="nil"/>
              <w:right w:val="nil"/>
            </w:tcBorders>
            <w:noWrap w:val="0"/>
            <w:tcMar>
              <w:top w:w="60" w:type="dxa"/>
              <w:left w:w="120" w:type="dxa"/>
              <w:bottom w:w="30" w:type="dxa"/>
              <w:right w:w="120" w:type="dxa"/>
            </w:tcMar>
            <w:vAlign w:val="center"/>
          </w:tcPr>
          <w:p w14:paraId="0F697963">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0.094×10</w:t>
            </w:r>
            <w:r>
              <w:rPr>
                <w:rFonts w:hint="eastAsia" w:ascii="宋体" w:hAnsi="宋体" w:eastAsia="宋体" w:cs="宋体"/>
                <w:sz w:val="18"/>
                <w:szCs w:val="18"/>
                <w:vertAlign w:val="superscript"/>
                <w:lang w:val="en-US" w:eastAsia="zh-CN"/>
              </w:rPr>
              <w:t>6</w:t>
            </w:r>
          </w:p>
        </w:tc>
      </w:tr>
      <w:tr w14:paraId="173496F2">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88" w:type="pct"/>
            <w:tcBorders>
              <w:top w:val="nil"/>
              <w:left w:val="nil"/>
              <w:bottom w:val="nil"/>
              <w:right w:val="nil"/>
            </w:tcBorders>
            <w:noWrap w:val="0"/>
            <w:tcMar>
              <w:top w:w="60" w:type="dxa"/>
              <w:left w:w="120" w:type="dxa"/>
              <w:bottom w:w="30" w:type="dxa"/>
              <w:right w:w="120" w:type="dxa"/>
            </w:tcMar>
            <w:vAlign w:val="center"/>
          </w:tcPr>
          <w:p w14:paraId="76AE6FA5">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φ4.5×90m</w:t>
            </w:r>
          </w:p>
        </w:tc>
        <w:tc>
          <w:tcPr>
            <w:tcW w:w="1189" w:type="pct"/>
            <w:tcBorders>
              <w:top w:val="nil"/>
              <w:left w:val="nil"/>
              <w:bottom w:val="nil"/>
              <w:right w:val="nil"/>
            </w:tcBorders>
            <w:noWrap w:val="0"/>
            <w:tcMar>
              <w:top w:w="60" w:type="dxa"/>
              <w:left w:w="120" w:type="dxa"/>
              <w:bottom w:w="30" w:type="dxa"/>
              <w:right w:w="120" w:type="dxa"/>
            </w:tcMar>
            <w:vAlign w:val="center"/>
          </w:tcPr>
          <w:p w14:paraId="584A106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0.11×10</w:t>
            </w:r>
            <w:r>
              <w:rPr>
                <w:rFonts w:hint="eastAsia" w:ascii="宋体" w:hAnsi="宋体" w:eastAsia="宋体" w:cs="宋体"/>
                <w:sz w:val="18"/>
                <w:szCs w:val="18"/>
                <w:vertAlign w:val="superscript"/>
                <w:lang w:val="en-US" w:eastAsia="zh-CN"/>
              </w:rPr>
              <w:t>6</w:t>
            </w:r>
          </w:p>
        </w:tc>
        <w:tc>
          <w:tcPr>
            <w:tcW w:w="1278" w:type="pct"/>
            <w:tcBorders>
              <w:top w:val="nil"/>
              <w:left w:val="nil"/>
              <w:bottom w:val="nil"/>
              <w:right w:val="nil"/>
            </w:tcBorders>
            <w:noWrap w:val="0"/>
            <w:tcMar>
              <w:top w:w="60" w:type="dxa"/>
              <w:left w:w="120" w:type="dxa"/>
              <w:bottom w:w="30" w:type="dxa"/>
              <w:right w:w="120" w:type="dxa"/>
            </w:tcMar>
            <w:vAlign w:val="center"/>
          </w:tcPr>
          <w:p w14:paraId="6DFA59E0">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10.76×10</w:t>
            </w:r>
            <w:r>
              <w:rPr>
                <w:rFonts w:hint="eastAsia" w:ascii="宋体" w:hAnsi="宋体" w:eastAsia="宋体" w:cs="宋体"/>
                <w:sz w:val="18"/>
                <w:szCs w:val="18"/>
                <w:vertAlign w:val="superscript"/>
                <w:lang w:val="en-US" w:eastAsia="zh-CN"/>
              </w:rPr>
              <w:t>6</w:t>
            </w:r>
          </w:p>
        </w:tc>
        <w:tc>
          <w:tcPr>
            <w:tcW w:w="1243" w:type="pct"/>
            <w:tcBorders>
              <w:top w:val="nil"/>
              <w:left w:val="nil"/>
              <w:bottom w:val="nil"/>
              <w:right w:val="nil"/>
            </w:tcBorders>
            <w:noWrap w:val="0"/>
            <w:tcMar>
              <w:top w:w="60" w:type="dxa"/>
              <w:left w:w="120" w:type="dxa"/>
              <w:bottom w:w="30" w:type="dxa"/>
              <w:right w:w="120" w:type="dxa"/>
            </w:tcMar>
            <w:vAlign w:val="center"/>
          </w:tcPr>
          <w:p w14:paraId="1E77F1A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0.119×10</w:t>
            </w:r>
            <w:r>
              <w:rPr>
                <w:rFonts w:hint="eastAsia" w:ascii="宋体" w:hAnsi="宋体" w:eastAsia="宋体" w:cs="宋体"/>
                <w:sz w:val="18"/>
                <w:szCs w:val="18"/>
                <w:vertAlign w:val="superscript"/>
                <w:lang w:val="en-US" w:eastAsia="zh-CN"/>
              </w:rPr>
              <w:t>6</w:t>
            </w:r>
          </w:p>
        </w:tc>
      </w:tr>
      <w:tr w14:paraId="2990AD56">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88" w:type="pct"/>
            <w:tcBorders>
              <w:top w:val="nil"/>
              <w:left w:val="nil"/>
              <w:bottom w:val="nil"/>
              <w:right w:val="nil"/>
            </w:tcBorders>
            <w:noWrap w:val="0"/>
            <w:tcMar>
              <w:top w:w="60" w:type="dxa"/>
              <w:left w:w="120" w:type="dxa"/>
              <w:bottom w:w="30" w:type="dxa"/>
              <w:right w:w="120" w:type="dxa"/>
            </w:tcMar>
            <w:vAlign w:val="center"/>
          </w:tcPr>
          <w:p w14:paraId="7D40A70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φ5.2×100m</w:t>
            </w:r>
          </w:p>
        </w:tc>
        <w:tc>
          <w:tcPr>
            <w:tcW w:w="1189" w:type="pct"/>
            <w:tcBorders>
              <w:top w:val="nil"/>
              <w:left w:val="nil"/>
              <w:bottom w:val="nil"/>
              <w:right w:val="nil"/>
            </w:tcBorders>
            <w:noWrap w:val="0"/>
            <w:tcMar>
              <w:top w:w="60" w:type="dxa"/>
              <w:left w:w="120" w:type="dxa"/>
              <w:bottom w:w="30" w:type="dxa"/>
              <w:right w:w="120" w:type="dxa"/>
            </w:tcMar>
            <w:vAlign w:val="center"/>
          </w:tcPr>
          <w:p w14:paraId="1C08A96D">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0.12×10</w:t>
            </w:r>
            <w:r>
              <w:rPr>
                <w:rFonts w:hint="eastAsia" w:ascii="宋体" w:hAnsi="宋体" w:eastAsia="宋体" w:cs="宋体"/>
                <w:sz w:val="18"/>
                <w:szCs w:val="18"/>
                <w:vertAlign w:val="superscript"/>
                <w:lang w:val="en-US" w:eastAsia="zh-CN"/>
              </w:rPr>
              <w:t>6</w:t>
            </w:r>
          </w:p>
        </w:tc>
        <w:tc>
          <w:tcPr>
            <w:tcW w:w="1278" w:type="pct"/>
            <w:tcBorders>
              <w:top w:val="nil"/>
              <w:left w:val="nil"/>
              <w:bottom w:val="nil"/>
              <w:right w:val="nil"/>
            </w:tcBorders>
            <w:noWrap w:val="0"/>
            <w:tcMar>
              <w:top w:w="60" w:type="dxa"/>
              <w:left w:w="120" w:type="dxa"/>
              <w:bottom w:w="30" w:type="dxa"/>
              <w:right w:w="120" w:type="dxa"/>
            </w:tcMar>
            <w:vAlign w:val="center"/>
          </w:tcPr>
          <w:p w14:paraId="0389B72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12.40×10</w:t>
            </w:r>
            <w:r>
              <w:rPr>
                <w:rFonts w:hint="eastAsia" w:ascii="宋体" w:hAnsi="宋体" w:eastAsia="宋体" w:cs="宋体"/>
                <w:sz w:val="18"/>
                <w:szCs w:val="18"/>
                <w:vertAlign w:val="superscript"/>
                <w:lang w:val="en-US" w:eastAsia="zh-CN"/>
              </w:rPr>
              <w:t>6</w:t>
            </w:r>
          </w:p>
        </w:tc>
        <w:tc>
          <w:tcPr>
            <w:tcW w:w="1243" w:type="pct"/>
            <w:tcBorders>
              <w:top w:val="nil"/>
              <w:left w:val="nil"/>
              <w:bottom w:val="nil"/>
              <w:right w:val="nil"/>
            </w:tcBorders>
            <w:noWrap w:val="0"/>
            <w:tcMar>
              <w:top w:w="60" w:type="dxa"/>
              <w:left w:w="120" w:type="dxa"/>
              <w:bottom w:w="30" w:type="dxa"/>
              <w:right w:w="120" w:type="dxa"/>
            </w:tcMar>
            <w:vAlign w:val="center"/>
          </w:tcPr>
          <w:p w14:paraId="0559A25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0.146×10</w:t>
            </w:r>
            <w:r>
              <w:rPr>
                <w:rFonts w:hint="eastAsia" w:ascii="宋体" w:hAnsi="宋体" w:eastAsia="宋体" w:cs="宋体"/>
                <w:sz w:val="18"/>
                <w:szCs w:val="18"/>
                <w:vertAlign w:val="superscript"/>
                <w:lang w:val="en-US" w:eastAsia="zh-CN"/>
              </w:rPr>
              <w:t>6</w:t>
            </w:r>
          </w:p>
        </w:tc>
      </w:tr>
      <w:tr w14:paraId="313A9541">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88" w:type="pct"/>
            <w:tcBorders>
              <w:top w:val="nil"/>
              <w:left w:val="nil"/>
              <w:bottom w:val="nil"/>
              <w:right w:val="nil"/>
            </w:tcBorders>
            <w:noWrap w:val="0"/>
            <w:tcMar>
              <w:top w:w="60" w:type="dxa"/>
              <w:left w:w="120" w:type="dxa"/>
              <w:bottom w:w="30" w:type="dxa"/>
              <w:right w:w="120" w:type="dxa"/>
            </w:tcMar>
            <w:vAlign w:val="center"/>
          </w:tcPr>
          <w:p w14:paraId="254D2DEC">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φ5.5×110m</w:t>
            </w:r>
          </w:p>
        </w:tc>
        <w:tc>
          <w:tcPr>
            <w:tcW w:w="1189" w:type="pct"/>
            <w:tcBorders>
              <w:top w:val="nil"/>
              <w:left w:val="nil"/>
              <w:bottom w:val="nil"/>
              <w:right w:val="nil"/>
            </w:tcBorders>
            <w:noWrap w:val="0"/>
            <w:tcMar>
              <w:top w:w="60" w:type="dxa"/>
              <w:left w:w="120" w:type="dxa"/>
              <w:bottom w:w="30" w:type="dxa"/>
              <w:right w:w="120" w:type="dxa"/>
            </w:tcMar>
            <w:vAlign w:val="center"/>
          </w:tcPr>
          <w:p w14:paraId="74E6DE58">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0.125×10</w:t>
            </w:r>
            <w:r>
              <w:rPr>
                <w:rFonts w:hint="eastAsia" w:ascii="宋体" w:hAnsi="宋体" w:eastAsia="宋体" w:cs="宋体"/>
                <w:sz w:val="18"/>
                <w:szCs w:val="18"/>
                <w:vertAlign w:val="superscript"/>
                <w:lang w:val="en-US" w:eastAsia="zh-CN"/>
              </w:rPr>
              <w:t>6</w:t>
            </w:r>
          </w:p>
        </w:tc>
        <w:tc>
          <w:tcPr>
            <w:tcW w:w="1278" w:type="pct"/>
            <w:tcBorders>
              <w:top w:val="nil"/>
              <w:left w:val="nil"/>
              <w:bottom w:val="nil"/>
              <w:right w:val="nil"/>
            </w:tcBorders>
            <w:noWrap w:val="0"/>
            <w:tcMar>
              <w:top w:w="60" w:type="dxa"/>
              <w:left w:w="120" w:type="dxa"/>
              <w:bottom w:w="30" w:type="dxa"/>
              <w:right w:w="120" w:type="dxa"/>
            </w:tcMar>
            <w:vAlign w:val="center"/>
          </w:tcPr>
          <w:p w14:paraId="6559EE77">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13.79×10</w:t>
            </w:r>
            <w:r>
              <w:rPr>
                <w:rFonts w:hint="eastAsia" w:ascii="宋体" w:hAnsi="宋体" w:eastAsia="宋体" w:cs="宋体"/>
                <w:sz w:val="18"/>
                <w:szCs w:val="18"/>
                <w:vertAlign w:val="superscript"/>
                <w:lang w:val="en-US" w:eastAsia="zh-CN"/>
              </w:rPr>
              <w:t>6</w:t>
            </w:r>
          </w:p>
        </w:tc>
        <w:tc>
          <w:tcPr>
            <w:tcW w:w="1243" w:type="pct"/>
            <w:tcBorders>
              <w:top w:val="nil"/>
              <w:left w:val="nil"/>
              <w:bottom w:val="nil"/>
              <w:right w:val="nil"/>
            </w:tcBorders>
            <w:noWrap w:val="0"/>
            <w:tcMar>
              <w:top w:w="60" w:type="dxa"/>
              <w:left w:w="120" w:type="dxa"/>
              <w:bottom w:w="30" w:type="dxa"/>
              <w:right w:w="120" w:type="dxa"/>
            </w:tcMar>
            <w:vAlign w:val="center"/>
          </w:tcPr>
          <w:p w14:paraId="16B831FB">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lang w:val="en-US" w:eastAsia="zh-CN"/>
              </w:rPr>
              <w:t>0.157×10</w:t>
            </w:r>
            <w:r>
              <w:rPr>
                <w:rFonts w:hint="eastAsia" w:ascii="宋体" w:hAnsi="宋体" w:eastAsia="宋体" w:cs="宋体"/>
                <w:sz w:val="18"/>
                <w:szCs w:val="18"/>
                <w:vertAlign w:val="superscript"/>
                <w:lang w:val="en-US" w:eastAsia="zh-CN"/>
              </w:rPr>
              <w:t>6</w:t>
            </w:r>
          </w:p>
        </w:tc>
      </w:tr>
      <w:tr w14:paraId="14B94D0F">
        <w:tblPrEx>
          <w:tblBorders>
            <w:top w:val="none" w:color="DEE0E3" w:sz="0" w:space="0"/>
            <w:left w:val="none" w:color="DEE0E3" w:sz="0" w:space="0"/>
            <w:bottom w:val="none" w:color="DEE0E3" w:sz="0" w:space="0"/>
            <w:right w:val="none" w:color="DEE0E3" w:sz="0" w:space="0"/>
            <w:insideH w:val="none" w:color="DEE0E3" w:sz="0" w:space="0"/>
            <w:insideV w:val="none" w:color="DEE0E3" w:sz="0" w:space="0"/>
          </w:tblBorders>
          <w:tblCellMar>
            <w:top w:w="0" w:type="dxa"/>
            <w:left w:w="10" w:type="dxa"/>
            <w:bottom w:w="0" w:type="dxa"/>
            <w:right w:w="10" w:type="dxa"/>
          </w:tblCellMar>
        </w:tblPrEx>
        <w:trPr>
          <w:trHeight w:val="0" w:hRule="atLeast"/>
          <w:jc w:val="center"/>
        </w:trPr>
        <w:tc>
          <w:tcPr>
            <w:tcW w:w="1288" w:type="pct"/>
            <w:tcBorders>
              <w:top w:val="nil"/>
              <w:left w:val="nil"/>
              <w:bottom w:val="single" w:color="auto" w:sz="12" w:space="0"/>
              <w:right w:val="nil"/>
            </w:tcBorders>
            <w:noWrap w:val="0"/>
            <w:tcMar>
              <w:top w:w="60" w:type="dxa"/>
              <w:left w:w="120" w:type="dxa"/>
              <w:bottom w:w="30" w:type="dxa"/>
              <w:right w:w="120" w:type="dxa"/>
            </w:tcMar>
            <w:vAlign w:val="center"/>
          </w:tcPr>
          <w:p w14:paraId="1E21D24A">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sz w:val="18"/>
                <w:szCs w:val="18"/>
              </w:rPr>
            </w:pPr>
            <w:r>
              <w:rPr>
                <w:rFonts w:hint="eastAsia" w:ascii="宋体" w:hAnsi="宋体" w:eastAsia="宋体" w:cs="宋体"/>
                <w:sz w:val="18"/>
                <w:szCs w:val="18"/>
              </w:rPr>
              <w:t>Φ</w:t>
            </w:r>
            <w:r>
              <w:rPr>
                <w:rFonts w:hint="eastAsia" w:ascii="宋体" w:hAnsi="宋体" w:eastAsia="宋体" w:cs="宋体"/>
                <w:sz w:val="18"/>
                <w:szCs w:val="18"/>
                <w:lang w:val="en-US" w:eastAsia="zh-CN"/>
              </w:rPr>
              <w:t>5.6</w:t>
            </w:r>
            <w:r>
              <w:rPr>
                <w:rFonts w:hint="eastAsia" w:ascii="宋体" w:hAnsi="宋体" w:eastAsia="宋体" w:cs="宋体"/>
                <w:sz w:val="18"/>
                <w:szCs w:val="18"/>
              </w:rPr>
              <w:t>×120m</w:t>
            </w:r>
          </w:p>
        </w:tc>
        <w:tc>
          <w:tcPr>
            <w:tcW w:w="1189" w:type="pct"/>
            <w:tcBorders>
              <w:top w:val="nil"/>
              <w:left w:val="nil"/>
              <w:bottom w:val="single" w:color="auto" w:sz="12" w:space="0"/>
              <w:right w:val="nil"/>
            </w:tcBorders>
            <w:noWrap w:val="0"/>
            <w:tcMar>
              <w:top w:w="60" w:type="dxa"/>
              <w:left w:w="120" w:type="dxa"/>
              <w:bottom w:w="30" w:type="dxa"/>
              <w:right w:w="120" w:type="dxa"/>
            </w:tcMar>
            <w:vAlign w:val="center"/>
          </w:tcPr>
          <w:p w14:paraId="668FA622">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lang w:val="en-US" w:eastAsia="zh-CN"/>
              </w:rPr>
              <w:t>0.12×10</w:t>
            </w:r>
            <w:r>
              <w:rPr>
                <w:rFonts w:hint="eastAsia" w:ascii="宋体" w:hAnsi="宋体" w:eastAsia="宋体" w:cs="宋体"/>
                <w:b w:val="0"/>
                <w:bCs w:val="0"/>
                <w:sz w:val="18"/>
                <w:szCs w:val="18"/>
                <w:highlight w:val="none"/>
                <w:vertAlign w:val="superscript"/>
                <w:lang w:val="en-US" w:eastAsia="zh-CN"/>
              </w:rPr>
              <w:t>6</w:t>
            </w:r>
          </w:p>
        </w:tc>
        <w:tc>
          <w:tcPr>
            <w:tcW w:w="1278" w:type="pct"/>
            <w:tcBorders>
              <w:top w:val="nil"/>
              <w:left w:val="nil"/>
              <w:bottom w:val="single" w:color="auto" w:sz="12" w:space="0"/>
              <w:right w:val="nil"/>
            </w:tcBorders>
            <w:noWrap w:val="0"/>
            <w:tcMar>
              <w:top w:w="60" w:type="dxa"/>
              <w:left w:w="120" w:type="dxa"/>
              <w:bottom w:w="30" w:type="dxa"/>
              <w:right w:w="120" w:type="dxa"/>
            </w:tcMar>
            <w:vAlign w:val="center"/>
          </w:tcPr>
          <w:p w14:paraId="4BFD3C4E">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lang w:val="en-US" w:eastAsia="zh-CN"/>
              </w:rPr>
              <w:t>14.57×10</w:t>
            </w:r>
            <w:r>
              <w:rPr>
                <w:rFonts w:hint="eastAsia" w:ascii="宋体" w:hAnsi="宋体" w:eastAsia="宋体" w:cs="宋体"/>
                <w:b w:val="0"/>
                <w:bCs w:val="0"/>
                <w:sz w:val="18"/>
                <w:szCs w:val="18"/>
                <w:highlight w:val="none"/>
                <w:vertAlign w:val="superscript"/>
                <w:lang w:val="en-US" w:eastAsia="zh-CN"/>
              </w:rPr>
              <w:t>6</w:t>
            </w:r>
          </w:p>
        </w:tc>
        <w:tc>
          <w:tcPr>
            <w:tcW w:w="1243" w:type="pct"/>
            <w:tcBorders>
              <w:top w:val="nil"/>
              <w:left w:val="nil"/>
              <w:bottom w:val="single" w:color="auto" w:sz="12" w:space="0"/>
              <w:right w:val="nil"/>
            </w:tcBorders>
            <w:noWrap w:val="0"/>
            <w:tcMar>
              <w:top w:w="60" w:type="dxa"/>
              <w:left w:w="120" w:type="dxa"/>
              <w:bottom w:w="30" w:type="dxa"/>
              <w:right w:w="120" w:type="dxa"/>
            </w:tcMar>
            <w:vAlign w:val="center"/>
          </w:tcPr>
          <w:p w14:paraId="3C6955B4">
            <w:pPr>
              <w:keepNext w:val="0"/>
              <w:keepLines w:val="0"/>
              <w:pageBreakBefore w:val="0"/>
              <w:widowControl w:val="0"/>
              <w:kinsoku/>
              <w:wordWrap/>
              <w:overflowPunct/>
              <w:topLinePunct w:val="0"/>
              <w:autoSpaceDE/>
              <w:autoSpaceDN/>
              <w:bidi w:val="0"/>
              <w:adjustRightInd/>
              <w:snapToGrid w:val="0"/>
              <w:spacing w:line="400" w:lineRule="exact"/>
              <w:ind w:left="0" w:leftChars="0" w:right="0" w:rightChars="0" w:firstLine="0" w:firstLineChars="0"/>
              <w:jc w:val="center"/>
              <w:textAlignment w:val="auto"/>
              <w:rPr>
                <w:rFonts w:hint="eastAsia" w:ascii="宋体" w:hAnsi="宋体" w:eastAsia="宋体" w:cs="宋体"/>
                <w:b w:val="0"/>
                <w:bCs w:val="0"/>
                <w:sz w:val="18"/>
                <w:szCs w:val="18"/>
                <w:highlight w:val="none"/>
              </w:rPr>
            </w:pPr>
            <w:r>
              <w:rPr>
                <w:rFonts w:hint="eastAsia" w:ascii="宋体" w:hAnsi="宋体" w:eastAsia="宋体" w:cs="宋体"/>
                <w:b w:val="0"/>
                <w:bCs w:val="0"/>
                <w:sz w:val="18"/>
                <w:szCs w:val="18"/>
                <w:highlight w:val="none"/>
                <w:lang w:val="en-US" w:eastAsia="zh-CN"/>
              </w:rPr>
              <w:t>0.155×10</w:t>
            </w:r>
            <w:r>
              <w:rPr>
                <w:rFonts w:hint="eastAsia" w:ascii="宋体" w:hAnsi="宋体" w:eastAsia="宋体" w:cs="宋体"/>
                <w:b w:val="0"/>
                <w:bCs w:val="0"/>
                <w:sz w:val="18"/>
                <w:szCs w:val="18"/>
                <w:highlight w:val="none"/>
                <w:vertAlign w:val="superscript"/>
                <w:lang w:val="en-US" w:eastAsia="zh-CN"/>
              </w:rPr>
              <w:t>6</w:t>
            </w:r>
          </w:p>
        </w:tc>
      </w:tr>
    </w:tbl>
    <w:p w14:paraId="7815A77A">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分析可知，随着窑体规格（公称直径、长度）的增大，容积热力强度、截面热力强度、表面积热力强度均呈现缓慢上升态势。这主要是由于大型窑体的换热效率更高，窑体表面热损失相对较小，能够实现更高效的热量利用，与现有典型工程热工数据基本一致，验证了本次热工参数选取的合理性与可靠性。</w:t>
      </w:r>
    </w:p>
    <w:p w14:paraId="71D1D2DA">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17" w:name="heading_17"/>
      <w:r>
        <w:rPr>
          <w:rFonts w:hint="eastAsia" w:ascii="宋体" w:hAnsi="宋体" w:eastAsia="宋体" w:cs="宋体"/>
          <w:b/>
          <w:sz w:val="21"/>
          <w:szCs w:val="21"/>
        </w:rPr>
        <w:t>3.6 关键参数分析</w:t>
      </w:r>
      <w:bookmarkEnd w:id="17"/>
    </w:p>
    <w:p w14:paraId="2EE31414">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2"/>
        <w:rPr>
          <w:rFonts w:hint="eastAsia" w:ascii="宋体" w:hAnsi="宋体" w:eastAsia="宋体" w:cs="宋体"/>
          <w:sz w:val="21"/>
          <w:szCs w:val="21"/>
          <w:lang w:eastAsia="zh-CN"/>
        </w:rPr>
      </w:pPr>
      <w:bookmarkStart w:id="18" w:name="heading_18"/>
      <w:r>
        <w:rPr>
          <w:rFonts w:hint="eastAsia" w:ascii="宋体" w:hAnsi="宋体" w:eastAsia="宋体" w:cs="宋体"/>
          <w:b/>
          <w:sz w:val="21"/>
          <w:szCs w:val="21"/>
        </w:rPr>
        <w:t>3.6.1 长径比与物料停留时间的</w:t>
      </w:r>
      <w:bookmarkEnd w:id="18"/>
      <w:r>
        <w:rPr>
          <w:rFonts w:hint="eastAsia" w:ascii="宋体" w:hAnsi="宋体" w:eastAsia="宋体" w:cs="宋体"/>
          <w:b/>
          <w:sz w:val="21"/>
          <w:szCs w:val="21"/>
          <w:lang w:eastAsia="zh-CN"/>
        </w:rPr>
        <w:t>关系</w:t>
      </w:r>
    </w:p>
    <w:p w14:paraId="66761A2A">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五种规格窑体的长径比（L/D）分别为18.75（φ4×75m）、19.23（φ5.2×100m）、20.00（φ4.5×90m、φ5.5×110m）、2</w:t>
      </w:r>
      <w:r>
        <w:rPr>
          <w:rFonts w:hint="eastAsia" w:ascii="宋体" w:hAnsi="宋体" w:eastAsia="宋体" w:cs="宋体"/>
          <w:sz w:val="21"/>
          <w:szCs w:val="21"/>
          <w:lang w:val="en-US" w:eastAsia="zh-CN"/>
        </w:rPr>
        <w:t>1.42</w:t>
      </w:r>
      <w:r>
        <w:rPr>
          <w:rFonts w:hint="eastAsia" w:ascii="宋体" w:hAnsi="宋体" w:eastAsia="宋体" w:cs="宋体"/>
          <w:sz w:val="21"/>
          <w:szCs w:val="21"/>
        </w:rPr>
        <w:t>（φ</w:t>
      </w:r>
      <w:r>
        <w:rPr>
          <w:rFonts w:hint="eastAsia" w:ascii="宋体" w:hAnsi="宋体" w:eastAsia="宋体" w:cs="宋体"/>
          <w:sz w:val="21"/>
          <w:szCs w:val="21"/>
          <w:lang w:val="en-US" w:eastAsia="zh-CN"/>
        </w:rPr>
        <w:t>5.</w:t>
      </w:r>
      <w:r>
        <w:rPr>
          <w:rFonts w:hint="eastAsia" w:ascii="宋体" w:hAnsi="宋体" w:eastAsia="宋体" w:cs="宋体"/>
          <w:sz w:val="21"/>
          <w:szCs w:val="21"/>
        </w:rPr>
        <w:t>6×120m）。结合理论计算与工程实践经验，当长径比控制在18</w:t>
      </w:r>
      <w:r>
        <w:rPr>
          <w:rFonts w:hint="eastAsia" w:ascii="宋体" w:hAnsi="宋体" w:eastAsia="宋体" w:cs="宋体"/>
          <w:sz w:val="21"/>
          <w:szCs w:val="21"/>
          <w:lang w:eastAsia="zh-CN"/>
        </w:rPr>
        <w:t>～</w:t>
      </w:r>
      <w:r>
        <w:rPr>
          <w:rFonts w:hint="eastAsia" w:ascii="宋体" w:hAnsi="宋体" w:eastAsia="宋体" w:cs="宋体"/>
          <w:sz w:val="21"/>
          <w:szCs w:val="21"/>
        </w:rPr>
        <w:t>22之间时，能够保证半水石膏在窑内的停留时间达到</w:t>
      </w:r>
      <w:r>
        <w:rPr>
          <w:rFonts w:hint="eastAsia" w:ascii="宋体" w:hAnsi="宋体" w:eastAsia="宋体" w:cs="宋体"/>
          <w:sz w:val="21"/>
          <w:szCs w:val="21"/>
          <w:lang w:val="en-US" w:eastAsia="zh-CN"/>
        </w:rPr>
        <w:t>3</w:t>
      </w:r>
      <w:r>
        <w:rPr>
          <w:rFonts w:hint="eastAsia" w:ascii="宋体" w:hAnsi="宋体" w:eastAsia="宋体" w:cs="宋体"/>
          <w:sz w:val="21"/>
          <w:szCs w:val="21"/>
          <w:lang w:eastAsia="zh-CN"/>
        </w:rPr>
        <w:t>～</w:t>
      </w:r>
      <w:r>
        <w:rPr>
          <w:rFonts w:hint="eastAsia" w:ascii="宋体" w:hAnsi="宋体" w:eastAsia="宋体" w:cs="宋体"/>
          <w:sz w:val="21"/>
          <w:szCs w:val="21"/>
          <w:lang w:val="en-US" w:eastAsia="zh-CN"/>
        </w:rPr>
        <w:t>5</w:t>
      </w:r>
      <w:r>
        <w:rPr>
          <w:rFonts w:hint="eastAsia" w:ascii="宋体" w:hAnsi="宋体" w:eastAsia="宋体" w:cs="宋体"/>
          <w:sz w:val="21"/>
          <w:szCs w:val="21"/>
        </w:rPr>
        <w:t>小时，可充分满足磷石膏两步分解反应的时间要求，有效避免因物料停留时间不足导致的分解不充分、硫损失增加等生产问题。其中，φ4×75m窑体的长径比略低，但因其窑体长度与直径匹配合理，仍能满足物料停留时间要求，符合工程应用实际</w:t>
      </w:r>
      <w:r>
        <w:rPr>
          <w:rFonts w:hint="eastAsia" w:ascii="宋体" w:hAnsi="宋体" w:eastAsia="宋体" w:cs="宋体"/>
          <w:sz w:val="21"/>
          <w:szCs w:val="21"/>
          <w:lang w:eastAsia="zh-CN"/>
        </w:rPr>
        <w:t>，也经过了三十多年的生产验证</w:t>
      </w:r>
      <w:r>
        <w:rPr>
          <w:rFonts w:hint="eastAsia" w:ascii="宋体" w:hAnsi="宋体" w:eastAsia="宋体" w:cs="宋体"/>
          <w:sz w:val="21"/>
          <w:szCs w:val="21"/>
        </w:rPr>
        <w:t>。</w:t>
      </w:r>
    </w:p>
    <w:p w14:paraId="3F0497D8">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2"/>
        <w:rPr>
          <w:rFonts w:hint="eastAsia" w:ascii="宋体" w:hAnsi="宋体" w:eastAsia="宋体" w:cs="宋体"/>
          <w:sz w:val="21"/>
          <w:szCs w:val="21"/>
          <w:lang w:eastAsia="zh-CN"/>
        </w:rPr>
      </w:pPr>
      <w:bookmarkStart w:id="19" w:name="heading_19"/>
      <w:r>
        <w:rPr>
          <w:rFonts w:hint="eastAsia" w:ascii="宋体" w:hAnsi="宋体" w:eastAsia="宋体" w:cs="宋体"/>
          <w:b/>
          <w:sz w:val="21"/>
          <w:szCs w:val="21"/>
        </w:rPr>
        <w:t>3.6.2 生产能力与窑体规格的</w:t>
      </w:r>
      <w:bookmarkEnd w:id="19"/>
      <w:r>
        <w:rPr>
          <w:rFonts w:hint="eastAsia" w:ascii="宋体" w:hAnsi="宋体" w:eastAsia="宋体" w:cs="宋体"/>
          <w:b/>
          <w:sz w:val="21"/>
          <w:szCs w:val="21"/>
          <w:lang w:eastAsia="zh-CN"/>
        </w:rPr>
        <w:t>关系</w:t>
      </w:r>
    </w:p>
    <w:p w14:paraId="23BDDC18">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窑体生产能力与有效容积呈显著线性正相关，随着窑体公称直径与长度的增大，窑体有效容积显著增加，生产能力随之同步提升。例如，φ</w:t>
      </w:r>
      <w:r>
        <w:rPr>
          <w:rFonts w:hint="eastAsia" w:ascii="宋体" w:hAnsi="宋体" w:eastAsia="宋体" w:cs="宋体"/>
          <w:sz w:val="21"/>
          <w:szCs w:val="21"/>
          <w:lang w:val="en-US" w:eastAsia="zh-CN"/>
        </w:rPr>
        <w:t>5.</w:t>
      </w:r>
      <w:r>
        <w:rPr>
          <w:rFonts w:hint="eastAsia" w:ascii="宋体" w:hAnsi="宋体" w:eastAsia="宋体" w:cs="宋体"/>
          <w:sz w:val="21"/>
          <w:szCs w:val="21"/>
        </w:rPr>
        <w:t>6×120m窑体的有效容积（</w:t>
      </w:r>
      <w:r>
        <w:rPr>
          <w:rFonts w:hint="eastAsia" w:ascii="宋体" w:hAnsi="宋体" w:eastAsia="宋体" w:cs="宋体"/>
          <w:sz w:val="21"/>
          <w:szCs w:val="21"/>
          <w:lang w:val="en-US" w:eastAsia="zh-CN"/>
        </w:rPr>
        <w:t>2450.14</w:t>
      </w:r>
      <w:r>
        <w:rPr>
          <w:rFonts w:hint="eastAsia" w:ascii="宋体" w:hAnsi="宋体" w:eastAsia="宋体" w:cs="宋体"/>
          <w:sz w:val="21"/>
          <w:szCs w:val="21"/>
        </w:rPr>
        <w:t>m³）是φ4×75m窑体（</w:t>
      </w:r>
      <w:r>
        <w:rPr>
          <w:rFonts w:hint="eastAsia" w:ascii="宋体" w:hAnsi="宋体" w:eastAsia="宋体" w:cs="宋体"/>
          <w:sz w:val="21"/>
          <w:szCs w:val="21"/>
          <w:lang w:val="en-US" w:eastAsia="zh-CN"/>
        </w:rPr>
        <w:t>721.2</w:t>
      </w:r>
      <w:r>
        <w:rPr>
          <w:rFonts w:hint="eastAsia" w:ascii="宋体" w:hAnsi="宋体" w:eastAsia="宋体" w:cs="宋体"/>
          <w:sz w:val="21"/>
          <w:szCs w:val="21"/>
        </w:rPr>
        <w:t>m³）的</w:t>
      </w:r>
      <w:r>
        <w:rPr>
          <w:rFonts w:hint="eastAsia" w:ascii="宋体" w:hAnsi="宋体" w:eastAsia="宋体" w:cs="宋体"/>
          <w:sz w:val="21"/>
          <w:szCs w:val="21"/>
          <w:lang w:val="en-US" w:eastAsia="zh-CN"/>
        </w:rPr>
        <w:t>3.39</w:t>
      </w:r>
      <w:r>
        <w:rPr>
          <w:rFonts w:hint="eastAsia" w:ascii="宋体" w:hAnsi="宋体" w:eastAsia="宋体" w:cs="宋体"/>
          <w:sz w:val="21"/>
          <w:szCs w:val="21"/>
        </w:rPr>
        <w:t>倍，其小时生产能力（</w:t>
      </w:r>
      <w:r>
        <w:rPr>
          <w:rFonts w:hint="eastAsia" w:ascii="宋体" w:hAnsi="宋体" w:eastAsia="宋体" w:cs="宋体"/>
          <w:sz w:val="21"/>
          <w:szCs w:val="21"/>
          <w:lang w:val="en-US" w:eastAsia="zh-CN"/>
        </w:rPr>
        <w:t>55.55</w:t>
      </w:r>
      <w:r>
        <w:rPr>
          <w:rFonts w:hint="eastAsia" w:ascii="宋体" w:hAnsi="宋体" w:eastAsia="宋体" w:cs="宋体"/>
          <w:sz w:val="21"/>
          <w:szCs w:val="21"/>
        </w:rPr>
        <w:t>t/h）也是φ4×75m窑体（</w:t>
      </w:r>
      <w:r>
        <w:rPr>
          <w:rFonts w:hint="eastAsia" w:ascii="宋体" w:hAnsi="宋体" w:eastAsia="宋体" w:cs="宋体"/>
          <w:sz w:val="21"/>
          <w:szCs w:val="21"/>
          <w:lang w:val="en-US" w:eastAsia="zh-CN"/>
        </w:rPr>
        <w:t>14</w:t>
      </w:r>
      <w:r>
        <w:rPr>
          <w:rFonts w:hint="eastAsia" w:ascii="宋体" w:hAnsi="宋体" w:eastAsia="宋体" w:cs="宋体"/>
          <w:sz w:val="21"/>
          <w:szCs w:val="21"/>
        </w:rPr>
        <w:t>t/h）的</w:t>
      </w:r>
      <w:r>
        <w:rPr>
          <w:rFonts w:hint="eastAsia" w:ascii="宋体" w:hAnsi="宋体" w:eastAsia="宋体" w:cs="宋体"/>
          <w:sz w:val="21"/>
          <w:szCs w:val="21"/>
          <w:lang w:val="en-US" w:eastAsia="zh-CN"/>
        </w:rPr>
        <w:t>3.93</w:t>
      </w:r>
      <w:r>
        <w:rPr>
          <w:rFonts w:hint="eastAsia" w:ascii="宋体" w:hAnsi="宋体" w:eastAsia="宋体" w:cs="宋体"/>
          <w:sz w:val="21"/>
          <w:szCs w:val="21"/>
        </w:rPr>
        <w:t>倍，完全符合生产能力与有效容积的线性关联规律，验证了本次生产能力核算方法的合理性。</w:t>
      </w:r>
    </w:p>
    <w:p w14:paraId="2937CC8E">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2"/>
        <w:rPr>
          <w:rFonts w:hint="eastAsia" w:ascii="宋体" w:hAnsi="宋体" w:eastAsia="宋体" w:cs="宋体"/>
          <w:sz w:val="21"/>
          <w:szCs w:val="21"/>
        </w:rPr>
      </w:pPr>
      <w:bookmarkStart w:id="20" w:name="heading_20"/>
      <w:r>
        <w:rPr>
          <w:rFonts w:hint="eastAsia" w:ascii="宋体" w:hAnsi="宋体" w:eastAsia="宋体" w:cs="宋体"/>
          <w:b/>
          <w:sz w:val="21"/>
          <w:szCs w:val="21"/>
        </w:rPr>
        <w:t>3.6.3 产量参数的变化规律</w:t>
      </w:r>
      <w:bookmarkEnd w:id="20"/>
    </w:p>
    <w:p w14:paraId="64DAF82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截面产量与表面积产量均随窑体公称直径的增大而呈现稳步上升趋势，这是由于大型窑体的有效截面积与有效表面积更大，能够实现更高效的物料处理与热量交换，体现了大型窑体的生产效率优势。其中，截面产量从φ4×75m的</w:t>
      </w:r>
      <w:r>
        <w:rPr>
          <w:rFonts w:hint="eastAsia" w:ascii="宋体" w:hAnsi="宋体" w:eastAsia="宋体" w:cs="宋体"/>
          <w:sz w:val="21"/>
          <w:szCs w:val="21"/>
          <w:highlight w:val="none"/>
          <w:lang w:val="en-US" w:eastAsia="zh-CN"/>
        </w:rPr>
        <w:t>1.46</w:t>
      </w:r>
      <w:r>
        <w:rPr>
          <w:rFonts w:hint="eastAsia" w:ascii="宋体" w:hAnsi="宋体" w:eastAsia="宋体" w:cs="宋体"/>
          <w:sz w:val="21"/>
          <w:szCs w:val="21"/>
          <w:highlight w:val="none"/>
        </w:rPr>
        <w:t>t/m</w:t>
      </w:r>
      <w:r>
        <w:rPr>
          <w:rFonts w:hint="eastAsia" w:ascii="宋体" w:hAnsi="宋体" w:eastAsia="宋体" w:cs="宋体"/>
          <w:sz w:val="21"/>
          <w:szCs w:val="21"/>
          <w:highlight w:val="none"/>
          <w:vertAlign w:val="superscript"/>
          <w:lang w:val="en-US" w:eastAsia="zh-CN"/>
        </w:rPr>
        <w:t>2</w:t>
      </w:r>
      <w:r>
        <w:rPr>
          <w:rFonts w:hint="eastAsia" w:ascii="宋体" w:hAnsi="宋体" w:eastAsia="宋体" w:cs="宋体"/>
          <w:sz w:val="21"/>
          <w:szCs w:val="21"/>
          <w:highlight w:val="none"/>
        </w:rPr>
        <w:t>·h提升至φ</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rPr>
        <w:t>6×120m的</w:t>
      </w:r>
      <w:r>
        <w:rPr>
          <w:rFonts w:hint="eastAsia" w:ascii="宋体" w:hAnsi="宋体" w:eastAsia="宋体" w:cs="宋体"/>
          <w:sz w:val="21"/>
          <w:szCs w:val="21"/>
          <w:highlight w:val="none"/>
          <w:lang w:val="en-US" w:eastAsia="zh-CN"/>
        </w:rPr>
        <w:t>2.72</w:t>
      </w:r>
      <w:r>
        <w:rPr>
          <w:rFonts w:hint="eastAsia" w:ascii="宋体" w:hAnsi="宋体" w:eastAsia="宋体" w:cs="宋体"/>
          <w:sz w:val="21"/>
          <w:szCs w:val="21"/>
          <w:highlight w:val="none"/>
        </w:rPr>
        <w:t>t/m</w:t>
      </w:r>
      <w:r>
        <w:rPr>
          <w:rFonts w:hint="eastAsia" w:ascii="宋体" w:hAnsi="宋体" w:eastAsia="宋体" w:cs="宋体"/>
          <w:sz w:val="21"/>
          <w:szCs w:val="21"/>
          <w:highlight w:val="none"/>
          <w:vertAlign w:val="superscript"/>
          <w:lang w:val="en-US" w:eastAsia="zh-CN"/>
        </w:rPr>
        <w:t>2</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h，增幅达</w:t>
      </w:r>
      <w:r>
        <w:rPr>
          <w:rFonts w:hint="eastAsia" w:ascii="宋体" w:hAnsi="宋体" w:eastAsia="宋体" w:cs="宋体"/>
          <w:sz w:val="21"/>
          <w:szCs w:val="21"/>
          <w:highlight w:val="none"/>
          <w:lang w:val="en-US" w:eastAsia="zh-CN"/>
        </w:rPr>
        <w:t>53.31</w:t>
      </w:r>
      <w:r>
        <w:rPr>
          <w:rFonts w:hint="eastAsia" w:ascii="宋体" w:hAnsi="宋体" w:eastAsia="宋体" w:cs="宋体"/>
          <w:sz w:val="21"/>
          <w:szCs w:val="21"/>
          <w:highlight w:val="none"/>
        </w:rPr>
        <w:t>%，进一步验证。</w:t>
      </w:r>
    </w:p>
    <w:p w14:paraId="5A3AD19F">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2"/>
        <w:rPr>
          <w:rFonts w:hint="eastAsia" w:ascii="宋体" w:hAnsi="宋体" w:eastAsia="宋体" w:cs="宋体"/>
          <w:sz w:val="21"/>
          <w:szCs w:val="21"/>
        </w:rPr>
      </w:pPr>
      <w:bookmarkStart w:id="21" w:name="heading_21"/>
      <w:r>
        <w:rPr>
          <w:rFonts w:hint="eastAsia" w:ascii="宋体" w:hAnsi="宋体" w:eastAsia="宋体" w:cs="宋体"/>
          <w:b/>
          <w:sz w:val="21"/>
          <w:szCs w:val="21"/>
        </w:rPr>
        <w:t>3.6.4 能耗与窑体规格的</w:t>
      </w:r>
      <w:bookmarkEnd w:id="21"/>
      <w:r>
        <w:rPr>
          <w:rFonts w:hint="eastAsia" w:ascii="宋体" w:hAnsi="宋体" w:eastAsia="宋体" w:cs="宋体"/>
          <w:b/>
          <w:sz w:val="21"/>
          <w:szCs w:val="21"/>
          <w:lang w:eastAsia="zh-CN"/>
        </w:rPr>
        <w:t>关系</w:t>
      </w:r>
    </w:p>
    <w:p w14:paraId="5A1E395F">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随着窑体规格的增大，小时煤消耗量随之增加，但单位产品煤耗呈现下降趋势。这是由于大型窑体的热利用效率更高，热损失占比更低，能够有效降低单位熟料的能耗，体现了大型窑体在节能降耗方面的优势，为工程选型提供了重要参考。</w:t>
      </w:r>
    </w:p>
    <w:p w14:paraId="32842786">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sz w:val="21"/>
          <w:szCs w:val="21"/>
        </w:rPr>
      </w:pPr>
      <w:bookmarkStart w:id="22" w:name="heading_22"/>
      <w:r>
        <w:rPr>
          <w:rFonts w:hint="eastAsia" w:ascii="宋体" w:hAnsi="宋体" w:eastAsia="宋体" w:cs="宋体"/>
          <w:b/>
          <w:sz w:val="21"/>
          <w:szCs w:val="21"/>
        </w:rPr>
        <w:t>4 结论与建议</w:t>
      </w:r>
      <w:bookmarkEnd w:id="22"/>
    </w:p>
    <w:p w14:paraId="374E885B">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23" w:name="heading_23"/>
      <w:r>
        <w:rPr>
          <w:rFonts w:hint="eastAsia" w:ascii="宋体" w:hAnsi="宋体" w:eastAsia="宋体" w:cs="宋体"/>
          <w:b/>
          <w:sz w:val="21"/>
          <w:szCs w:val="21"/>
        </w:rPr>
        <w:t>4.1 结论</w:t>
      </w:r>
      <w:bookmarkEnd w:id="23"/>
    </w:p>
    <w:p w14:paraId="511061D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本文通过对φ4×75m、φ4.5×90m、φ5.2×100m、φ5.5×110m、φ</w:t>
      </w:r>
      <w:r>
        <w:rPr>
          <w:rFonts w:hint="eastAsia" w:ascii="宋体" w:hAnsi="宋体" w:eastAsia="宋体" w:cs="宋体"/>
          <w:sz w:val="21"/>
          <w:szCs w:val="21"/>
          <w:lang w:val="en-US" w:eastAsia="zh-CN"/>
        </w:rPr>
        <w:t>5.</w:t>
      </w:r>
      <w:r>
        <w:rPr>
          <w:rFonts w:hint="eastAsia" w:ascii="宋体" w:hAnsi="宋体" w:eastAsia="宋体" w:cs="宋体"/>
          <w:sz w:val="21"/>
          <w:szCs w:val="21"/>
        </w:rPr>
        <w:t>6×120m五种典型规格带预热器石膏制硫酸联产水泥分解窑的工艺参数进行系统核算与分析，得出以下结论：</w:t>
      </w:r>
    </w:p>
    <w:p w14:paraId="3B2263B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五种规格分解窑的各项工艺参数（生产能力、容积产量、截面产量、表面积产量、长径比、热工参数、煤消耗量、石膏处理量、熟料产量）均符合石膏制硫酸联产水泥的工艺要求，取值合理，与现有工程实践数据保持一致，能够为该类设备的工程设计、选型及运行优化提供可靠参考。</w:t>
      </w:r>
    </w:p>
    <w:p w14:paraId="01917A1B">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窑体生产能力与有效容积呈显著线性正相关，随着窑体规格的增大，生产能力、截面产量、表面积产量及各项热工强度参数均呈现合理上升态势，大型窑体具有更高的生产效率与热利用效率，同时单位产品能耗呈现下降趋势，节能优势明显。</w:t>
      </w:r>
    </w:p>
    <w:p w14:paraId="1CE9B81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（3）长径比控制在18</w:t>
      </w:r>
      <w:r>
        <w:rPr>
          <w:rFonts w:hint="eastAsia" w:ascii="宋体" w:hAnsi="宋体" w:eastAsia="宋体" w:cs="宋体"/>
          <w:sz w:val="21"/>
          <w:szCs w:val="21"/>
          <w:lang w:eastAsia="zh-CN"/>
        </w:rPr>
        <w:t>～</w:t>
      </w:r>
      <w:r>
        <w:rPr>
          <w:rFonts w:hint="eastAsia" w:ascii="宋体" w:hAnsi="宋体" w:eastAsia="宋体" w:cs="宋体"/>
          <w:sz w:val="21"/>
          <w:szCs w:val="21"/>
        </w:rPr>
        <w:t>22之间时，能够保证半水石膏在窑内的停留时间达到</w:t>
      </w:r>
      <w:r>
        <w:rPr>
          <w:rFonts w:hint="eastAsia" w:ascii="宋体" w:hAnsi="宋体" w:eastAsia="宋体" w:cs="宋体"/>
          <w:sz w:val="21"/>
          <w:szCs w:val="21"/>
          <w:lang w:val="en-US" w:eastAsia="zh-CN"/>
        </w:rPr>
        <w:t>3</w:t>
      </w:r>
      <w:r>
        <w:rPr>
          <w:rFonts w:hint="eastAsia" w:ascii="宋体" w:hAnsi="宋体" w:eastAsia="宋体" w:cs="宋体"/>
          <w:sz w:val="21"/>
          <w:szCs w:val="21"/>
        </w:rPr>
        <w:t>～</w:t>
      </w:r>
      <w:r>
        <w:rPr>
          <w:rFonts w:hint="eastAsia" w:ascii="宋体" w:hAnsi="宋体" w:eastAsia="宋体" w:cs="宋体"/>
          <w:sz w:val="21"/>
          <w:szCs w:val="21"/>
          <w:lang w:val="en-US" w:eastAsia="zh-CN"/>
        </w:rPr>
        <w:t>5</w:t>
      </w:r>
      <w:r>
        <w:rPr>
          <w:rFonts w:hint="eastAsia" w:ascii="宋体" w:hAnsi="宋体" w:eastAsia="宋体" w:cs="宋体"/>
          <w:sz w:val="21"/>
          <w:szCs w:val="21"/>
        </w:rPr>
        <w:t>小时，满足磷石膏分解反应的工艺要求，本次选取的五种规格窑体的长径比均在此合理范围内，可确保磷石膏分解反应充分进行。</w:t>
      </w:r>
    </w:p>
    <w:p w14:paraId="4C6E4233">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（4）带预热器的石膏制硫酸联产水泥分解窑，在半水石膏入窑工况下，单位容积产量选取1</w:t>
      </w:r>
      <w:r>
        <w:rPr>
          <w:rFonts w:hint="eastAsia" w:ascii="宋体" w:hAnsi="宋体" w:eastAsia="宋体" w:cs="宋体"/>
          <w:sz w:val="21"/>
          <w:szCs w:val="21"/>
          <w:lang w:val="en-US" w:eastAsia="zh-CN"/>
        </w:rPr>
        <w:t>9</w:t>
      </w:r>
      <w:r>
        <w:rPr>
          <w:rFonts w:hint="eastAsia" w:ascii="宋体" w:hAnsi="宋体" w:eastAsia="宋体" w:cs="宋体"/>
          <w:sz w:val="21"/>
          <w:szCs w:val="21"/>
        </w:rPr>
        <w:t>.</w:t>
      </w:r>
      <w:r>
        <w:rPr>
          <w:rFonts w:hint="eastAsia" w:ascii="宋体" w:hAnsi="宋体" w:eastAsia="宋体" w:cs="宋体"/>
          <w:sz w:val="21"/>
          <w:szCs w:val="21"/>
          <w:lang w:val="en-US" w:eastAsia="zh-CN"/>
        </w:rPr>
        <w:t>0</w:t>
      </w:r>
      <w:r>
        <w:rPr>
          <w:rFonts w:hint="eastAsia" w:ascii="宋体" w:hAnsi="宋体" w:eastAsia="宋体" w:cs="宋体"/>
          <w:sz w:val="21"/>
          <w:szCs w:val="21"/>
        </w:rPr>
        <w:t>～</w:t>
      </w:r>
      <w:r>
        <w:rPr>
          <w:rFonts w:hint="eastAsia" w:ascii="宋体" w:hAnsi="宋体" w:eastAsia="宋体" w:cs="宋体"/>
          <w:sz w:val="21"/>
          <w:szCs w:val="21"/>
          <w:lang w:val="en-US" w:eastAsia="zh-CN"/>
        </w:rPr>
        <w:t>22.0</w:t>
      </w:r>
      <w:r>
        <w:rPr>
          <w:rFonts w:hint="eastAsia" w:ascii="宋体" w:hAnsi="宋体" w:eastAsia="宋体" w:cs="宋体"/>
          <w:sz w:val="21"/>
          <w:szCs w:val="21"/>
        </w:rPr>
        <w:t>kg/(m³·h</w:t>
      </w:r>
      <w:r>
        <w:rPr>
          <w:rFonts w:hint="eastAsia" w:ascii="宋体" w:hAnsi="宋体" w:eastAsia="宋体" w:cs="宋体"/>
          <w:sz w:val="21"/>
          <w:szCs w:val="21"/>
          <w:lang w:eastAsia="zh-CN"/>
        </w:rPr>
        <w:t>）</w:t>
      </w:r>
      <w:r>
        <w:rPr>
          <w:rFonts w:hint="eastAsia" w:ascii="宋体" w:hAnsi="宋体" w:eastAsia="宋体" w:cs="宋体"/>
          <w:sz w:val="21"/>
          <w:szCs w:val="21"/>
        </w:rPr>
        <w:t>是适宜的，能够兼顾生产效率与能耗控制，符合行业工程实践经验，可作为同类窑体设计的参考依据。</w:t>
      </w:r>
    </w:p>
    <w:p w14:paraId="07250DA9">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1"/>
        <w:rPr>
          <w:rFonts w:hint="eastAsia" w:ascii="宋体" w:hAnsi="宋体" w:eastAsia="宋体" w:cs="宋体"/>
          <w:sz w:val="21"/>
          <w:szCs w:val="21"/>
        </w:rPr>
      </w:pPr>
      <w:bookmarkStart w:id="24" w:name="heading_24"/>
      <w:r>
        <w:rPr>
          <w:rFonts w:hint="eastAsia" w:ascii="宋体" w:hAnsi="宋体" w:eastAsia="宋体" w:cs="宋体"/>
          <w:b/>
          <w:sz w:val="21"/>
          <w:szCs w:val="21"/>
        </w:rPr>
        <w:t>4.2 建议</w:t>
      </w:r>
      <w:bookmarkEnd w:id="24"/>
    </w:p>
    <w:p w14:paraId="1135056A">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基于本次研究结果，结合石膏制硫酸联产水泥行业发展需求，提出以下工程应用与技术优化建议：</w:t>
      </w:r>
    </w:p>
    <w:p w14:paraId="2C116E4C">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（1）工程设计与选型方面，可根据项目产能需求，优先选取φ5.5×110m、φ</w:t>
      </w:r>
      <w:r>
        <w:rPr>
          <w:rFonts w:hint="eastAsia" w:ascii="宋体" w:hAnsi="宋体" w:eastAsia="宋体" w:cs="宋体"/>
          <w:sz w:val="21"/>
          <w:szCs w:val="21"/>
          <w:lang w:val="en-US" w:eastAsia="zh-CN"/>
        </w:rPr>
        <w:t>5.</w:t>
      </w:r>
      <w:r>
        <w:rPr>
          <w:rFonts w:hint="eastAsia" w:ascii="宋体" w:hAnsi="宋体" w:eastAsia="宋体" w:cs="宋体"/>
          <w:sz w:val="21"/>
          <w:szCs w:val="21"/>
        </w:rPr>
        <w:t>6×120m等大型规格分解窑，充分发挥其生产效率高、热利用效率高、单位产品能耗低的优势，降低项目投资成本与运营成本。</w:t>
      </w:r>
    </w:p>
    <w:p w14:paraId="3A19D911">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（2）生产运行方面，应严格控制窑内气氛与热工参数，确保窑尾废气中O</w:t>
      </w:r>
      <w:r>
        <w:rPr>
          <w:rFonts w:hint="eastAsia" w:ascii="宋体" w:hAnsi="宋体" w:eastAsia="宋体" w:cs="宋体"/>
          <w:sz w:val="21"/>
          <w:szCs w:val="21"/>
          <w:vertAlign w:val="subscript"/>
        </w:rPr>
        <w:t>₂</w:t>
      </w:r>
      <w:r>
        <w:rPr>
          <w:rFonts w:hint="eastAsia" w:ascii="宋体" w:hAnsi="宋体" w:eastAsia="宋体" w:cs="宋体"/>
          <w:sz w:val="21"/>
          <w:szCs w:val="21"/>
        </w:rPr>
        <w:t>含量维持在合理范围，避免因气氛失衡或热工参数波动导致产品质量下降、硫损失增加、窑内结圈等生产异常问题，保障系统稳定运行。</w:t>
      </w:r>
    </w:p>
    <w:p w14:paraId="45DCB5D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（3）能耗优化方面，针对石膏制硫酸联产水泥分解窑能耗偏高的行业痛点，可进一步优化预热系统设计，提升换热效率，同时加强窑体保温措施，降低窑体表面热损失，实现系统能耗的进一步优化。</w:t>
      </w:r>
    </w:p>
    <w:p w14:paraId="452F6857">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（4）行业标准方面，建议加快制定石膏制硫酸联产水泥分解窑的国家技术标准，统一参数核算方法、指标要求及检测标准，为行业设备设计、运行与优化提供统一依据，推动该技术的规模化、规范化推广应用。</w:t>
      </w:r>
    </w:p>
    <w:p w14:paraId="68CB6552">
      <w:pPr>
        <w:keepNext w:val="0"/>
        <w:keepLines w:val="0"/>
        <w:pageBreakBefore w:val="0"/>
        <w:widowControl w:val="0"/>
        <w:kinsoku/>
        <w:wordWrap/>
        <w:overflowPunct/>
        <w:topLinePunct w:val="0"/>
        <w:autoSpaceDE/>
        <w:autoSpaceDN/>
        <w:bidi w:val="0"/>
        <w:adjustRightInd/>
        <w:snapToGrid/>
        <w:spacing w:line="400" w:lineRule="exact"/>
        <w:ind w:left="0" w:firstLine="420" w:firstLineChars="200"/>
        <w:jc w:val="left"/>
        <w:textAlignment w:val="auto"/>
        <w:rPr>
          <w:rFonts w:hint="eastAsia" w:ascii="宋体" w:hAnsi="宋体" w:eastAsia="宋体" w:cs="宋体"/>
          <w:sz w:val="21"/>
          <w:szCs w:val="21"/>
        </w:rPr>
      </w:pPr>
      <w:r>
        <w:rPr>
          <w:rFonts w:hint="eastAsia" w:ascii="宋体" w:hAnsi="宋体" w:eastAsia="宋体" w:cs="宋体"/>
          <w:sz w:val="21"/>
          <w:szCs w:val="21"/>
        </w:rPr>
        <w:t>（5）后续研究方面，可结合更多工程实测数据，进一步优化工艺参数核算模型，探究不同入窑石膏类型（半水石膏、</w:t>
      </w:r>
      <w:r>
        <w:rPr>
          <w:rFonts w:hint="eastAsia" w:ascii="宋体" w:hAnsi="宋体" w:eastAsia="宋体" w:cs="宋体"/>
          <w:sz w:val="21"/>
          <w:szCs w:val="21"/>
          <w:lang w:eastAsia="zh-CN"/>
        </w:rPr>
        <w:t>无水</w:t>
      </w:r>
      <w:r>
        <w:rPr>
          <w:rFonts w:hint="eastAsia" w:ascii="宋体" w:hAnsi="宋体" w:eastAsia="宋体" w:cs="宋体"/>
          <w:sz w:val="21"/>
          <w:szCs w:val="21"/>
        </w:rPr>
        <w:t>石膏）对工艺参数的影响，为不同工况下的窑体设计与运行优化提供更精准的支撑。</w:t>
      </w:r>
    </w:p>
    <w:p w14:paraId="2464EC73">
      <w:pPr>
        <w:keepNext w:val="0"/>
        <w:keepLines w:val="0"/>
        <w:pageBreakBefore w:val="0"/>
        <w:widowControl w:val="0"/>
        <w:kinsoku/>
        <w:wordWrap/>
        <w:overflowPunct/>
        <w:topLinePunct w:val="0"/>
        <w:autoSpaceDE/>
        <w:autoSpaceDN/>
        <w:bidi w:val="0"/>
        <w:adjustRightInd/>
        <w:snapToGrid/>
        <w:spacing w:line="400" w:lineRule="exact"/>
        <w:ind w:left="0" w:firstLine="422" w:firstLineChars="200"/>
        <w:jc w:val="left"/>
        <w:textAlignment w:val="auto"/>
        <w:outlineLvl w:val="0"/>
        <w:rPr>
          <w:rFonts w:hint="eastAsia" w:ascii="宋体" w:hAnsi="宋体" w:eastAsia="宋体" w:cs="宋体"/>
          <w:b/>
          <w:sz w:val="21"/>
          <w:szCs w:val="21"/>
        </w:rPr>
      </w:pPr>
      <w:bookmarkStart w:id="25" w:name="heading_25"/>
      <w:bookmarkStart w:id="26" w:name="_GoBack"/>
      <w:bookmarkEnd w:id="26"/>
    </w:p>
    <w:p w14:paraId="6E8F4A5A">
      <w:pPr>
        <w:keepNext w:val="0"/>
        <w:keepLines w:val="0"/>
        <w:pageBreakBefore w:val="0"/>
        <w:widowControl w:val="0"/>
        <w:kinsoku/>
        <w:wordWrap/>
        <w:overflowPunct/>
        <w:topLinePunct w:val="0"/>
        <w:autoSpaceDE/>
        <w:autoSpaceDN/>
        <w:bidi w:val="0"/>
        <w:adjustRightInd/>
        <w:snapToGrid/>
        <w:spacing w:line="400" w:lineRule="exact"/>
        <w:jc w:val="left"/>
        <w:textAlignment w:val="auto"/>
        <w:outlineLvl w:val="0"/>
        <w:rPr>
          <w:rFonts w:hint="eastAsia" w:ascii="宋体" w:hAnsi="宋体" w:eastAsia="宋体" w:cs="宋体"/>
          <w:sz w:val="21"/>
          <w:szCs w:val="21"/>
        </w:rPr>
      </w:pPr>
      <w:r>
        <w:rPr>
          <w:rFonts w:hint="eastAsia" w:ascii="宋体" w:hAnsi="宋体" w:eastAsia="宋体" w:cs="宋体"/>
          <w:b/>
          <w:sz w:val="21"/>
          <w:szCs w:val="21"/>
        </w:rPr>
        <w:t>参考文献</w:t>
      </w:r>
      <w:bookmarkEnd w:id="25"/>
    </w:p>
    <w:p w14:paraId="127F8715">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[1] 吕天宝</w:t>
      </w:r>
      <w:r>
        <w:rPr>
          <w:rFonts w:hint="eastAsia" w:ascii="宋体" w:hAnsi="宋体" w:eastAsia="宋体" w:cs="宋体"/>
          <w:sz w:val="21"/>
          <w:szCs w:val="21"/>
          <w:lang w:val="en-US" w:eastAsia="zh-CN"/>
        </w:rPr>
        <w:t>.</w:t>
      </w:r>
      <w:r>
        <w:rPr>
          <w:rFonts w:hint="eastAsia" w:ascii="宋体" w:hAnsi="宋体" w:eastAsia="宋体" w:cs="宋体"/>
          <w:sz w:val="21"/>
          <w:szCs w:val="21"/>
        </w:rPr>
        <w:t>加快磷石膏制硫酸技术推广：破解硫资源困局与磷石膏堆存难题 [J]. 生态产业科学与磷氟工程,2026 (4):（刊首页）.</w:t>
      </w:r>
    </w:p>
    <w:p w14:paraId="5E9B94DA">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[2] 李宏伟. 磷石膏制水泥Φ5m×150m窑的工艺参数研究[J]. 新型水泥导报, 1994(2): 18-23.</w:t>
      </w:r>
    </w:p>
    <w:p w14:paraId="0E19CFFE">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rPr>
      </w:pPr>
      <w:r>
        <w:rPr>
          <w:rFonts w:hint="eastAsia" w:ascii="宋体" w:hAnsi="宋体" w:eastAsia="宋体" w:cs="宋体"/>
          <w:sz w:val="21"/>
          <w:szCs w:val="21"/>
        </w:rPr>
        <w:t>[</w:t>
      </w:r>
      <w:r>
        <w:rPr>
          <w:rFonts w:hint="eastAsia" w:ascii="宋体" w:hAnsi="宋体" w:eastAsia="宋体" w:cs="宋体"/>
          <w:sz w:val="21"/>
          <w:szCs w:val="21"/>
          <w:lang w:val="en-US" w:eastAsia="zh-CN"/>
        </w:rPr>
        <w:t>3</w:t>
      </w:r>
      <w:r>
        <w:rPr>
          <w:rFonts w:hint="eastAsia" w:ascii="宋体" w:hAnsi="宋体" w:eastAsia="宋体" w:cs="宋体"/>
          <w:sz w:val="21"/>
          <w:szCs w:val="21"/>
        </w:rPr>
        <w:t>] 吕天宝, 刘飞. 石膏制硫酸与水泥技术 [M]. 南京：东南大学出版社，2010.</w:t>
      </w:r>
    </w:p>
    <w:p w14:paraId="18CD9863">
      <w:pPr>
        <w:keepNext w:val="0"/>
        <w:keepLines w:val="0"/>
        <w:pageBreakBefore w:val="0"/>
        <w:widowControl w:val="0"/>
        <w:kinsoku/>
        <w:wordWrap/>
        <w:overflowPunct/>
        <w:topLinePunct w:val="0"/>
        <w:autoSpaceDE/>
        <w:autoSpaceDN/>
        <w:bidi w:val="0"/>
        <w:adjustRightInd/>
        <w:snapToGrid/>
        <w:spacing w:line="400" w:lineRule="exact"/>
        <w:jc w:val="left"/>
        <w:textAlignment w:val="auto"/>
        <w:rPr>
          <w:rFonts w:hint="eastAsia" w:ascii="宋体" w:hAnsi="宋体" w:eastAsia="宋体" w:cs="宋体"/>
          <w:sz w:val="21"/>
          <w:szCs w:val="21"/>
          <w:lang w:val="en-US" w:eastAsia="zh-CN"/>
        </w:rPr>
      </w:pPr>
      <w:r>
        <w:rPr>
          <w:rFonts w:hint="eastAsia" w:ascii="宋体" w:hAnsi="宋体" w:eastAsia="宋体" w:cs="宋体"/>
          <w:sz w:val="21"/>
          <w:szCs w:val="21"/>
        </w:rPr>
        <w:t>[</w:t>
      </w:r>
      <w:r>
        <w:rPr>
          <w:rFonts w:hint="eastAsia" w:ascii="宋体" w:hAnsi="宋体" w:eastAsia="宋体" w:cs="宋体"/>
          <w:sz w:val="21"/>
          <w:szCs w:val="21"/>
          <w:lang w:val="en-US" w:eastAsia="zh-CN"/>
        </w:rPr>
        <w:t>4</w:t>
      </w:r>
      <w:r>
        <w:rPr>
          <w:rFonts w:hint="eastAsia" w:ascii="宋体" w:hAnsi="宋体" w:eastAsia="宋体" w:cs="宋体"/>
          <w:sz w:val="21"/>
          <w:szCs w:val="21"/>
        </w:rPr>
        <w:t>]</w:t>
      </w:r>
      <w:r>
        <w:rPr>
          <w:rFonts w:hint="eastAsia" w:ascii="宋体" w:hAnsi="宋体" w:eastAsia="宋体" w:cs="宋体"/>
          <w:sz w:val="21"/>
          <w:szCs w:val="21"/>
          <w:lang w:val="en-US" w:eastAsia="zh-CN"/>
        </w:rPr>
        <w:t xml:space="preserve"> </w:t>
      </w:r>
      <w:r>
        <w:rPr>
          <w:rFonts w:hint="eastAsia" w:ascii="宋体" w:hAnsi="宋体" w:eastAsia="宋体" w:cs="宋体"/>
          <w:sz w:val="21"/>
          <w:szCs w:val="21"/>
        </w:rPr>
        <w:t>工业和信息化部, 生态环境部. 国家鼓励发展的重大环保技术装备目录（2023年版）[Z]. 2023.</w:t>
      </w:r>
    </w:p>
    <w:sectPr>
      <w:pgSz w:w="11906" w:h="16838"/>
      <w:pgMar w:top="1814" w:right="1587" w:bottom="1701"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华文楷体">
    <w:panose1 w:val="02010600040101010101"/>
    <w:charset w:val="86"/>
    <w:family w:val="auto"/>
    <w:pitch w:val="default"/>
    <w:sig w:usb0="00000287" w:usb1="080F0000" w:usb2="00000000" w:usb3="00000000" w:csb0="0004009F" w:csb1="DFD70000"/>
  </w:font>
  <w:font w:name="隶书">
    <w:panose1 w:val="02010509060101010101"/>
    <w:charset w:val="86"/>
    <w:family w:val="modern"/>
    <w:pitch w:val="default"/>
    <w:sig w:usb0="00000001" w:usb1="080E0000" w:usb2="00000000" w:usb3="00000000" w:csb0="00040000"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500885">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0DD04B0"/>
    <w:multiLevelType w:val="singleLevel"/>
    <w:tmpl w:val="C0DD04B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c5ZmMwZTNkY2FjMjU1Y2Y4ZTlkNzhjNmI4MDEyNjcifQ=="/>
  </w:docVars>
  <w:rsids>
    <w:rsidRoot w:val="00DD4CC1"/>
    <w:rsid w:val="00036B5E"/>
    <w:rsid w:val="00047FC0"/>
    <w:rsid w:val="00060599"/>
    <w:rsid w:val="0008730F"/>
    <w:rsid w:val="000A4D30"/>
    <w:rsid w:val="001570A5"/>
    <w:rsid w:val="001653DA"/>
    <w:rsid w:val="00170655"/>
    <w:rsid w:val="001F16B8"/>
    <w:rsid w:val="001F268C"/>
    <w:rsid w:val="00205F95"/>
    <w:rsid w:val="00223CAE"/>
    <w:rsid w:val="00252BF1"/>
    <w:rsid w:val="00264F57"/>
    <w:rsid w:val="002A2FE8"/>
    <w:rsid w:val="002A6E7F"/>
    <w:rsid w:val="002D3AD9"/>
    <w:rsid w:val="0032324D"/>
    <w:rsid w:val="00326DED"/>
    <w:rsid w:val="00452666"/>
    <w:rsid w:val="0046021A"/>
    <w:rsid w:val="00472F07"/>
    <w:rsid w:val="00495E28"/>
    <w:rsid w:val="004A7308"/>
    <w:rsid w:val="004B658B"/>
    <w:rsid w:val="004E5974"/>
    <w:rsid w:val="004E639D"/>
    <w:rsid w:val="0052555F"/>
    <w:rsid w:val="00550EFD"/>
    <w:rsid w:val="005A641B"/>
    <w:rsid w:val="005B2031"/>
    <w:rsid w:val="006054C1"/>
    <w:rsid w:val="006278D9"/>
    <w:rsid w:val="006525A5"/>
    <w:rsid w:val="006B4EF3"/>
    <w:rsid w:val="006B523C"/>
    <w:rsid w:val="006C7D50"/>
    <w:rsid w:val="00704818"/>
    <w:rsid w:val="00735E72"/>
    <w:rsid w:val="00756BF6"/>
    <w:rsid w:val="007958E0"/>
    <w:rsid w:val="007A04D9"/>
    <w:rsid w:val="007C2153"/>
    <w:rsid w:val="007D0764"/>
    <w:rsid w:val="007F00BC"/>
    <w:rsid w:val="00844F2C"/>
    <w:rsid w:val="00852987"/>
    <w:rsid w:val="0087425D"/>
    <w:rsid w:val="00874940"/>
    <w:rsid w:val="009168ED"/>
    <w:rsid w:val="0093495B"/>
    <w:rsid w:val="0094356F"/>
    <w:rsid w:val="009819FE"/>
    <w:rsid w:val="00987F1F"/>
    <w:rsid w:val="00A0752B"/>
    <w:rsid w:val="00A1502F"/>
    <w:rsid w:val="00A3470B"/>
    <w:rsid w:val="00A633AE"/>
    <w:rsid w:val="00A81B9E"/>
    <w:rsid w:val="00AA011A"/>
    <w:rsid w:val="00AD6D59"/>
    <w:rsid w:val="00B05911"/>
    <w:rsid w:val="00B226D2"/>
    <w:rsid w:val="00B86F3C"/>
    <w:rsid w:val="00BD25C3"/>
    <w:rsid w:val="00BF5402"/>
    <w:rsid w:val="00C31229"/>
    <w:rsid w:val="00C76433"/>
    <w:rsid w:val="00CF58F8"/>
    <w:rsid w:val="00D203A8"/>
    <w:rsid w:val="00D36A6E"/>
    <w:rsid w:val="00D829F0"/>
    <w:rsid w:val="00DD4CC1"/>
    <w:rsid w:val="00DE0390"/>
    <w:rsid w:val="00DF0139"/>
    <w:rsid w:val="00E52C97"/>
    <w:rsid w:val="00E67BF2"/>
    <w:rsid w:val="00EC1DD6"/>
    <w:rsid w:val="00ED67A0"/>
    <w:rsid w:val="00F153FF"/>
    <w:rsid w:val="00F22786"/>
    <w:rsid w:val="00F834FB"/>
    <w:rsid w:val="00F9257D"/>
    <w:rsid w:val="00FB3EEC"/>
    <w:rsid w:val="00FD2258"/>
    <w:rsid w:val="01520363"/>
    <w:rsid w:val="01813E81"/>
    <w:rsid w:val="01C963F3"/>
    <w:rsid w:val="01DE1C5C"/>
    <w:rsid w:val="02203B3A"/>
    <w:rsid w:val="02B86B51"/>
    <w:rsid w:val="03304250"/>
    <w:rsid w:val="0374238F"/>
    <w:rsid w:val="03A5079A"/>
    <w:rsid w:val="03C50E3C"/>
    <w:rsid w:val="03C527A5"/>
    <w:rsid w:val="048748A1"/>
    <w:rsid w:val="04CC1D57"/>
    <w:rsid w:val="04DC643E"/>
    <w:rsid w:val="056106F1"/>
    <w:rsid w:val="05AE130F"/>
    <w:rsid w:val="05FB3670"/>
    <w:rsid w:val="06112117"/>
    <w:rsid w:val="062077BC"/>
    <w:rsid w:val="065F10D4"/>
    <w:rsid w:val="0730481F"/>
    <w:rsid w:val="076E5F7E"/>
    <w:rsid w:val="07B471FE"/>
    <w:rsid w:val="07C05BA3"/>
    <w:rsid w:val="07E3246F"/>
    <w:rsid w:val="07F7358F"/>
    <w:rsid w:val="08564759"/>
    <w:rsid w:val="08AE1E9F"/>
    <w:rsid w:val="08BA0844"/>
    <w:rsid w:val="091A7E4E"/>
    <w:rsid w:val="09931095"/>
    <w:rsid w:val="09F00295"/>
    <w:rsid w:val="0A4B20AA"/>
    <w:rsid w:val="0AEE6ECB"/>
    <w:rsid w:val="0AFF2E86"/>
    <w:rsid w:val="0B664CB3"/>
    <w:rsid w:val="0BEA58E4"/>
    <w:rsid w:val="0C0E77A3"/>
    <w:rsid w:val="0C2B45A8"/>
    <w:rsid w:val="0C580AA0"/>
    <w:rsid w:val="0C8E44C1"/>
    <w:rsid w:val="0CDE6ACB"/>
    <w:rsid w:val="0CE82491"/>
    <w:rsid w:val="0CF56428"/>
    <w:rsid w:val="0D525F6F"/>
    <w:rsid w:val="0D731909"/>
    <w:rsid w:val="0DA11FD2"/>
    <w:rsid w:val="0E470192"/>
    <w:rsid w:val="0E5352AC"/>
    <w:rsid w:val="0E792F4F"/>
    <w:rsid w:val="0EC8358F"/>
    <w:rsid w:val="0F543075"/>
    <w:rsid w:val="0FEE51C5"/>
    <w:rsid w:val="0FEF171B"/>
    <w:rsid w:val="0FF00FEF"/>
    <w:rsid w:val="0FF705D0"/>
    <w:rsid w:val="102313C5"/>
    <w:rsid w:val="103C5A23"/>
    <w:rsid w:val="10523A58"/>
    <w:rsid w:val="10667503"/>
    <w:rsid w:val="108035FE"/>
    <w:rsid w:val="108F6A5A"/>
    <w:rsid w:val="10B85FB1"/>
    <w:rsid w:val="10BB15FD"/>
    <w:rsid w:val="10D34B99"/>
    <w:rsid w:val="111156C1"/>
    <w:rsid w:val="111B6540"/>
    <w:rsid w:val="11407D54"/>
    <w:rsid w:val="123F1DBA"/>
    <w:rsid w:val="12CF1390"/>
    <w:rsid w:val="12DB7D35"/>
    <w:rsid w:val="12E60488"/>
    <w:rsid w:val="13001868"/>
    <w:rsid w:val="132A2A6A"/>
    <w:rsid w:val="13CB5FFB"/>
    <w:rsid w:val="145D3907"/>
    <w:rsid w:val="148A7C64"/>
    <w:rsid w:val="14B4083D"/>
    <w:rsid w:val="156C2EC6"/>
    <w:rsid w:val="15C56B00"/>
    <w:rsid w:val="16132CB9"/>
    <w:rsid w:val="16B20DAC"/>
    <w:rsid w:val="16B25250"/>
    <w:rsid w:val="16B8213B"/>
    <w:rsid w:val="16D2144F"/>
    <w:rsid w:val="17836BED"/>
    <w:rsid w:val="178C5AA1"/>
    <w:rsid w:val="17AD77C6"/>
    <w:rsid w:val="180933FC"/>
    <w:rsid w:val="181D6FC3"/>
    <w:rsid w:val="185C6006"/>
    <w:rsid w:val="18616F2E"/>
    <w:rsid w:val="191221DB"/>
    <w:rsid w:val="19235F91"/>
    <w:rsid w:val="19800B64"/>
    <w:rsid w:val="19836A30"/>
    <w:rsid w:val="199944A6"/>
    <w:rsid w:val="19FD4A34"/>
    <w:rsid w:val="1A533F79"/>
    <w:rsid w:val="1A5A1E87"/>
    <w:rsid w:val="1B2F179A"/>
    <w:rsid w:val="1B6F3710"/>
    <w:rsid w:val="1B852F33"/>
    <w:rsid w:val="1B8B6070"/>
    <w:rsid w:val="1BC53330"/>
    <w:rsid w:val="1C250273"/>
    <w:rsid w:val="1C2C45D2"/>
    <w:rsid w:val="1D0021F0"/>
    <w:rsid w:val="1D01483C"/>
    <w:rsid w:val="1D5D57EA"/>
    <w:rsid w:val="1E171E3D"/>
    <w:rsid w:val="1EBA2EF4"/>
    <w:rsid w:val="1EC41FC5"/>
    <w:rsid w:val="1EFE3E02"/>
    <w:rsid w:val="1F572083"/>
    <w:rsid w:val="1F78690B"/>
    <w:rsid w:val="1FA40E26"/>
    <w:rsid w:val="20181E55"/>
    <w:rsid w:val="20200F8C"/>
    <w:rsid w:val="204B20BB"/>
    <w:rsid w:val="204F1D62"/>
    <w:rsid w:val="205C7FDB"/>
    <w:rsid w:val="20CA763A"/>
    <w:rsid w:val="21294361"/>
    <w:rsid w:val="21661758"/>
    <w:rsid w:val="222A213F"/>
    <w:rsid w:val="227635D6"/>
    <w:rsid w:val="22934188"/>
    <w:rsid w:val="22BA5BB9"/>
    <w:rsid w:val="22E42C35"/>
    <w:rsid w:val="230D784D"/>
    <w:rsid w:val="23B95F13"/>
    <w:rsid w:val="24174945"/>
    <w:rsid w:val="24212C83"/>
    <w:rsid w:val="244020ED"/>
    <w:rsid w:val="248B32E5"/>
    <w:rsid w:val="24B17D3C"/>
    <w:rsid w:val="24EE1B49"/>
    <w:rsid w:val="25867FD4"/>
    <w:rsid w:val="259C77F7"/>
    <w:rsid w:val="262A3A04"/>
    <w:rsid w:val="269C7383"/>
    <w:rsid w:val="26B66697"/>
    <w:rsid w:val="273D46C2"/>
    <w:rsid w:val="27435A51"/>
    <w:rsid w:val="27466F3A"/>
    <w:rsid w:val="276F4A98"/>
    <w:rsid w:val="283B6E9A"/>
    <w:rsid w:val="28414686"/>
    <w:rsid w:val="287C746C"/>
    <w:rsid w:val="288D3427"/>
    <w:rsid w:val="28C3509B"/>
    <w:rsid w:val="28D44D60"/>
    <w:rsid w:val="29F55569"/>
    <w:rsid w:val="2A6D1762"/>
    <w:rsid w:val="2A9C2048"/>
    <w:rsid w:val="2AF37C49"/>
    <w:rsid w:val="2C1A3224"/>
    <w:rsid w:val="2C5F332D"/>
    <w:rsid w:val="2CD15DCE"/>
    <w:rsid w:val="2CDC497D"/>
    <w:rsid w:val="2DA03BFD"/>
    <w:rsid w:val="2DA336ED"/>
    <w:rsid w:val="2DD45655"/>
    <w:rsid w:val="2E7221A8"/>
    <w:rsid w:val="2EC67693"/>
    <w:rsid w:val="2EE30245"/>
    <w:rsid w:val="2F087CAC"/>
    <w:rsid w:val="2F0E4B96"/>
    <w:rsid w:val="2F1A353B"/>
    <w:rsid w:val="2F1F6DA3"/>
    <w:rsid w:val="2F397E65"/>
    <w:rsid w:val="2F620882"/>
    <w:rsid w:val="2F633134"/>
    <w:rsid w:val="2F827A5E"/>
    <w:rsid w:val="2F882B9B"/>
    <w:rsid w:val="2FA86D99"/>
    <w:rsid w:val="2FE83639"/>
    <w:rsid w:val="301306B6"/>
    <w:rsid w:val="312F3756"/>
    <w:rsid w:val="31496359"/>
    <w:rsid w:val="315E0057"/>
    <w:rsid w:val="318D4498"/>
    <w:rsid w:val="3199108F"/>
    <w:rsid w:val="319F16AA"/>
    <w:rsid w:val="31CC4FC0"/>
    <w:rsid w:val="31F167D5"/>
    <w:rsid w:val="320A5AE9"/>
    <w:rsid w:val="3216448E"/>
    <w:rsid w:val="321D581C"/>
    <w:rsid w:val="323963CE"/>
    <w:rsid w:val="3273368E"/>
    <w:rsid w:val="32963820"/>
    <w:rsid w:val="32E20814"/>
    <w:rsid w:val="330D3AE3"/>
    <w:rsid w:val="337771AE"/>
    <w:rsid w:val="33F94067"/>
    <w:rsid w:val="34480B4A"/>
    <w:rsid w:val="34821AD6"/>
    <w:rsid w:val="34C74D5B"/>
    <w:rsid w:val="35A52FD0"/>
    <w:rsid w:val="35D501BC"/>
    <w:rsid w:val="36407D2B"/>
    <w:rsid w:val="36BE3BE8"/>
    <w:rsid w:val="36DA26A7"/>
    <w:rsid w:val="36DB5CA6"/>
    <w:rsid w:val="37227431"/>
    <w:rsid w:val="3756532C"/>
    <w:rsid w:val="37B01725"/>
    <w:rsid w:val="38061044"/>
    <w:rsid w:val="381C3783"/>
    <w:rsid w:val="38471845"/>
    <w:rsid w:val="389E342F"/>
    <w:rsid w:val="38C5276A"/>
    <w:rsid w:val="39290F4A"/>
    <w:rsid w:val="39783C80"/>
    <w:rsid w:val="399551B1"/>
    <w:rsid w:val="39D619B3"/>
    <w:rsid w:val="3A445910"/>
    <w:rsid w:val="3A557B1D"/>
    <w:rsid w:val="3A726921"/>
    <w:rsid w:val="3A765FE2"/>
    <w:rsid w:val="3AE01ADD"/>
    <w:rsid w:val="3B653D90"/>
    <w:rsid w:val="3B7D732B"/>
    <w:rsid w:val="3BAE3989"/>
    <w:rsid w:val="3BCC3E0F"/>
    <w:rsid w:val="3BD66A3C"/>
    <w:rsid w:val="3C424796"/>
    <w:rsid w:val="3CC044ED"/>
    <w:rsid w:val="3CC25530"/>
    <w:rsid w:val="3CC52D38"/>
    <w:rsid w:val="3CD13DD3"/>
    <w:rsid w:val="3D0715A3"/>
    <w:rsid w:val="3DA212CB"/>
    <w:rsid w:val="3DBB238D"/>
    <w:rsid w:val="3DBD6105"/>
    <w:rsid w:val="3E4405D4"/>
    <w:rsid w:val="3E9C5D1B"/>
    <w:rsid w:val="3F375A43"/>
    <w:rsid w:val="3FA4757D"/>
    <w:rsid w:val="3FAC01DF"/>
    <w:rsid w:val="3FB6105E"/>
    <w:rsid w:val="3FE444E6"/>
    <w:rsid w:val="40583EC3"/>
    <w:rsid w:val="40642868"/>
    <w:rsid w:val="407A652F"/>
    <w:rsid w:val="40923879"/>
    <w:rsid w:val="410F592B"/>
    <w:rsid w:val="411424E0"/>
    <w:rsid w:val="41641264"/>
    <w:rsid w:val="41700BEB"/>
    <w:rsid w:val="41847666"/>
    <w:rsid w:val="418A4550"/>
    <w:rsid w:val="425B398E"/>
    <w:rsid w:val="426C3C56"/>
    <w:rsid w:val="42786A9F"/>
    <w:rsid w:val="42BC1743"/>
    <w:rsid w:val="42EE53FF"/>
    <w:rsid w:val="43E4263E"/>
    <w:rsid w:val="45554E75"/>
    <w:rsid w:val="459D60E3"/>
    <w:rsid w:val="45B70627"/>
    <w:rsid w:val="45CA5863"/>
    <w:rsid w:val="45E5444B"/>
    <w:rsid w:val="46362EF9"/>
    <w:rsid w:val="464A0752"/>
    <w:rsid w:val="465515D1"/>
    <w:rsid w:val="468E4AE3"/>
    <w:rsid w:val="46F54E2D"/>
    <w:rsid w:val="46FD57C4"/>
    <w:rsid w:val="47925F0D"/>
    <w:rsid w:val="47A143DA"/>
    <w:rsid w:val="47E81E53"/>
    <w:rsid w:val="48A028AB"/>
    <w:rsid w:val="48B545A9"/>
    <w:rsid w:val="495C0DBE"/>
    <w:rsid w:val="49CB1BAA"/>
    <w:rsid w:val="4A070E34"/>
    <w:rsid w:val="4A4F4589"/>
    <w:rsid w:val="4AB60164"/>
    <w:rsid w:val="4B8E06C7"/>
    <w:rsid w:val="4C934BC0"/>
    <w:rsid w:val="4CFB09F8"/>
    <w:rsid w:val="4D057181"/>
    <w:rsid w:val="4D447CA9"/>
    <w:rsid w:val="4D5123C6"/>
    <w:rsid w:val="4D6B792C"/>
    <w:rsid w:val="4DA16EA9"/>
    <w:rsid w:val="4DDA060D"/>
    <w:rsid w:val="4DED1912"/>
    <w:rsid w:val="4E257ADB"/>
    <w:rsid w:val="4E353A96"/>
    <w:rsid w:val="4EAD187E"/>
    <w:rsid w:val="4EB175C0"/>
    <w:rsid w:val="4EB62E28"/>
    <w:rsid w:val="4F0911AA"/>
    <w:rsid w:val="4F78309C"/>
    <w:rsid w:val="4F7E394E"/>
    <w:rsid w:val="507C59AC"/>
    <w:rsid w:val="50A20D13"/>
    <w:rsid w:val="50AD3DB7"/>
    <w:rsid w:val="50AF7B2F"/>
    <w:rsid w:val="50B02F71"/>
    <w:rsid w:val="50C26CF2"/>
    <w:rsid w:val="50EC0D83"/>
    <w:rsid w:val="50FE0CB7"/>
    <w:rsid w:val="512D188F"/>
    <w:rsid w:val="51363DAD"/>
    <w:rsid w:val="513B5867"/>
    <w:rsid w:val="5144673C"/>
    <w:rsid w:val="519D207E"/>
    <w:rsid w:val="51EC090F"/>
    <w:rsid w:val="51FB00AC"/>
    <w:rsid w:val="52E57838"/>
    <w:rsid w:val="541C372E"/>
    <w:rsid w:val="542B3971"/>
    <w:rsid w:val="54335EE7"/>
    <w:rsid w:val="5463310B"/>
    <w:rsid w:val="54AF45A2"/>
    <w:rsid w:val="54C142D5"/>
    <w:rsid w:val="55254864"/>
    <w:rsid w:val="553C395C"/>
    <w:rsid w:val="55BA1450"/>
    <w:rsid w:val="56037691"/>
    <w:rsid w:val="56083D8A"/>
    <w:rsid w:val="56135E24"/>
    <w:rsid w:val="564017AC"/>
    <w:rsid w:val="56424FA2"/>
    <w:rsid w:val="567B0721"/>
    <w:rsid w:val="56F97D56"/>
    <w:rsid w:val="57081D47"/>
    <w:rsid w:val="57E97DCB"/>
    <w:rsid w:val="57EF1159"/>
    <w:rsid w:val="57F7381E"/>
    <w:rsid w:val="583059FA"/>
    <w:rsid w:val="5847689F"/>
    <w:rsid w:val="58532B2C"/>
    <w:rsid w:val="58984204"/>
    <w:rsid w:val="58A2134D"/>
    <w:rsid w:val="58C47EF0"/>
    <w:rsid w:val="59285798"/>
    <w:rsid w:val="596F60AE"/>
    <w:rsid w:val="5A2A0227"/>
    <w:rsid w:val="5A7B0A82"/>
    <w:rsid w:val="5B0311A3"/>
    <w:rsid w:val="5BB5218E"/>
    <w:rsid w:val="5BFE5E0F"/>
    <w:rsid w:val="5CAA564F"/>
    <w:rsid w:val="5E361890"/>
    <w:rsid w:val="5EDA046D"/>
    <w:rsid w:val="5EE237C6"/>
    <w:rsid w:val="5EFF7ED4"/>
    <w:rsid w:val="5F7679C4"/>
    <w:rsid w:val="5F7F2DC3"/>
    <w:rsid w:val="5FBF1411"/>
    <w:rsid w:val="5FF07133"/>
    <w:rsid w:val="60161979"/>
    <w:rsid w:val="601A09BC"/>
    <w:rsid w:val="60395667"/>
    <w:rsid w:val="60AA0313"/>
    <w:rsid w:val="610D33E8"/>
    <w:rsid w:val="615E35D8"/>
    <w:rsid w:val="619568CD"/>
    <w:rsid w:val="61E67129"/>
    <w:rsid w:val="621A5025"/>
    <w:rsid w:val="62CC27C3"/>
    <w:rsid w:val="635A7DCF"/>
    <w:rsid w:val="637D586B"/>
    <w:rsid w:val="63872EA4"/>
    <w:rsid w:val="63B05C41"/>
    <w:rsid w:val="63F26259"/>
    <w:rsid w:val="64032214"/>
    <w:rsid w:val="64061D04"/>
    <w:rsid w:val="640A365A"/>
    <w:rsid w:val="640E2967"/>
    <w:rsid w:val="64754794"/>
    <w:rsid w:val="64CC32C3"/>
    <w:rsid w:val="64FD7B2B"/>
    <w:rsid w:val="657B402C"/>
    <w:rsid w:val="65C07C91"/>
    <w:rsid w:val="66CA526B"/>
    <w:rsid w:val="67C12792"/>
    <w:rsid w:val="67DD0FCE"/>
    <w:rsid w:val="6813679E"/>
    <w:rsid w:val="687436E1"/>
    <w:rsid w:val="687A681D"/>
    <w:rsid w:val="68D73C6F"/>
    <w:rsid w:val="690B56C7"/>
    <w:rsid w:val="696A4D66"/>
    <w:rsid w:val="69867965"/>
    <w:rsid w:val="699456BD"/>
    <w:rsid w:val="6A4E3ABD"/>
    <w:rsid w:val="6A9A31A7"/>
    <w:rsid w:val="6AD06BC8"/>
    <w:rsid w:val="6B3929BF"/>
    <w:rsid w:val="6B3D425E"/>
    <w:rsid w:val="6B431148"/>
    <w:rsid w:val="6B56531F"/>
    <w:rsid w:val="6B575C91"/>
    <w:rsid w:val="6BB8040C"/>
    <w:rsid w:val="6BB811AB"/>
    <w:rsid w:val="6C5C6966"/>
    <w:rsid w:val="6C6E5E1A"/>
    <w:rsid w:val="6C8E2897"/>
    <w:rsid w:val="6CDF30F3"/>
    <w:rsid w:val="6D282CEC"/>
    <w:rsid w:val="6D7C6B93"/>
    <w:rsid w:val="6D921E65"/>
    <w:rsid w:val="6DE44E65"/>
    <w:rsid w:val="6DF606F4"/>
    <w:rsid w:val="6E267136"/>
    <w:rsid w:val="6E2D67FA"/>
    <w:rsid w:val="6E6E0BD2"/>
    <w:rsid w:val="6E91041D"/>
    <w:rsid w:val="6ECB392F"/>
    <w:rsid w:val="6F562B93"/>
    <w:rsid w:val="6F814935"/>
    <w:rsid w:val="6FA348AB"/>
    <w:rsid w:val="6FBB39A3"/>
    <w:rsid w:val="6FD23894"/>
    <w:rsid w:val="6FE23626"/>
    <w:rsid w:val="70383246"/>
    <w:rsid w:val="703D260A"/>
    <w:rsid w:val="7060279C"/>
    <w:rsid w:val="70626FA0"/>
    <w:rsid w:val="70756EB2"/>
    <w:rsid w:val="7258197D"/>
    <w:rsid w:val="72C60FDD"/>
    <w:rsid w:val="72EB27F1"/>
    <w:rsid w:val="730241B0"/>
    <w:rsid w:val="731A1328"/>
    <w:rsid w:val="73587D13"/>
    <w:rsid w:val="738B2556"/>
    <w:rsid w:val="743B50B2"/>
    <w:rsid w:val="74BF5CE3"/>
    <w:rsid w:val="750977D2"/>
    <w:rsid w:val="75263FB5"/>
    <w:rsid w:val="75693EA1"/>
    <w:rsid w:val="75B25848"/>
    <w:rsid w:val="766528BB"/>
    <w:rsid w:val="768F268A"/>
    <w:rsid w:val="76C92E49"/>
    <w:rsid w:val="77617526"/>
    <w:rsid w:val="777A05E8"/>
    <w:rsid w:val="781A1483"/>
    <w:rsid w:val="781F0851"/>
    <w:rsid w:val="7820118F"/>
    <w:rsid w:val="782A7918"/>
    <w:rsid w:val="78B00E0E"/>
    <w:rsid w:val="78C94F9D"/>
    <w:rsid w:val="78FD502C"/>
    <w:rsid w:val="793A669D"/>
    <w:rsid w:val="79585130"/>
    <w:rsid w:val="796450AB"/>
    <w:rsid w:val="79EB30D7"/>
    <w:rsid w:val="7A293F0A"/>
    <w:rsid w:val="7A5E24AA"/>
    <w:rsid w:val="7AB756AF"/>
    <w:rsid w:val="7ACB4CB6"/>
    <w:rsid w:val="7B02692A"/>
    <w:rsid w:val="7B486307"/>
    <w:rsid w:val="7B5B603A"/>
    <w:rsid w:val="7B5C744A"/>
    <w:rsid w:val="7BA55C3B"/>
    <w:rsid w:val="7BD858DD"/>
    <w:rsid w:val="7BE9361F"/>
    <w:rsid w:val="7C6B49A3"/>
    <w:rsid w:val="7C765821"/>
    <w:rsid w:val="7C856E44"/>
    <w:rsid w:val="7CD24A22"/>
    <w:rsid w:val="7D366D5F"/>
    <w:rsid w:val="7DD722F0"/>
    <w:rsid w:val="7E32210A"/>
    <w:rsid w:val="7EB10D93"/>
    <w:rsid w:val="7EC87E8B"/>
    <w:rsid w:val="7EF70770"/>
    <w:rsid w:val="7F052E8D"/>
    <w:rsid w:val="7F270942"/>
    <w:rsid w:val="7F413799"/>
    <w:rsid w:val="7F480FCB"/>
    <w:rsid w:val="7F5D6825"/>
    <w:rsid w:val="7F671451"/>
    <w:rsid w:val="7F674918"/>
    <w:rsid w:val="7FB83A5B"/>
    <w:rsid w:val="7FBA3C77"/>
    <w:rsid w:val="7FEC7BA9"/>
    <w:rsid w:val="7FF6458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link w:val="30"/>
    <w:qFormat/>
    <w:uiPriority w:val="0"/>
    <w:pPr>
      <w:keepNext/>
      <w:keepLines/>
      <w:spacing w:before="340" w:after="330" w:line="578" w:lineRule="auto"/>
      <w:outlineLvl w:val="0"/>
    </w:pPr>
    <w:rPr>
      <w:rFonts w:ascii="Calibri" w:hAnsi="Calibri" w:eastAsia="宋体" w:cs="Times New Roman"/>
      <w:b/>
      <w:bCs/>
      <w:kern w:val="44"/>
      <w:sz w:val="44"/>
      <w:szCs w:val="44"/>
    </w:rPr>
  </w:style>
  <w:style w:type="paragraph" w:styleId="4">
    <w:name w:val="heading 2"/>
    <w:basedOn w:val="1"/>
    <w:next w:val="1"/>
    <w:link w:val="24"/>
    <w:autoRedefine/>
    <w:unhideWhenUsed/>
    <w:qFormat/>
    <w:uiPriority w:val="9"/>
    <w:pPr>
      <w:keepNext/>
      <w:keepLines/>
      <w:widowControl/>
      <w:adjustRightInd w:val="0"/>
      <w:snapToGrid w:val="0"/>
      <w:spacing w:line="360" w:lineRule="auto"/>
      <w:jc w:val="left"/>
      <w:outlineLvl w:val="1"/>
    </w:pPr>
    <w:rPr>
      <w:rFonts w:ascii="宋体" w:hAnsi="宋体" w:eastAsia="宋体" w:cs="宋体"/>
      <w:b/>
      <w:bCs/>
      <w:kern w:val="0"/>
      <w:sz w:val="28"/>
      <w:szCs w:val="28"/>
    </w:rPr>
  </w:style>
  <w:style w:type="paragraph" w:styleId="5">
    <w:name w:val="heading 3"/>
    <w:basedOn w:val="1"/>
    <w:next w:val="1"/>
    <w:link w:val="25"/>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26"/>
    <w:autoRedefine/>
    <w:semiHidden/>
    <w:unhideWhenUsed/>
    <w:qFormat/>
    <w:uiPriority w:val="9"/>
    <w:pPr>
      <w:keepNext/>
      <w:keepLines/>
      <w:spacing w:before="280" w:after="290" w:line="376" w:lineRule="auto"/>
      <w:outlineLvl w:val="3"/>
    </w:pPr>
    <w:rPr>
      <w:rFonts w:asciiTheme="majorHAnsi" w:hAnsiTheme="majorHAnsi" w:eastAsiaTheme="majorEastAsia" w:cstheme="majorBidi"/>
      <w:b/>
      <w:bCs/>
      <w:sz w:val="28"/>
      <w:szCs w:val="28"/>
    </w:rPr>
  </w:style>
  <w:style w:type="paragraph" w:styleId="7">
    <w:name w:val="heading 7"/>
    <w:basedOn w:val="1"/>
    <w:next w:val="1"/>
    <w:unhideWhenUsed/>
    <w:qFormat/>
    <w:uiPriority w:val="0"/>
    <w:pPr>
      <w:keepNext/>
      <w:keepLines/>
      <w:spacing w:before="260" w:after="120" w:line="320" w:lineRule="auto"/>
      <w:outlineLvl w:val="6"/>
    </w:pPr>
    <w:rPr>
      <w:rFonts w:ascii="Times New Roman" w:hAnsi="Times New Roman" w:eastAsia="楷体" w:cstheme="minorBidi"/>
      <w:b/>
      <w:bCs/>
      <w:sz w:val="24"/>
      <w:szCs w:val="24"/>
    </w:rPr>
  </w:style>
  <w:style w:type="character" w:default="1" w:styleId="20">
    <w:name w:val="Default Paragraph Font"/>
    <w:autoRedefine/>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customStyle="1" w:styleId="2">
    <w:name w:val="0正文"/>
    <w:basedOn w:val="1"/>
    <w:qFormat/>
    <w:uiPriority w:val="0"/>
    <w:pPr>
      <w:ind w:firstLine="480" w:firstLineChars="200"/>
    </w:pPr>
  </w:style>
  <w:style w:type="paragraph" w:styleId="8">
    <w:name w:val="Body Text"/>
    <w:basedOn w:val="1"/>
    <w:autoRedefine/>
    <w:qFormat/>
    <w:uiPriority w:val="0"/>
    <w:pPr>
      <w:spacing w:after="120" w:afterLines="0" w:afterAutospacing="0"/>
    </w:pPr>
  </w:style>
  <w:style w:type="paragraph" w:styleId="9">
    <w:name w:val="Body Text Indent"/>
    <w:basedOn w:val="1"/>
    <w:next w:val="10"/>
    <w:qFormat/>
    <w:uiPriority w:val="0"/>
    <w:pPr>
      <w:spacing w:after="120" w:afterLines="0" w:afterAutospacing="0"/>
      <w:ind w:left="420" w:leftChars="200"/>
    </w:pPr>
  </w:style>
  <w:style w:type="paragraph" w:customStyle="1" w:styleId="10">
    <w:name w:val="样式 正文文本缩进 + 行距: 1.5 倍行距"/>
    <w:basedOn w:val="1"/>
    <w:qFormat/>
    <w:uiPriority w:val="0"/>
    <w:pPr>
      <w:spacing w:after="120"/>
      <w:ind w:left="90" w:leftChars="32" w:firstLine="560"/>
    </w:pPr>
    <w:rPr>
      <w:rFonts w:cs="宋体"/>
    </w:rPr>
  </w:style>
  <w:style w:type="paragraph" w:styleId="11">
    <w:name w:val="footer"/>
    <w:basedOn w:val="1"/>
    <w:link w:val="29"/>
    <w:autoRedefine/>
    <w:unhideWhenUsed/>
    <w:qFormat/>
    <w:uiPriority w:val="99"/>
    <w:pPr>
      <w:tabs>
        <w:tab w:val="center" w:pos="4153"/>
        <w:tab w:val="right" w:pos="8306"/>
      </w:tabs>
      <w:snapToGrid w:val="0"/>
      <w:jc w:val="left"/>
    </w:pPr>
    <w:rPr>
      <w:sz w:val="18"/>
      <w:szCs w:val="18"/>
    </w:rPr>
  </w:style>
  <w:style w:type="paragraph" w:styleId="12">
    <w:name w:val="header"/>
    <w:basedOn w:val="1"/>
    <w:link w:val="28"/>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3">
    <w:name w:val="Subtitle"/>
    <w:basedOn w:val="1"/>
    <w:next w:val="1"/>
    <w:link w:val="31"/>
    <w:autoRedefine/>
    <w:qFormat/>
    <w:uiPriority w:val="0"/>
    <w:pPr>
      <w:spacing w:line="400" w:lineRule="exact"/>
      <w:jc w:val="center"/>
    </w:pPr>
    <w:rPr>
      <w:rFonts w:ascii="Calibri" w:hAnsi="Calibri" w:eastAsia="楷体" w:cs="Times New Roman"/>
      <w:b/>
      <w:bCs/>
      <w:kern w:val="28"/>
      <w:szCs w:val="32"/>
    </w:rPr>
  </w:style>
  <w:style w:type="paragraph" w:styleId="1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paragraph" w:styleId="15">
    <w:name w:val="Title"/>
    <w:basedOn w:val="6"/>
    <w:next w:val="1"/>
    <w:link w:val="27"/>
    <w:qFormat/>
    <w:uiPriority w:val="10"/>
    <w:pPr>
      <w:adjustRightInd w:val="0"/>
      <w:snapToGrid w:val="0"/>
      <w:spacing w:before="0" w:after="0" w:line="360" w:lineRule="auto"/>
      <w:jc w:val="center"/>
    </w:pPr>
    <w:rPr>
      <w:rFonts w:ascii="黑体" w:hAnsi="黑体" w:eastAsia="黑体" w:cs="黑体"/>
      <w:sz w:val="24"/>
      <w:szCs w:val="24"/>
    </w:rPr>
  </w:style>
  <w:style w:type="paragraph" w:styleId="16">
    <w:name w:val="Body Text First Indent"/>
    <w:basedOn w:val="8"/>
    <w:autoRedefine/>
    <w:qFormat/>
    <w:uiPriority w:val="0"/>
    <w:pPr>
      <w:ind w:firstLine="420" w:firstLineChars="100"/>
    </w:pPr>
  </w:style>
  <w:style w:type="paragraph" w:styleId="17">
    <w:name w:val="Body Text First Indent 2"/>
    <w:basedOn w:val="9"/>
    <w:next w:val="1"/>
    <w:qFormat/>
    <w:uiPriority w:val="0"/>
    <w:pPr>
      <w:ind w:firstLine="420" w:firstLineChars="200"/>
    </w:pPr>
  </w:style>
  <w:style w:type="table" w:styleId="19">
    <w:name w:val="Table Grid"/>
    <w:basedOn w:val="18"/>
    <w:autoRedefine/>
    <w:qFormat/>
    <w:uiPriority w:val="59"/>
    <w:rPr>
      <w:rFonts w:ascii="Calibri" w:hAnsi="Calibri" w:eastAsia="微软雅黑" w:cs="Times New Roman"/>
      <w:kern w:val="0"/>
      <w:sz w:val="20"/>
      <w:szCs w:val="20"/>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21">
    <w:name w:val="Strong"/>
    <w:basedOn w:val="20"/>
    <w:qFormat/>
    <w:uiPriority w:val="0"/>
    <w:rPr>
      <w:b/>
    </w:rPr>
  </w:style>
  <w:style w:type="character" w:styleId="22">
    <w:name w:val="Hyperlink"/>
    <w:basedOn w:val="20"/>
    <w:qFormat/>
    <w:uiPriority w:val="0"/>
    <w:rPr>
      <w:color w:val="0000FF"/>
      <w:u w:val="single"/>
    </w:rPr>
  </w:style>
  <w:style w:type="character" w:customStyle="1" w:styleId="23">
    <w:name w:val="标题 2 字符"/>
    <w:basedOn w:val="20"/>
    <w:autoRedefine/>
    <w:semiHidden/>
    <w:qFormat/>
    <w:uiPriority w:val="9"/>
    <w:rPr>
      <w:rFonts w:asciiTheme="majorHAnsi" w:hAnsiTheme="majorHAnsi" w:eastAsiaTheme="majorEastAsia" w:cstheme="majorBidi"/>
      <w:b/>
      <w:bCs/>
      <w:sz w:val="32"/>
      <w:szCs w:val="32"/>
    </w:rPr>
  </w:style>
  <w:style w:type="character" w:customStyle="1" w:styleId="24">
    <w:name w:val="标题 2 字符1"/>
    <w:link w:val="4"/>
    <w:autoRedefine/>
    <w:qFormat/>
    <w:uiPriority w:val="9"/>
    <w:rPr>
      <w:rFonts w:ascii="宋体" w:hAnsi="宋体" w:eastAsia="宋体" w:cs="宋体"/>
      <w:b/>
      <w:bCs/>
      <w:kern w:val="0"/>
      <w:sz w:val="28"/>
      <w:szCs w:val="28"/>
    </w:rPr>
  </w:style>
  <w:style w:type="character" w:customStyle="1" w:styleId="25">
    <w:name w:val="标题 3 字符"/>
    <w:basedOn w:val="20"/>
    <w:link w:val="5"/>
    <w:autoRedefine/>
    <w:semiHidden/>
    <w:qFormat/>
    <w:uiPriority w:val="9"/>
    <w:rPr>
      <w:b/>
      <w:bCs/>
      <w:sz w:val="32"/>
      <w:szCs w:val="32"/>
    </w:rPr>
  </w:style>
  <w:style w:type="character" w:customStyle="1" w:styleId="26">
    <w:name w:val="标题 4 字符"/>
    <w:basedOn w:val="20"/>
    <w:link w:val="6"/>
    <w:autoRedefine/>
    <w:semiHidden/>
    <w:qFormat/>
    <w:uiPriority w:val="9"/>
    <w:rPr>
      <w:rFonts w:asciiTheme="majorHAnsi" w:hAnsiTheme="majorHAnsi" w:eastAsiaTheme="majorEastAsia" w:cstheme="majorBidi"/>
      <w:b/>
      <w:bCs/>
      <w:sz w:val="28"/>
      <w:szCs w:val="28"/>
    </w:rPr>
  </w:style>
  <w:style w:type="character" w:customStyle="1" w:styleId="27">
    <w:name w:val="标题 字符"/>
    <w:basedOn w:val="20"/>
    <w:link w:val="15"/>
    <w:autoRedefine/>
    <w:qFormat/>
    <w:uiPriority w:val="10"/>
    <w:rPr>
      <w:rFonts w:ascii="黑体" w:hAnsi="黑体" w:eastAsia="黑体" w:cs="黑体"/>
      <w:b/>
      <w:bCs/>
      <w:sz w:val="24"/>
      <w:szCs w:val="24"/>
    </w:rPr>
  </w:style>
  <w:style w:type="character" w:customStyle="1" w:styleId="28">
    <w:name w:val="页眉 字符"/>
    <w:basedOn w:val="20"/>
    <w:link w:val="12"/>
    <w:autoRedefine/>
    <w:qFormat/>
    <w:uiPriority w:val="99"/>
    <w:rPr>
      <w:sz w:val="18"/>
      <w:szCs w:val="18"/>
    </w:rPr>
  </w:style>
  <w:style w:type="character" w:customStyle="1" w:styleId="29">
    <w:name w:val="页脚 字符"/>
    <w:basedOn w:val="20"/>
    <w:link w:val="11"/>
    <w:autoRedefine/>
    <w:qFormat/>
    <w:uiPriority w:val="99"/>
    <w:rPr>
      <w:sz w:val="18"/>
      <w:szCs w:val="18"/>
    </w:rPr>
  </w:style>
  <w:style w:type="character" w:customStyle="1" w:styleId="30">
    <w:name w:val="标题 1 字符"/>
    <w:basedOn w:val="20"/>
    <w:link w:val="3"/>
    <w:autoRedefine/>
    <w:qFormat/>
    <w:uiPriority w:val="0"/>
    <w:rPr>
      <w:rFonts w:ascii="Calibri" w:hAnsi="Calibri" w:eastAsia="宋体" w:cs="Times New Roman"/>
      <w:b/>
      <w:bCs/>
      <w:kern w:val="44"/>
      <w:sz w:val="44"/>
      <w:szCs w:val="44"/>
    </w:rPr>
  </w:style>
  <w:style w:type="character" w:customStyle="1" w:styleId="31">
    <w:name w:val="副标题 字符"/>
    <w:basedOn w:val="20"/>
    <w:link w:val="13"/>
    <w:autoRedefine/>
    <w:qFormat/>
    <w:uiPriority w:val="0"/>
    <w:rPr>
      <w:rFonts w:ascii="Calibri" w:hAnsi="Calibri" w:eastAsia="楷体" w:cs="Times New Roman"/>
      <w:b/>
      <w:bCs/>
      <w:kern w:val="28"/>
      <w:szCs w:val="32"/>
    </w:rPr>
  </w:style>
  <w:style w:type="paragraph" w:styleId="32">
    <w:name w:val="List Paragraph"/>
    <w:basedOn w:val="1"/>
    <w:autoRedefine/>
    <w:qFormat/>
    <w:uiPriority w:val="34"/>
    <w:pPr>
      <w:ind w:firstLine="420" w:firstLineChars="200"/>
    </w:pPr>
  </w:style>
  <w:style w:type="paragraph" w:customStyle="1" w:styleId="33">
    <w:name w:val="普通(网站)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4">
    <w:name w:val="普通(网站) Char Char"/>
    <w:basedOn w:val="1"/>
    <w:autoRedefine/>
    <w:qFormat/>
    <w:uiPriority w:val="0"/>
    <w:pPr>
      <w:spacing w:before="0" w:beforeAutospacing="1" w:after="0" w:afterAutospacing="1"/>
      <w:ind w:left="0" w:right="0"/>
      <w:jc w:val="left"/>
    </w:pPr>
    <w:rPr>
      <w:rFonts w:hint="eastAsia" w:ascii="宋体" w:hAnsi="宋体" w:eastAsia="宋体" w:cs="宋体"/>
      <w:kern w:val="0"/>
      <w:sz w:val="24"/>
      <w:szCs w:val="24"/>
      <w:lang w:val="en-US" w:eastAsia="zh-CN" w:bidi="ar"/>
    </w:rPr>
  </w:style>
  <w:style w:type="paragraph" w:customStyle="1" w:styleId="35">
    <w:name w:val="+正文"/>
    <w:basedOn w:val="1"/>
    <w:qFormat/>
    <w:uiPriority w:val="99"/>
    <w:pPr>
      <w:spacing w:line="360" w:lineRule="auto"/>
      <w:ind w:firstLine="200" w:firstLineChars="200"/>
    </w:pPr>
    <w:rPr>
      <w:rFonts w:ascii="Times New Roman" w:hAnsi="Times New Roman" w:cs="Times New Roman"/>
      <w:sz w:val="24"/>
      <w:szCs w:val="24"/>
    </w:rPr>
  </w:style>
  <w:style w:type="paragraph" w:customStyle="1" w:styleId="36">
    <w:name w:val="表格内容"/>
    <w:basedOn w:val="1"/>
    <w:qFormat/>
    <w:uiPriority w:val="99"/>
    <w:pPr>
      <w:widowControl/>
      <w:overflowPunct w:val="0"/>
      <w:autoSpaceDE w:val="0"/>
      <w:autoSpaceDN w:val="0"/>
      <w:adjustRightInd w:val="0"/>
      <w:jc w:val="center"/>
      <w:textAlignment w:val="baseline"/>
    </w:pPr>
    <w:rPr>
      <w:rFonts w:ascii="Times New Roman" w:hAnsi="Times New Roman" w:cs="Times New Roman"/>
      <w:kern w:val="0"/>
    </w:rPr>
  </w:style>
  <w:style w:type="paragraph" w:customStyle="1" w:styleId="37">
    <w:name w:val="表格内容-居中"/>
    <w:basedOn w:val="1"/>
    <w:qFormat/>
    <w:uiPriority w:val="99"/>
    <w:pPr>
      <w:widowControl/>
      <w:overflowPunct w:val="0"/>
      <w:autoSpaceDE w:val="0"/>
      <w:autoSpaceDN w:val="0"/>
      <w:adjustRightInd w:val="0"/>
      <w:spacing w:before="40" w:after="40" w:line="300" w:lineRule="exact"/>
      <w:jc w:val="center"/>
      <w:textAlignment w:val="baseline"/>
    </w:pPr>
    <w:rPr>
      <w:rFonts w:ascii="Times New Roman" w:hAnsi="Times New Roman" w:cs="Times New Roman"/>
      <w:kern w:val="0"/>
      <w:sz w:val="24"/>
      <w:szCs w:val="24"/>
    </w:rPr>
  </w:style>
  <w:style w:type="character" w:customStyle="1" w:styleId="38">
    <w:name w:val="font31"/>
    <w:basedOn w:val="20"/>
    <w:qFormat/>
    <w:uiPriority w:val="0"/>
    <w:rPr>
      <w:rFonts w:hint="eastAsia" w:ascii="华文楷体" w:hAnsi="华文楷体" w:eastAsia="华文楷体" w:cs="华文楷体"/>
      <w:color w:val="000000"/>
      <w:sz w:val="22"/>
      <w:szCs w:val="22"/>
      <w:u w:val="none"/>
      <w:vertAlign w:val="subscript"/>
    </w:rPr>
  </w:style>
  <w:style w:type="character" w:customStyle="1" w:styleId="39">
    <w:name w:val="font21"/>
    <w:basedOn w:val="20"/>
    <w:qFormat/>
    <w:uiPriority w:val="0"/>
    <w:rPr>
      <w:rFonts w:hint="eastAsia" w:ascii="华文楷体" w:hAnsi="华文楷体" w:eastAsia="华文楷体" w:cs="华文楷体"/>
      <w:color w:val="000000"/>
      <w:sz w:val="22"/>
      <w:szCs w:val="22"/>
      <w:u w:val="none"/>
    </w:rPr>
  </w:style>
  <w:style w:type="character" w:customStyle="1" w:styleId="40">
    <w:name w:val="font41"/>
    <w:basedOn w:val="20"/>
    <w:qFormat/>
    <w:uiPriority w:val="0"/>
    <w:rPr>
      <w:rFonts w:hint="eastAsia" w:ascii="华文楷体" w:hAnsi="华文楷体" w:eastAsia="华文楷体" w:cs="华文楷体"/>
      <w:color w:val="000000"/>
      <w:sz w:val="22"/>
      <w:szCs w:val="22"/>
      <w:u w:val="none"/>
      <w:vertAlign w:val="superscript"/>
    </w:rPr>
  </w:style>
  <w:style w:type="character" w:customStyle="1" w:styleId="41">
    <w:name w:val="font11"/>
    <w:basedOn w:val="20"/>
    <w:qFormat/>
    <w:uiPriority w:val="0"/>
    <w:rPr>
      <w:rFonts w:hint="eastAsia" w:ascii="华文楷体" w:hAnsi="华文楷体" w:eastAsia="华文楷体" w:cs="华文楷体"/>
      <w:color w:val="000000"/>
      <w:sz w:val="22"/>
      <w:szCs w:val="22"/>
      <w:u w:val="none"/>
    </w:rPr>
  </w:style>
  <w:style w:type="paragraph" w:customStyle="1" w:styleId="42">
    <w:name w:val="EndNote Bibliography"/>
    <w:basedOn w:val="1"/>
    <w:autoRedefine/>
    <w:qFormat/>
    <w:uiPriority w:val="0"/>
    <w:pPr>
      <w:ind w:firstLine="200" w:firstLineChars="200"/>
      <w:jc w:val="left"/>
    </w:pPr>
    <w:rPr>
      <w:sz w:val="20"/>
    </w:rPr>
  </w:style>
  <w:style w:type="paragraph" w:customStyle="1" w:styleId="43">
    <w:name w:val="列出段落1"/>
    <w:basedOn w:val="1"/>
    <w:qFormat/>
    <w:uiPriority w:val="34"/>
    <w:pPr>
      <w:ind w:firstLine="420" w:firstLineChars="200"/>
    </w:pPr>
  </w:style>
  <w:style w:type="paragraph" w:customStyle="1" w:styleId="44">
    <w:name w:val="正文文本1"/>
    <w:basedOn w:val="1"/>
    <w:qFormat/>
    <w:uiPriority w:val="0"/>
    <w:pPr>
      <w:shd w:val="clear" w:color="auto" w:fill="FFFFFF"/>
      <w:spacing w:line="610" w:lineRule="exact"/>
      <w:jc w:val="center"/>
    </w:pPr>
    <w:rPr>
      <w:rFonts w:ascii="宋体" w:hAnsi="宋体" w:eastAsia="宋体" w:cs="宋体"/>
      <w:sz w:val="28"/>
      <w:szCs w:val="2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5666</Words>
  <Characters>6643</Characters>
  <Lines>35</Lines>
  <Paragraphs>9</Paragraphs>
  <TotalTime>2</TotalTime>
  <ScaleCrop>false</ScaleCrop>
  <LinksUpToDate>false</LinksUpToDate>
  <CharactersWithSpaces>6694</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2022-09-27T07:43:00Z</dcterms:created>
  <dc:creator>Liao KangCheng</dc:creator>
  <cp:lastModifiedBy>白海丹</cp:lastModifiedBy>
  <dcterms:modified xsi:type="dcterms:W3CDTF">2026-06-10T01:31:54Z</dcterms:modified>
  <cp:revision>86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012170A0420347A89154D3512890171D_12</vt:lpwstr>
  </property>
  <property fmtid="{D5CDD505-2E9C-101B-9397-08002B2CF9AE}" pid="4" name="KSOTemplateDocerSaveRecord">
    <vt:lpwstr>eyJoZGlkIjoiYjVlOTE0MGRkN2E0MWU0MDEyNjJkNTdlYmU3ZGQ5YzUiLCJ1c2VySWQiOiI0NDQ3MDkxMjgifQ==</vt:lpwstr>
  </property>
</Properties>
</file>