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02353C7F">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bookmarkStart w:id="0" w:name="_Hlk88569120"/>
      <w:r>
        <w:rPr>
          <w:rFonts w:hint="eastAsia" w:ascii="隶书" w:hAnsi="隶书" w:eastAsia="隶书" w:cs="隶书"/>
          <w:lang w:val="en-US" w:eastAsia="zh-CN"/>
        </w:rPr>
        <w:t>全过程动态控制在工程结算审计中的</w:t>
      </w:r>
    </w:p>
    <w:p w14:paraId="3CB71FD1">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应用研究—以化工技改项目为例</w:t>
      </w:r>
    </w:p>
    <w:p w14:paraId="7A398897">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王思义</w:t>
      </w:r>
    </w:p>
    <w:p w14:paraId="5CBFC8D6">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云南三环中化化肥有限公司</w:t>
      </w:r>
    </w:p>
    <w:bookmarkEnd w:id="0"/>
    <w:p w14:paraId="7399C64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 w:val="21"/>
          <w:szCs w:val="21"/>
          <w:lang w:val="en-US" w:eastAsia="zh-CN"/>
        </w:rPr>
      </w:pPr>
    </w:p>
    <w:p w14:paraId="77374A1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摘要：</w:t>
      </w:r>
      <w:r>
        <w:rPr>
          <w:rFonts w:hint="eastAsia" w:ascii="宋体" w:hAnsi="宋体" w:eastAsia="宋体" w:cs="宋体"/>
          <w:b w:val="0"/>
          <w:bCs w:val="0"/>
          <w:sz w:val="21"/>
          <w:szCs w:val="21"/>
          <w:lang w:val="en-US" w:eastAsia="zh-CN"/>
        </w:rPr>
        <w:t>建设工程结算审计是工程造价合理确定与有效管控的关键闭环环节，对维护建筑市场秩序、保障投资效益具有重要作用。当前，结算审计多采取“事后审计”模式，存在诸多局限与风险。本文结合工程造价管理理论与实践，提出将审计思维“前置”并贯穿项目始终，构建以合同为纲领、资料为基础、过程为核心的全过程动态控制审计策略。通过理论探讨及典型案例分析，重点阐述在资料甄别、合同理解、变更签证管理等关键环节的审计重点与应对方法，目的就是让结算审计更准、更快，为项目投资控制提供专业支撑。</w:t>
      </w:r>
    </w:p>
    <w:p w14:paraId="63055C7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关键词：</w:t>
      </w:r>
      <w:r>
        <w:rPr>
          <w:rFonts w:hint="eastAsia" w:ascii="宋体" w:hAnsi="宋体" w:eastAsia="宋体" w:cs="宋体"/>
          <w:b w:val="0"/>
          <w:bCs w:val="0"/>
          <w:sz w:val="21"/>
          <w:szCs w:val="21"/>
          <w:lang w:val="en-US" w:eastAsia="zh-CN"/>
        </w:rPr>
        <w:t>结算审计 造价控制 全过程动态控制 合同管理 变更签证</w:t>
      </w:r>
    </w:p>
    <w:p w14:paraId="539D971C">
      <w:pPr>
        <w:pStyle w:val="1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right="0" w:firstLine="420" w:firstLineChars="20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随着我国工程建设规模愈大、建筑市场的日益错综复杂，工程造价的合理确定与有效控制是影响工程项目的重要因素。工程结算是一笔建设项目的收结工程，工程结算审计是核定工程实际造价的法定程序和主要环节。传统的工程结算审计普遍是在工程结束以后批量安排审计，这是一种“事后审计”。这种审计“事后”进行，审计人员面对的既成的工程状态及复杂的书面材料，其中心任务是对送审结算的合理性、真实性、准确性鉴定。但是由于审计人员难以体验到真实的施工过程，无法追溯隐蔽、过程签证的真实性，无法判定变动的必要性，这些都很大程度上依靠建设单位和施工单位提送的资料，有一定的审计风险。</w:t>
      </w:r>
    </w:p>
    <w:p w14:paraId="786E6CEC">
      <w:pPr>
        <w:keepNext w:val="0"/>
        <w:keepLines w:val="0"/>
        <w:pageBreakBefore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i w:val="0"/>
          <w:iCs w:val="0"/>
          <w:caps w:val="0"/>
          <w:color w:val="16A34A"/>
          <w:spacing w:val="0"/>
          <w:sz w:val="21"/>
          <w:szCs w:val="21"/>
        </w:rPr>
      </w:pPr>
      <w:r>
        <w:rPr>
          <w:rFonts w:hint="eastAsia" w:ascii="宋体" w:hAnsi="宋体" w:eastAsia="宋体" w:cs="宋体"/>
          <w:i w:val="0"/>
          <w:iCs w:val="0"/>
          <w:caps w:val="0"/>
          <w:color w:val="0F1115"/>
          <w:spacing w:val="0"/>
          <w:kern w:val="2"/>
          <w:sz w:val="21"/>
          <w:szCs w:val="21"/>
          <w:shd w:val="clear" w:fill="FFFFFF"/>
          <w:lang w:val="en-US" w:eastAsia="zh-CN" w:bidi="ar-SA"/>
        </w:rPr>
        <w:t>因此，如何使审计模式由被动核价转向主动控制，是当前亟须解决的问题。结合工程造价审核、审计的实践便可发现，结算审计的本质应该定位在对项目合同履约全过程进行的动态管理——探索实现有效有效的工程造价系统性的“事前”掌控、全过程“事中”控制和及时性的“事后”核对，以实现最终确定“正确”的工程造价、达到“有效”控制工程投资的管理效果。</w:t>
      </w:r>
    </w:p>
    <w:p w14:paraId="5C6BDF3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1工程结算审计难点与风险分析</w:t>
      </w:r>
    </w:p>
    <w:p w14:paraId="6EDB7DFF">
      <w:pPr>
        <w:keepNext w:val="0"/>
        <w:keepLines w:val="0"/>
        <w:pageBreakBefore w:val="0"/>
        <w:kinsoku/>
        <w:wordWrap/>
        <w:overflowPunct/>
        <w:topLinePunct w:val="0"/>
        <w:autoSpaceDE/>
        <w:autoSpaceDN/>
        <w:bidi w:val="0"/>
        <w:adjustRightInd/>
        <w:snapToGrid/>
        <w:spacing w:line="400" w:lineRule="exact"/>
        <w:ind w:firstLine="422" w:firstLineChars="200"/>
        <w:jc w:val="left"/>
        <w:textAlignment w:val="auto"/>
        <w:rPr>
          <w:rStyle w:val="20"/>
          <w:rFonts w:hint="eastAsia" w:ascii="宋体" w:hAnsi="宋体" w:eastAsia="宋体" w:cs="宋体"/>
          <w:b w:val="0"/>
          <w:bCs w:val="0"/>
          <w:i w:val="0"/>
          <w:iCs w:val="0"/>
          <w:caps w:val="0"/>
          <w:color w:val="0F1115"/>
          <w:spacing w:val="0"/>
          <w:kern w:val="2"/>
          <w:sz w:val="21"/>
          <w:szCs w:val="21"/>
          <w:shd w:val="clear" w:fill="FFFFFF"/>
          <w:lang w:val="en-US" w:eastAsia="zh-CN" w:bidi="ar-SA"/>
        </w:rPr>
      </w:pPr>
      <w:r>
        <w:rPr>
          <w:rStyle w:val="20"/>
          <w:rFonts w:hint="eastAsia" w:ascii="宋体" w:hAnsi="宋体" w:eastAsia="宋体" w:cs="宋体"/>
          <w:b/>
          <w:bCs/>
          <w:i w:val="0"/>
          <w:iCs w:val="0"/>
          <w:caps w:val="0"/>
          <w:color w:val="0F1115"/>
          <w:spacing w:val="0"/>
          <w:kern w:val="2"/>
          <w:sz w:val="21"/>
          <w:szCs w:val="21"/>
          <w:shd w:val="clear" w:fill="FFFFFF"/>
          <w:lang w:val="en-US" w:eastAsia="zh-CN" w:bidi="ar-SA"/>
        </w:rPr>
        <w:t>1.1资料依赖性大，真实可靠性难保障：</w:t>
      </w:r>
      <w:r>
        <w:rPr>
          <w:rStyle w:val="20"/>
          <w:rFonts w:hint="eastAsia" w:ascii="宋体" w:hAnsi="宋体" w:eastAsia="宋体" w:cs="宋体"/>
          <w:b w:val="0"/>
          <w:bCs w:val="0"/>
          <w:i w:val="0"/>
          <w:iCs w:val="0"/>
          <w:caps w:val="0"/>
          <w:color w:val="0F1115"/>
          <w:spacing w:val="0"/>
          <w:kern w:val="2"/>
          <w:sz w:val="21"/>
          <w:szCs w:val="21"/>
          <w:shd w:val="clear" w:fill="FFFFFF"/>
          <w:lang w:val="en-US" w:eastAsia="zh-CN" w:bidi="ar-SA"/>
        </w:rPr>
        <w:t>事后审计的依赖性就是依赖送审资料。即使有送审资料清单标准化，但难免完整性、真实性、可验证性却是其风险焦点所在。比如隐蔽工程记录、现场签证，其签字齐备、文件真实性、是否是事后生成等，都要求审计人员有具体的判断力，否则容易被蒙骗。</w:t>
      </w:r>
    </w:p>
    <w:p w14:paraId="6626BFF4">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firstLine="422" w:firstLineChars="200"/>
        <w:textAlignment w:val="auto"/>
        <w:rPr>
          <w:rStyle w:val="20"/>
          <w:rFonts w:hint="eastAsia" w:ascii="宋体" w:hAnsi="宋体" w:eastAsia="宋体" w:cs="宋体"/>
          <w:b w:val="0"/>
          <w:bCs w:val="0"/>
          <w:i w:val="0"/>
          <w:iCs w:val="0"/>
          <w:caps w:val="0"/>
          <w:color w:val="0F1115"/>
          <w:spacing w:val="0"/>
          <w:kern w:val="2"/>
          <w:sz w:val="21"/>
          <w:szCs w:val="21"/>
          <w:shd w:val="clear" w:fill="FFFFFF"/>
          <w:lang w:val="en-US" w:eastAsia="zh-CN" w:bidi="ar-SA"/>
        </w:rPr>
      </w:pPr>
      <w:r>
        <w:rPr>
          <w:rStyle w:val="20"/>
          <w:rFonts w:hint="eastAsia" w:ascii="宋体" w:hAnsi="宋体" w:eastAsia="宋体" w:cs="宋体"/>
          <w:bCs/>
          <w:i w:val="0"/>
          <w:iCs w:val="0"/>
          <w:caps w:val="0"/>
          <w:color w:val="0F1115"/>
          <w:spacing w:val="0"/>
          <w:kern w:val="2"/>
          <w:sz w:val="21"/>
          <w:szCs w:val="21"/>
          <w:shd w:val="clear" w:fill="FFFFFF"/>
          <w:lang w:val="en-US" w:eastAsia="zh-CN" w:bidi="ar-SA"/>
        </w:rPr>
        <w:t>1.2合同条款易有不同的理解，执行中差错多：</w:t>
      </w:r>
      <w:r>
        <w:rPr>
          <w:rStyle w:val="20"/>
          <w:rFonts w:hint="eastAsia" w:ascii="宋体" w:hAnsi="宋体" w:eastAsia="宋体" w:cs="宋体"/>
          <w:b w:val="0"/>
          <w:bCs w:val="0"/>
          <w:i w:val="0"/>
          <w:iCs w:val="0"/>
          <w:caps w:val="0"/>
          <w:color w:val="0F1115"/>
          <w:spacing w:val="0"/>
          <w:kern w:val="2"/>
          <w:sz w:val="21"/>
          <w:szCs w:val="21"/>
          <w:shd w:val="clear" w:fill="FFFFFF"/>
          <w:lang w:val="en-US" w:eastAsia="zh-CN" w:bidi="ar-SA"/>
        </w:rPr>
        <w:t>施工合同是工程结算依据的本源，施工合同本身的要约条款（如计价模式、风险承担、变更调价办法、索赔抵扣办法等）在执行中容易由于双方利益意愿相差太大产生理解上分歧。施工方常变换相应的观点，利用对己有利点加以曲解。万一建设单位现场履约管理人员不够，合同执行监督乏力，结算扯皮势必频频发生，费用水平失控。</w:t>
      </w:r>
    </w:p>
    <w:p w14:paraId="7A0BC195">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firstLine="422" w:firstLineChars="200"/>
        <w:textAlignment w:val="auto"/>
        <w:rPr>
          <w:rStyle w:val="20"/>
          <w:rFonts w:hint="eastAsia" w:ascii="宋体" w:hAnsi="宋体" w:eastAsia="宋体" w:cs="宋体"/>
          <w:b w:val="0"/>
          <w:bCs w:val="0"/>
          <w:i w:val="0"/>
          <w:iCs w:val="0"/>
          <w:caps w:val="0"/>
          <w:color w:val="0F1115"/>
          <w:spacing w:val="0"/>
          <w:kern w:val="2"/>
          <w:sz w:val="21"/>
          <w:szCs w:val="21"/>
          <w:shd w:val="clear" w:fill="FFFFFF"/>
          <w:lang w:val="en-US" w:eastAsia="zh-CN" w:bidi="ar-SA"/>
        </w:rPr>
      </w:pPr>
      <w:r>
        <w:rPr>
          <w:rStyle w:val="20"/>
          <w:rFonts w:hint="eastAsia" w:ascii="宋体" w:hAnsi="宋体" w:eastAsia="宋体" w:cs="宋体"/>
          <w:bCs/>
          <w:i w:val="0"/>
          <w:iCs w:val="0"/>
          <w:caps w:val="0"/>
          <w:color w:val="0F1115"/>
          <w:spacing w:val="0"/>
          <w:kern w:val="2"/>
          <w:sz w:val="21"/>
          <w:szCs w:val="21"/>
          <w:shd w:val="clear" w:fill="FFFFFF"/>
          <w:lang w:val="en-US" w:eastAsia="zh-CN" w:bidi="ar-SA"/>
        </w:rPr>
        <w:t>1.3变更签证不合规，计价有争议：</w:t>
      </w:r>
      <w:r>
        <w:rPr>
          <w:rStyle w:val="20"/>
          <w:rFonts w:hint="eastAsia" w:ascii="宋体" w:hAnsi="宋体" w:eastAsia="宋体" w:cs="宋体"/>
          <w:b w:val="0"/>
          <w:bCs w:val="0"/>
          <w:i w:val="0"/>
          <w:iCs w:val="0"/>
          <w:caps w:val="0"/>
          <w:color w:val="0F1115"/>
          <w:spacing w:val="0"/>
          <w:kern w:val="2"/>
          <w:sz w:val="21"/>
          <w:szCs w:val="21"/>
          <w:shd w:val="clear" w:fill="FFFFFF"/>
          <w:lang w:val="en-US" w:eastAsia="zh-CN" w:bidi="ar-SA"/>
        </w:rPr>
        <w:t>设计变更和现场签证是施工结算超概算发生率最高的问题，其风险来源主要在于两类：设计变更和现场签证的合规性风险，设计变更是否真实地得到了原设计单位的正式设计，签证是否由合同约定的有权签约人签章，关乎签证的合规性问题；计价的合理性风险，对约定下浮率的项目，设计变更、现场签证新增部分计价也是不是按照下浮率来确定，通常是双方争议的焦点。</w:t>
      </w:r>
    </w:p>
    <w:p w14:paraId="02122B37">
      <w:pPr>
        <w:keepNext w:val="0"/>
        <w:keepLines w:val="0"/>
        <w:pageBreakBefore w:val="0"/>
        <w:kinsoku/>
        <w:wordWrap/>
        <w:overflowPunct/>
        <w:topLinePunct w:val="0"/>
        <w:autoSpaceDE/>
        <w:autoSpaceDN/>
        <w:bidi w:val="0"/>
        <w:adjustRightInd/>
        <w:snapToGrid/>
        <w:spacing w:line="400" w:lineRule="exact"/>
        <w:ind w:firstLine="422" w:firstLineChars="200"/>
        <w:jc w:val="left"/>
        <w:textAlignment w:val="auto"/>
        <w:rPr>
          <w:rStyle w:val="20"/>
          <w:rFonts w:hint="eastAsia" w:ascii="宋体" w:hAnsi="宋体" w:eastAsia="宋体" w:cs="宋体"/>
          <w:b w:val="0"/>
          <w:bCs w:val="0"/>
          <w:i w:val="0"/>
          <w:iCs w:val="0"/>
          <w:caps w:val="0"/>
          <w:color w:val="0F1115"/>
          <w:spacing w:val="0"/>
          <w:kern w:val="2"/>
          <w:sz w:val="21"/>
          <w:szCs w:val="21"/>
          <w:shd w:val="clear" w:fill="FFFFFF"/>
          <w:lang w:val="en-US" w:eastAsia="zh-CN" w:bidi="ar-SA"/>
        </w:rPr>
      </w:pPr>
      <w:r>
        <w:rPr>
          <w:rStyle w:val="20"/>
          <w:rFonts w:hint="eastAsia" w:ascii="宋体" w:hAnsi="宋体" w:eastAsia="宋体" w:cs="宋体"/>
          <w:bCs/>
          <w:i w:val="0"/>
          <w:iCs w:val="0"/>
          <w:caps w:val="0"/>
          <w:color w:val="0F1115"/>
          <w:spacing w:val="0"/>
          <w:kern w:val="2"/>
          <w:sz w:val="21"/>
          <w:szCs w:val="21"/>
          <w:shd w:val="clear" w:fill="FFFFFF"/>
          <w:lang w:val="en-US" w:eastAsia="zh-CN" w:bidi="ar-SA"/>
        </w:rPr>
        <w:t>1.4技术脱离经济、成本难以统计真实：</w:t>
      </w:r>
      <w:r>
        <w:rPr>
          <w:rStyle w:val="20"/>
          <w:rFonts w:hint="eastAsia" w:ascii="宋体" w:hAnsi="宋体" w:eastAsia="宋体" w:cs="宋体"/>
          <w:b w:val="0"/>
          <w:bCs w:val="0"/>
          <w:i w:val="0"/>
          <w:iCs w:val="0"/>
          <w:caps w:val="0"/>
          <w:color w:val="0F1115"/>
          <w:spacing w:val="0"/>
          <w:kern w:val="2"/>
          <w:sz w:val="21"/>
          <w:szCs w:val="21"/>
          <w:shd w:val="clear" w:fill="FFFFFF"/>
          <w:lang w:val="en-US" w:eastAsia="zh-CN" w:bidi="ar-SA"/>
        </w:rPr>
        <w:t>结算审计工作可不是简单的加减乘除，需要把工程所蕴含的技术、施工的过程技术和造价管理进行关联融合，如设计变更只是增加了或者减少了实物工程量，更是由此及彼牵一发动全身使模板、脚手架等措施项目费发生调整，甚而修改工期有关的费用也会“牵一发而动全身”，如果结算审计只是关注直接费用而忽略这类相关引起的差异和影响，则结算部分不能真正、准确反映出设计变更对工程造价的影响。</w:t>
      </w:r>
    </w:p>
    <w:p w14:paraId="6EAB99D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2全过程动态控制审计的思路设计与实行</w:t>
      </w:r>
    </w:p>
    <w:p w14:paraId="38BADA58">
      <w:pPr>
        <w:keepNext w:val="0"/>
        <w:keepLines w:val="0"/>
        <w:pageBreakBefore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i w:val="0"/>
          <w:iCs w:val="0"/>
          <w:caps w:val="0"/>
          <w:color w:val="FF0000"/>
          <w:spacing w:val="0"/>
          <w:kern w:val="2"/>
          <w:sz w:val="21"/>
          <w:szCs w:val="21"/>
          <w:highlight w:val="none"/>
          <w:shd w:val="clear" w:fill="FFFFFF"/>
          <w:lang w:val="en-US" w:eastAsia="zh-CN" w:bidi="ar-SA"/>
        </w:rPr>
      </w:pPr>
      <w:r>
        <w:rPr>
          <w:rStyle w:val="20"/>
          <w:rFonts w:hint="eastAsia" w:ascii="宋体" w:hAnsi="宋体" w:eastAsia="宋体" w:cs="宋体"/>
          <w:b w:val="0"/>
          <w:bCs w:val="0"/>
          <w:i w:val="0"/>
          <w:iCs w:val="0"/>
          <w:caps w:val="0"/>
          <w:color w:val="0F1115"/>
          <w:spacing w:val="0"/>
          <w:kern w:val="2"/>
          <w:sz w:val="21"/>
          <w:szCs w:val="21"/>
          <w:shd w:val="clear" w:fill="FFFFFF"/>
          <w:lang w:val="en-US" w:eastAsia="zh-CN" w:bidi="ar-SA"/>
        </w:rPr>
        <w:t>对于上述各类审计“难点”，本文构建“全过程动态控制”审计策略模型（见图1）。该模型的核心是审计人员要改变过去被动的姿态，不是仅仅审核竣工后的工程结算，而要把审计的风险防范关口前移，主动地介入工程建设各环节，为“合理确定造价”防患于未然。</w:t>
      </w:r>
    </w:p>
    <w:p w14:paraId="08596B19">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Style w:val="20"/>
          <w:rFonts w:hint="eastAsia" w:ascii="宋体" w:hAnsi="宋体" w:eastAsia="宋体" w:cs="宋体"/>
          <w:b/>
          <w:bCs/>
          <w:i w:val="0"/>
          <w:iCs w:val="0"/>
          <w:caps w:val="0"/>
          <w:color w:val="FF0000"/>
          <w:spacing w:val="0"/>
          <w:sz w:val="21"/>
          <w:szCs w:val="21"/>
          <w:shd w:val="clear" w:fill="FFFFFF"/>
          <w:lang w:eastAsia="zh-CN"/>
        </w:rPr>
      </w:pPr>
      <w:r>
        <w:rPr>
          <w:rFonts w:hint="eastAsia" w:ascii="宋体" w:hAnsi="宋体" w:eastAsia="宋体" w:cs="宋体"/>
          <w:color w:val="FF0000"/>
          <w:sz w:val="21"/>
          <w:szCs w:val="21"/>
        </w:rPr>
        <w:drawing>
          <wp:inline distT="0" distB="0" distL="114300" distR="114300">
            <wp:extent cx="5427345" cy="1529080"/>
            <wp:effectExtent l="0" t="0" r="1905" b="1397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4"/>
                    <a:stretch>
                      <a:fillRect/>
                    </a:stretch>
                  </pic:blipFill>
                  <pic:spPr>
                    <a:xfrm>
                      <a:off x="0" y="0"/>
                      <a:ext cx="5427345" cy="1529080"/>
                    </a:xfrm>
                    <a:prstGeom prst="rect">
                      <a:avLst/>
                    </a:prstGeom>
                    <a:noFill/>
                    <a:ln>
                      <a:noFill/>
                    </a:ln>
                  </pic:spPr>
                </pic:pic>
              </a:graphicData>
            </a:graphic>
          </wp:inline>
        </w:drawing>
      </w:r>
    </w:p>
    <w:p w14:paraId="43342E8F">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图1 “全过程动态控制” 审计策略模型</w:t>
      </w:r>
    </w:p>
    <w:p w14:paraId="5FB5F0D3">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Style w:val="20"/>
          <w:rFonts w:hint="eastAsia" w:ascii="宋体" w:hAnsi="宋体" w:eastAsia="宋体" w:cs="宋体"/>
          <w:b w:val="0"/>
          <w:bCs w:val="0"/>
          <w:i w:val="0"/>
          <w:iCs w:val="0"/>
          <w:caps w:val="0"/>
          <w:color w:val="0F1115"/>
          <w:spacing w:val="0"/>
          <w:kern w:val="2"/>
          <w:sz w:val="21"/>
          <w:szCs w:val="21"/>
          <w:shd w:val="clear" w:fill="FFFFFF"/>
          <w:lang w:val="en-US" w:eastAsia="zh-CN" w:bidi="ar-SA"/>
        </w:rPr>
      </w:pPr>
      <w:r>
        <w:rPr>
          <w:rStyle w:val="20"/>
          <w:rFonts w:hint="eastAsia" w:ascii="宋体" w:hAnsi="宋体" w:eastAsia="宋体" w:cs="宋体"/>
          <w:b w:val="0"/>
          <w:bCs w:val="0"/>
          <w:i w:val="0"/>
          <w:iCs w:val="0"/>
          <w:caps w:val="0"/>
          <w:color w:val="0F1115"/>
          <w:spacing w:val="0"/>
          <w:kern w:val="2"/>
          <w:sz w:val="21"/>
          <w:szCs w:val="21"/>
          <w:shd w:val="clear" w:fill="FFFFFF"/>
          <w:lang w:val="en-US" w:eastAsia="zh-CN" w:bidi="ar-SA"/>
        </w:rPr>
        <w:t>本模型设计工程结算审计全过程动态控制的三大基本内涵。“全过程动态管理”是全过程审计的纵向时间管理，始终贯穿工程项目；“合同条文贯穿始末”是整个审计判断的横向基础和准则；“合同变更签证的闭合管理”是人们对“实际造价变动”关键控制点的管理。“三大系统”环环扣砌、互为推动“合理确定造价、有效控制投资”的最终目标。下面对模型三大支柱着重论述。</w:t>
      </w:r>
    </w:p>
    <w:p w14:paraId="3AADA43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2.1资料审核的前置与动态管理</w:t>
      </w:r>
    </w:p>
    <w:p w14:paraId="2836255D">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Style w:val="20"/>
          <w:rFonts w:hint="eastAsia" w:ascii="宋体" w:hAnsi="宋体" w:eastAsia="宋体" w:cs="宋体"/>
          <w:b w:val="0"/>
          <w:bCs w:val="0"/>
          <w:i w:val="0"/>
          <w:iCs w:val="0"/>
          <w:caps w:val="0"/>
          <w:color w:val="0F1115"/>
          <w:spacing w:val="0"/>
          <w:kern w:val="2"/>
          <w:sz w:val="21"/>
          <w:szCs w:val="21"/>
          <w:shd w:val="clear" w:fill="FFFFFF"/>
          <w:lang w:val="en-US" w:eastAsia="zh-CN" w:bidi="ar-SA"/>
        </w:rPr>
      </w:pPr>
      <w:r>
        <w:rPr>
          <w:rStyle w:val="20"/>
          <w:rFonts w:hint="eastAsia" w:ascii="宋体" w:hAnsi="宋体" w:eastAsia="宋体" w:cs="宋体"/>
          <w:b w:val="0"/>
          <w:bCs w:val="0"/>
          <w:i w:val="0"/>
          <w:iCs w:val="0"/>
          <w:caps w:val="0"/>
          <w:color w:val="0F1115"/>
          <w:spacing w:val="0"/>
          <w:kern w:val="2"/>
          <w:sz w:val="21"/>
          <w:szCs w:val="21"/>
          <w:shd w:val="clear" w:fill="FFFFFF"/>
          <w:lang w:val="en-US" w:eastAsia="zh-CN" w:bidi="ar-SA"/>
        </w:rPr>
        <w:t>资料管理不该从结算送审才开始管理，要从项目一开始开始。审计人员要引导、帮助建设单位建立“工程档案动态管理制度”，下面就是审核审核要点：</w:t>
      </w:r>
    </w:p>
    <w:p w14:paraId="2CEF6711">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Style w:val="20"/>
          <w:rFonts w:hint="eastAsia" w:ascii="宋体" w:hAnsi="宋体" w:eastAsia="宋体" w:cs="宋体"/>
          <w:b w:val="0"/>
          <w:bCs w:val="0"/>
          <w:i w:val="0"/>
          <w:iCs w:val="0"/>
          <w:caps w:val="0"/>
          <w:color w:val="0F1115"/>
          <w:spacing w:val="0"/>
          <w:kern w:val="2"/>
          <w:sz w:val="21"/>
          <w:szCs w:val="21"/>
          <w:shd w:val="clear" w:fill="FFFFFF"/>
          <w:lang w:val="en-US" w:eastAsia="zh-CN" w:bidi="ar-SA"/>
        </w:rPr>
      </w:pPr>
    </w:p>
    <w:p w14:paraId="2D7FD78A">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Style w:val="20"/>
          <w:rFonts w:hint="eastAsia" w:ascii="宋体" w:hAnsi="宋体" w:eastAsia="宋体" w:cs="宋体"/>
          <w:b w:val="0"/>
          <w:bCs w:val="0"/>
          <w:i w:val="0"/>
          <w:iCs w:val="0"/>
          <w:caps w:val="0"/>
          <w:color w:val="0F1115"/>
          <w:spacing w:val="0"/>
          <w:kern w:val="2"/>
          <w:sz w:val="21"/>
          <w:szCs w:val="21"/>
          <w:shd w:val="clear" w:fill="FFFFFF"/>
          <w:lang w:val="en-US" w:eastAsia="zh-CN" w:bidi="ar-SA"/>
        </w:rPr>
      </w:pPr>
    </w:p>
    <w:p w14:paraId="2E81F7BC">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Style w:val="20"/>
          <w:rFonts w:hint="default" w:ascii="宋体" w:hAnsi="宋体" w:eastAsia="宋体" w:cs="宋体"/>
          <w:b w:val="0"/>
          <w:bCs w:val="0"/>
          <w:i w:val="0"/>
          <w:iCs w:val="0"/>
          <w:caps w:val="0"/>
          <w:color w:val="0F1115"/>
          <w:spacing w:val="0"/>
          <w:kern w:val="2"/>
          <w:sz w:val="21"/>
          <w:szCs w:val="21"/>
          <w:shd w:val="clear" w:fill="FFFFFF"/>
          <w:lang w:val="en-US" w:eastAsia="zh-CN" w:bidi="ar-SA"/>
        </w:rPr>
      </w:pPr>
      <w:bookmarkStart w:id="1" w:name="_GoBack"/>
      <w:bookmarkEnd w:id="1"/>
    </w:p>
    <w:p w14:paraId="0F403673">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表1 工程结算资料“三性”甄别审核要点</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6"/>
        <w:gridCol w:w="1690"/>
        <w:gridCol w:w="3550"/>
        <w:gridCol w:w="2016"/>
      </w:tblGrid>
      <w:tr w14:paraId="15D69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vAlign w:val="center"/>
          </w:tcPr>
          <w:p w14:paraId="18EECC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auto"/>
                <w:spacing w:val="0"/>
                <w:sz w:val="18"/>
                <w:szCs w:val="18"/>
                <w:shd w:val="clear" w:fill="FFFFFF"/>
                <w:vertAlign w:val="baseline"/>
              </w:rPr>
            </w:pPr>
            <w:r>
              <w:rPr>
                <w:rFonts w:hint="eastAsia" w:ascii="宋体" w:hAnsi="宋体" w:eastAsia="宋体" w:cs="宋体"/>
                <w:i w:val="0"/>
                <w:iCs w:val="0"/>
                <w:caps w:val="0"/>
                <w:color w:val="auto"/>
                <w:spacing w:val="0"/>
                <w:sz w:val="18"/>
                <w:szCs w:val="18"/>
                <w:shd w:val="clear" w:fill="FFFFFF"/>
                <w:vertAlign w:val="baseline"/>
              </w:rPr>
              <w:t>审核要点</w:t>
            </w:r>
          </w:p>
        </w:tc>
        <w:tc>
          <w:tcPr>
            <w:tcW w:w="1690" w:type="dxa"/>
            <w:vAlign w:val="center"/>
          </w:tcPr>
          <w:p w14:paraId="67DCE9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auto"/>
                <w:spacing w:val="0"/>
                <w:sz w:val="18"/>
                <w:szCs w:val="18"/>
                <w:shd w:val="clear" w:fill="FFFFFF"/>
                <w:vertAlign w:val="baseline"/>
              </w:rPr>
            </w:pPr>
            <w:r>
              <w:rPr>
                <w:rFonts w:hint="eastAsia" w:ascii="宋体" w:hAnsi="宋体" w:eastAsia="宋体" w:cs="宋体"/>
                <w:i w:val="0"/>
                <w:iCs w:val="0"/>
                <w:caps w:val="0"/>
                <w:color w:val="auto"/>
                <w:spacing w:val="0"/>
                <w:sz w:val="18"/>
                <w:szCs w:val="18"/>
                <w:shd w:val="clear" w:fill="FFFFFF"/>
                <w:vertAlign w:val="baseline"/>
              </w:rPr>
              <w:t>审核问题</w:t>
            </w:r>
          </w:p>
        </w:tc>
        <w:tc>
          <w:tcPr>
            <w:tcW w:w="3550" w:type="dxa"/>
            <w:vAlign w:val="center"/>
          </w:tcPr>
          <w:p w14:paraId="785EB3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auto"/>
                <w:spacing w:val="0"/>
                <w:sz w:val="18"/>
                <w:szCs w:val="18"/>
                <w:shd w:val="clear" w:fill="FFFFFF"/>
                <w:vertAlign w:val="baseline"/>
              </w:rPr>
            </w:pPr>
            <w:r>
              <w:rPr>
                <w:rFonts w:hint="eastAsia" w:ascii="宋体" w:hAnsi="宋体" w:eastAsia="宋体" w:cs="宋体"/>
                <w:i w:val="0"/>
                <w:iCs w:val="0"/>
                <w:caps w:val="0"/>
                <w:color w:val="auto"/>
                <w:spacing w:val="0"/>
                <w:sz w:val="18"/>
                <w:szCs w:val="18"/>
                <w:shd w:val="clear" w:fill="FFFFFF"/>
                <w:vertAlign w:val="baseline"/>
              </w:rPr>
              <w:t>审核方法和具体措施</w:t>
            </w:r>
          </w:p>
        </w:tc>
        <w:tc>
          <w:tcPr>
            <w:tcW w:w="2016" w:type="dxa"/>
            <w:vAlign w:val="center"/>
          </w:tcPr>
          <w:p w14:paraId="0725BD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auto"/>
                <w:spacing w:val="0"/>
                <w:sz w:val="18"/>
                <w:szCs w:val="18"/>
                <w:shd w:val="clear" w:fill="FFFFFF"/>
                <w:vertAlign w:val="baseline"/>
              </w:rPr>
            </w:pPr>
            <w:r>
              <w:rPr>
                <w:rFonts w:hint="eastAsia" w:ascii="宋体" w:hAnsi="宋体" w:eastAsia="宋体" w:cs="宋体"/>
                <w:b/>
                <w:bCs/>
                <w:i w:val="0"/>
                <w:iCs w:val="0"/>
                <w:caps w:val="0"/>
                <w:color w:val="auto"/>
                <w:spacing w:val="0"/>
                <w:kern w:val="0"/>
                <w:sz w:val="18"/>
                <w:szCs w:val="18"/>
                <w:lang w:val="en-US" w:eastAsia="zh-CN" w:bidi="ar"/>
              </w:rPr>
              <w:t>管控目标</w:t>
            </w:r>
          </w:p>
        </w:tc>
      </w:tr>
      <w:tr w14:paraId="5AA18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vAlign w:val="center"/>
          </w:tcPr>
          <w:p w14:paraId="458FBE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i w:val="0"/>
                <w:iCs w:val="0"/>
                <w:caps w:val="0"/>
                <w:color w:val="auto"/>
                <w:spacing w:val="0"/>
                <w:sz w:val="18"/>
                <w:szCs w:val="18"/>
                <w:shd w:val="clear" w:fill="FFFFFF"/>
                <w:vertAlign w:val="baseline"/>
              </w:rPr>
            </w:pPr>
            <w:r>
              <w:rPr>
                <w:rStyle w:val="20"/>
                <w:rFonts w:hint="eastAsia" w:ascii="宋体" w:hAnsi="宋体" w:eastAsia="宋体" w:cs="宋体"/>
                <w:b w:val="0"/>
                <w:bCs w:val="0"/>
                <w:i w:val="0"/>
                <w:iCs w:val="0"/>
                <w:caps w:val="0"/>
                <w:color w:val="auto"/>
                <w:spacing w:val="0"/>
                <w:kern w:val="0"/>
                <w:sz w:val="18"/>
                <w:szCs w:val="18"/>
                <w:lang w:val="en-US" w:eastAsia="zh-CN" w:bidi="ar"/>
              </w:rPr>
              <w:t>可靠性</w:t>
            </w:r>
          </w:p>
        </w:tc>
        <w:tc>
          <w:tcPr>
            <w:tcW w:w="1690" w:type="dxa"/>
            <w:vAlign w:val="center"/>
          </w:tcPr>
          <w:p w14:paraId="533407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auto"/>
                <w:spacing w:val="0"/>
                <w:sz w:val="18"/>
                <w:szCs w:val="18"/>
                <w:shd w:val="clear" w:fill="FFFFFF"/>
                <w:vertAlign w:val="baseline"/>
              </w:rPr>
            </w:pPr>
            <w:r>
              <w:rPr>
                <w:rFonts w:hint="eastAsia" w:ascii="宋体" w:hAnsi="宋体" w:eastAsia="宋体" w:cs="宋体"/>
                <w:i w:val="0"/>
                <w:iCs w:val="0"/>
                <w:caps w:val="0"/>
                <w:color w:val="auto"/>
                <w:spacing w:val="0"/>
                <w:sz w:val="18"/>
                <w:szCs w:val="18"/>
                <w:shd w:val="clear" w:fill="FFFFFF"/>
                <w:vertAlign w:val="baseline"/>
              </w:rPr>
              <w:t>资料是否有法定效力？</w:t>
            </w:r>
          </w:p>
        </w:tc>
        <w:tc>
          <w:tcPr>
            <w:tcW w:w="3550" w:type="dxa"/>
            <w:vAlign w:val="top"/>
          </w:tcPr>
          <w:p w14:paraId="4DE6AEFD">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aps w:val="0"/>
                <w:color w:val="auto"/>
                <w:spacing w:val="0"/>
                <w:sz w:val="18"/>
                <w:szCs w:val="18"/>
                <w:shd w:val="clear" w:fill="FFFFFF"/>
                <w:vertAlign w:val="baseline"/>
              </w:rPr>
            </w:pPr>
            <w:r>
              <w:rPr>
                <w:rFonts w:hint="eastAsia" w:ascii="宋体" w:hAnsi="宋体" w:eastAsia="宋体" w:cs="宋体"/>
                <w:i w:val="0"/>
                <w:iCs w:val="0"/>
                <w:caps w:val="0"/>
                <w:color w:val="auto"/>
                <w:spacing w:val="0"/>
                <w:kern w:val="0"/>
                <w:sz w:val="18"/>
                <w:szCs w:val="18"/>
                <w:lang w:val="en-US" w:eastAsia="zh-CN" w:bidi="ar"/>
              </w:rPr>
              <w:t>检查是否都是经建设单位（业主）正式签字、盖章、确认的移交流水资料，杜绝直接使用施工单位单方送审的资料。</w:t>
            </w:r>
          </w:p>
        </w:tc>
        <w:tc>
          <w:tcPr>
            <w:tcW w:w="2016" w:type="dxa"/>
            <w:vAlign w:val="center"/>
          </w:tcPr>
          <w:p w14:paraId="5C5B43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auto"/>
                <w:spacing w:val="0"/>
                <w:sz w:val="18"/>
                <w:szCs w:val="18"/>
                <w:shd w:val="clear" w:fill="FFFFFF"/>
                <w:vertAlign w:val="baseline"/>
              </w:rPr>
            </w:pPr>
            <w:r>
              <w:rPr>
                <w:rFonts w:hint="eastAsia" w:ascii="宋体" w:hAnsi="宋体" w:eastAsia="宋体" w:cs="宋体"/>
                <w:i w:val="0"/>
                <w:iCs w:val="0"/>
                <w:caps w:val="0"/>
                <w:color w:val="auto"/>
                <w:spacing w:val="0"/>
                <w:sz w:val="18"/>
                <w:szCs w:val="18"/>
                <w:shd w:val="clear" w:fill="FFFFFF"/>
                <w:vertAlign w:val="baseline"/>
              </w:rPr>
              <w:t>保证审计依据的可靠性和真实性。</w:t>
            </w:r>
          </w:p>
        </w:tc>
      </w:tr>
      <w:tr w14:paraId="6DAAB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vAlign w:val="center"/>
          </w:tcPr>
          <w:p w14:paraId="1FFD25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i w:val="0"/>
                <w:iCs w:val="0"/>
                <w:caps w:val="0"/>
                <w:color w:val="auto"/>
                <w:spacing w:val="0"/>
                <w:sz w:val="18"/>
                <w:szCs w:val="18"/>
                <w:shd w:val="clear" w:fill="FFFFFF"/>
                <w:vertAlign w:val="baseline"/>
              </w:rPr>
            </w:pPr>
            <w:r>
              <w:rPr>
                <w:rStyle w:val="20"/>
                <w:rFonts w:hint="eastAsia" w:ascii="宋体" w:hAnsi="宋体" w:eastAsia="宋体" w:cs="宋体"/>
                <w:b w:val="0"/>
                <w:bCs w:val="0"/>
                <w:i w:val="0"/>
                <w:iCs w:val="0"/>
                <w:caps w:val="0"/>
                <w:color w:val="auto"/>
                <w:spacing w:val="0"/>
                <w:kern w:val="0"/>
                <w:sz w:val="18"/>
                <w:szCs w:val="18"/>
                <w:lang w:val="en-US" w:eastAsia="zh-CN" w:bidi="ar"/>
              </w:rPr>
              <w:t>真实性</w:t>
            </w:r>
          </w:p>
        </w:tc>
        <w:tc>
          <w:tcPr>
            <w:tcW w:w="1690" w:type="dxa"/>
            <w:vAlign w:val="center"/>
          </w:tcPr>
          <w:p w14:paraId="0AE59D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auto"/>
                <w:spacing w:val="0"/>
                <w:sz w:val="18"/>
                <w:szCs w:val="18"/>
                <w:shd w:val="clear" w:fill="FFFFFF"/>
                <w:vertAlign w:val="baseline"/>
              </w:rPr>
            </w:pPr>
            <w:r>
              <w:rPr>
                <w:rFonts w:hint="eastAsia" w:ascii="宋体" w:hAnsi="宋体" w:eastAsia="宋体" w:cs="宋体"/>
                <w:i w:val="0"/>
                <w:iCs w:val="0"/>
                <w:caps w:val="0"/>
                <w:color w:val="auto"/>
                <w:spacing w:val="0"/>
                <w:kern w:val="0"/>
                <w:sz w:val="18"/>
                <w:szCs w:val="18"/>
                <w:lang w:val="en-US" w:eastAsia="zh-CN" w:bidi="ar"/>
              </w:rPr>
              <w:t>资料是否为原始、未篡改？</w:t>
            </w:r>
          </w:p>
        </w:tc>
        <w:tc>
          <w:tcPr>
            <w:tcW w:w="3550" w:type="dxa"/>
            <w:vAlign w:val="top"/>
          </w:tcPr>
          <w:p w14:paraId="5A47BB54">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aps w:val="0"/>
                <w:color w:val="auto"/>
                <w:spacing w:val="0"/>
                <w:sz w:val="18"/>
                <w:szCs w:val="18"/>
                <w:shd w:val="clear" w:fill="FFFFFF"/>
                <w:vertAlign w:val="baseline"/>
              </w:rPr>
            </w:pPr>
            <w:r>
              <w:rPr>
                <w:rFonts w:hint="eastAsia" w:ascii="宋体" w:hAnsi="宋体" w:eastAsia="宋体" w:cs="宋体"/>
                <w:i w:val="0"/>
                <w:iCs w:val="0"/>
                <w:caps w:val="0"/>
                <w:color w:val="auto"/>
                <w:spacing w:val="0"/>
                <w:sz w:val="18"/>
                <w:szCs w:val="18"/>
                <w:shd w:val="clear" w:fill="FFFFFF"/>
                <w:vertAlign w:val="baseline"/>
              </w:rPr>
              <w:t>首先审查资料的正本，注意检查笔迹、印章、日期等是否合理；对隐蔽工程等重点资料，要与施工日志、监理日志等旁证资料相勾稽</w:t>
            </w:r>
          </w:p>
        </w:tc>
        <w:tc>
          <w:tcPr>
            <w:tcW w:w="2016" w:type="dxa"/>
            <w:vAlign w:val="center"/>
          </w:tcPr>
          <w:p w14:paraId="0B1DEC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auto"/>
                <w:spacing w:val="0"/>
                <w:sz w:val="18"/>
                <w:szCs w:val="18"/>
                <w:shd w:val="clear" w:fill="FFFFFF"/>
                <w:vertAlign w:val="baseline"/>
              </w:rPr>
            </w:pPr>
            <w:r>
              <w:rPr>
                <w:rFonts w:hint="eastAsia" w:ascii="宋体" w:hAnsi="宋体" w:eastAsia="宋体" w:cs="宋体"/>
                <w:i w:val="0"/>
                <w:iCs w:val="0"/>
                <w:caps w:val="0"/>
                <w:color w:val="auto"/>
                <w:spacing w:val="0"/>
                <w:kern w:val="0"/>
                <w:sz w:val="18"/>
                <w:szCs w:val="18"/>
                <w:lang w:val="en-US" w:eastAsia="zh-CN" w:bidi="ar"/>
              </w:rPr>
              <w:t>确保审计依据真实反映现场情况。</w:t>
            </w:r>
          </w:p>
        </w:tc>
      </w:tr>
      <w:tr w14:paraId="1BF01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vAlign w:val="center"/>
          </w:tcPr>
          <w:p w14:paraId="2502D601">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b w:val="0"/>
                <w:bCs w:val="0"/>
                <w:i w:val="0"/>
                <w:iCs w:val="0"/>
                <w:caps w:val="0"/>
                <w:color w:val="auto"/>
                <w:spacing w:val="0"/>
                <w:sz w:val="18"/>
                <w:szCs w:val="18"/>
                <w:shd w:val="clear" w:fill="FFFFFF"/>
                <w:vertAlign w:val="baseline"/>
              </w:rPr>
            </w:pPr>
            <w:r>
              <w:rPr>
                <w:rStyle w:val="20"/>
                <w:rFonts w:hint="eastAsia" w:ascii="宋体" w:hAnsi="宋体" w:eastAsia="宋体" w:cs="宋体"/>
                <w:b w:val="0"/>
                <w:bCs w:val="0"/>
                <w:i w:val="0"/>
                <w:iCs w:val="0"/>
                <w:caps w:val="0"/>
                <w:color w:val="auto"/>
                <w:spacing w:val="0"/>
                <w:sz w:val="18"/>
                <w:szCs w:val="18"/>
                <w:shd w:val="clear" w:fill="FFFFFF"/>
              </w:rPr>
              <w:t>有效性</w:t>
            </w:r>
          </w:p>
        </w:tc>
        <w:tc>
          <w:tcPr>
            <w:tcW w:w="1690" w:type="dxa"/>
            <w:vAlign w:val="center"/>
          </w:tcPr>
          <w:p w14:paraId="765BC00C">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i w:val="0"/>
                <w:iCs w:val="0"/>
                <w:caps w:val="0"/>
                <w:color w:val="auto"/>
                <w:spacing w:val="0"/>
                <w:sz w:val="18"/>
                <w:szCs w:val="18"/>
                <w:shd w:val="clear" w:fill="FFFFFF"/>
                <w:vertAlign w:val="baseline"/>
              </w:rPr>
            </w:pPr>
            <w:r>
              <w:rPr>
                <w:rFonts w:hint="eastAsia" w:ascii="宋体" w:hAnsi="宋体" w:eastAsia="宋体" w:cs="宋体"/>
                <w:i w:val="0"/>
                <w:iCs w:val="0"/>
                <w:caps w:val="0"/>
                <w:color w:val="auto"/>
                <w:spacing w:val="0"/>
                <w:sz w:val="18"/>
                <w:szCs w:val="18"/>
                <w:shd w:val="clear" w:fill="FFFFFF"/>
              </w:rPr>
              <w:t>资料是否合规、可追溯？</w:t>
            </w:r>
          </w:p>
        </w:tc>
        <w:tc>
          <w:tcPr>
            <w:tcW w:w="3550" w:type="dxa"/>
            <w:vAlign w:val="top"/>
          </w:tcPr>
          <w:p w14:paraId="47F7FA90">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both"/>
              <w:textAlignment w:val="auto"/>
              <w:rPr>
                <w:rFonts w:hint="eastAsia" w:ascii="宋体" w:hAnsi="宋体" w:eastAsia="宋体" w:cs="宋体"/>
                <w:i w:val="0"/>
                <w:iCs w:val="0"/>
                <w:caps w:val="0"/>
                <w:color w:val="auto"/>
                <w:spacing w:val="0"/>
                <w:sz w:val="18"/>
                <w:szCs w:val="18"/>
                <w:shd w:val="clear" w:fill="FFFFFF"/>
                <w:vertAlign w:val="baseline"/>
              </w:rPr>
            </w:pPr>
            <w:r>
              <w:rPr>
                <w:rFonts w:hint="eastAsia" w:ascii="宋体" w:hAnsi="宋体" w:eastAsia="宋体" w:cs="宋体"/>
                <w:i w:val="0"/>
                <w:iCs w:val="0"/>
                <w:caps w:val="0"/>
                <w:color w:val="auto"/>
                <w:spacing w:val="0"/>
                <w:sz w:val="18"/>
                <w:szCs w:val="18"/>
                <w:shd w:val="clear" w:fill="FFFFFF"/>
                <w:vertAlign w:val="baseline"/>
              </w:rPr>
              <w:t>检查资料的编号是否连续、时间注明的是否清楚、签字的是否齐全。对补资料关键是审定背景和原因是否合理。</w:t>
            </w:r>
          </w:p>
        </w:tc>
        <w:tc>
          <w:tcPr>
            <w:tcW w:w="2016" w:type="dxa"/>
            <w:vAlign w:val="center"/>
          </w:tcPr>
          <w:p w14:paraId="1AD68598">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i w:val="0"/>
                <w:iCs w:val="0"/>
                <w:caps w:val="0"/>
                <w:color w:val="auto"/>
                <w:spacing w:val="0"/>
                <w:sz w:val="18"/>
                <w:szCs w:val="18"/>
                <w:shd w:val="clear" w:fill="FFFFFF"/>
                <w:vertAlign w:val="baseline"/>
              </w:rPr>
            </w:pPr>
            <w:r>
              <w:rPr>
                <w:rFonts w:hint="eastAsia" w:ascii="宋体" w:hAnsi="宋体" w:eastAsia="宋体" w:cs="宋体"/>
                <w:i w:val="0"/>
                <w:iCs w:val="0"/>
                <w:caps w:val="0"/>
                <w:color w:val="auto"/>
                <w:spacing w:val="0"/>
                <w:sz w:val="18"/>
                <w:szCs w:val="18"/>
                <w:shd w:val="clear" w:fill="FFFFFF"/>
                <w:vertAlign w:val="baseline"/>
              </w:rPr>
              <w:t>保证审计依据本身的来源有效、合规。</w:t>
            </w:r>
          </w:p>
          <w:p w14:paraId="15745334">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i w:val="0"/>
                <w:iCs w:val="0"/>
                <w:caps w:val="0"/>
                <w:color w:val="auto"/>
                <w:spacing w:val="0"/>
                <w:sz w:val="18"/>
                <w:szCs w:val="18"/>
                <w:shd w:val="clear" w:fill="FFFFFF"/>
                <w:vertAlign w:val="baseline"/>
              </w:rPr>
            </w:pPr>
          </w:p>
        </w:tc>
      </w:tr>
    </w:tbl>
    <w:p w14:paraId="64D86B7A">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firstLine="420" w:firstLineChars="200"/>
        <w:textAlignment w:val="auto"/>
        <w:rPr>
          <w:rStyle w:val="20"/>
          <w:rFonts w:hint="eastAsia" w:ascii="宋体" w:hAnsi="宋体" w:eastAsia="宋体" w:cs="宋体"/>
          <w:b w:val="0"/>
          <w:bCs w:val="0"/>
          <w:i w:val="0"/>
          <w:iCs w:val="0"/>
          <w:caps w:val="0"/>
          <w:color w:val="0F1115"/>
          <w:spacing w:val="0"/>
          <w:kern w:val="2"/>
          <w:sz w:val="21"/>
          <w:szCs w:val="21"/>
          <w:shd w:val="clear" w:fill="FFFFFF"/>
          <w:lang w:val="en-US" w:eastAsia="zh-CN" w:bidi="ar-SA"/>
        </w:rPr>
      </w:pPr>
      <w:r>
        <w:rPr>
          <w:rStyle w:val="20"/>
          <w:rFonts w:hint="eastAsia" w:ascii="宋体" w:hAnsi="宋体" w:eastAsia="宋体" w:cs="宋体"/>
          <w:b w:val="0"/>
          <w:bCs w:val="0"/>
          <w:i w:val="0"/>
          <w:iCs w:val="0"/>
          <w:caps w:val="0"/>
          <w:color w:val="0F1115"/>
          <w:spacing w:val="0"/>
          <w:kern w:val="2"/>
          <w:sz w:val="21"/>
          <w:szCs w:val="21"/>
          <w:shd w:val="clear" w:fill="FFFFFF"/>
          <w:lang w:val="en-US" w:eastAsia="zh-CN" w:bidi="ar-SA"/>
        </w:rPr>
        <w:t>上表列明结算资料审核内容的“3大维度”和具体的做法。强调结构化、标准化的“3大维度”甄别，就从源头上把住审计质效的关，克服因为资料缺陷或不实导致质量风险，打实后续的计量计价等工作基础。具体操作上可做到：</w:t>
      </w:r>
    </w:p>
    <w:p w14:paraId="3C6B6783">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firstLine="420" w:firstLineChars="200"/>
        <w:textAlignment w:val="auto"/>
        <w:rPr>
          <w:rStyle w:val="20"/>
          <w:rFonts w:hint="eastAsia" w:ascii="宋体" w:hAnsi="宋体" w:eastAsia="宋体" w:cs="宋体"/>
          <w:b w:val="0"/>
          <w:bCs w:val="0"/>
          <w:i w:val="0"/>
          <w:iCs w:val="0"/>
          <w:caps w:val="0"/>
          <w:color w:val="0F1115"/>
          <w:spacing w:val="0"/>
          <w:kern w:val="2"/>
          <w:sz w:val="21"/>
          <w:szCs w:val="21"/>
          <w:shd w:val="clear" w:fill="FFFFFF"/>
          <w:lang w:val="en-US" w:eastAsia="zh-CN" w:bidi="ar-SA"/>
        </w:rPr>
      </w:pPr>
      <w:r>
        <w:rPr>
          <w:rStyle w:val="20"/>
          <w:rFonts w:hint="eastAsia" w:ascii="宋体" w:hAnsi="宋体" w:eastAsia="宋体" w:cs="宋体"/>
          <w:b w:val="0"/>
          <w:bCs w:val="0"/>
          <w:i w:val="0"/>
          <w:iCs w:val="0"/>
          <w:caps w:val="0"/>
          <w:color w:val="0F1115"/>
          <w:spacing w:val="0"/>
          <w:kern w:val="2"/>
          <w:sz w:val="21"/>
          <w:szCs w:val="21"/>
          <w:shd w:val="clear" w:fill="FFFFFF"/>
          <w:lang w:val="en-US" w:eastAsia="zh-CN" w:bidi="ar-SA"/>
        </w:rPr>
        <w:t>首先，事前明确要求。项目开始后，要提前明确结算需的资料格式、签字确认人、交送流程等要求。</w:t>
      </w:r>
    </w:p>
    <w:p w14:paraId="7DA787FA">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firstLine="420" w:firstLineChars="200"/>
        <w:textAlignment w:val="auto"/>
        <w:rPr>
          <w:rFonts w:hint="eastAsia" w:ascii="宋体" w:hAnsi="宋体" w:eastAsia="宋体" w:cs="宋体"/>
          <w:b w:val="0"/>
          <w:bCs w:val="0"/>
          <w:i w:val="0"/>
          <w:iCs w:val="0"/>
          <w:caps w:val="0"/>
          <w:color w:val="FF0000"/>
          <w:spacing w:val="0"/>
          <w:sz w:val="21"/>
          <w:szCs w:val="21"/>
          <w:shd w:val="clear" w:fill="FFFFFF"/>
        </w:rPr>
      </w:pPr>
      <w:r>
        <w:rPr>
          <w:rStyle w:val="20"/>
          <w:rFonts w:hint="eastAsia" w:ascii="宋体" w:hAnsi="宋体" w:eastAsia="宋体" w:cs="宋体"/>
          <w:b w:val="0"/>
          <w:bCs w:val="0"/>
          <w:i w:val="0"/>
          <w:iCs w:val="0"/>
          <w:caps w:val="0"/>
          <w:color w:val="0F1115"/>
          <w:spacing w:val="0"/>
          <w:sz w:val="21"/>
          <w:szCs w:val="21"/>
          <w:shd w:val="clear" w:fill="FFFFFF"/>
        </w:rPr>
        <w:t>其次，</w:t>
      </w:r>
      <w:r>
        <w:rPr>
          <w:rStyle w:val="20"/>
          <w:rFonts w:hint="eastAsia" w:ascii="宋体" w:hAnsi="宋体" w:eastAsia="宋体" w:cs="宋体"/>
          <w:b w:val="0"/>
          <w:bCs w:val="0"/>
          <w:i w:val="0"/>
          <w:iCs w:val="0"/>
          <w:caps w:val="0"/>
          <w:color w:val="0F1115"/>
          <w:spacing w:val="0"/>
          <w:kern w:val="2"/>
          <w:sz w:val="21"/>
          <w:szCs w:val="21"/>
          <w:shd w:val="clear" w:fill="FFFFFF"/>
          <w:lang w:val="en-US" w:eastAsia="zh-CN" w:bidi="ar-SA"/>
        </w:rPr>
        <w:t>事中参与检查。施工过程过程中定期（如按月度或季度）对工程施工实际过程资料（过程资料，如变更签证、隐蔽）结果做“预审”，检查是否规范、闭合，发现问题解决问题，及时扣改等。这些在结算实施数量大的筛选发现错误纠偏工作放到过程环节里去做，可以大大地节约最后结算时间。</w:t>
      </w:r>
    </w:p>
    <w:p w14:paraId="52176FE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Style w:val="20"/>
          <w:rFonts w:hint="eastAsia" w:ascii="宋体" w:hAnsi="宋体" w:eastAsia="宋体" w:cs="宋体"/>
          <w:b w:val="0"/>
          <w:bCs w:val="0"/>
          <w:i w:val="0"/>
          <w:iCs w:val="0"/>
          <w:caps w:val="0"/>
          <w:color w:val="0F1115"/>
          <w:spacing w:val="0"/>
          <w:sz w:val="21"/>
          <w:szCs w:val="21"/>
          <w:shd w:val="clear" w:fill="FFFFFF"/>
        </w:rPr>
      </w:pPr>
      <w:r>
        <w:rPr>
          <w:rStyle w:val="20"/>
          <w:rFonts w:hint="eastAsia" w:ascii="宋体" w:hAnsi="宋体" w:eastAsia="宋体" w:cs="宋体"/>
          <w:b w:val="0"/>
          <w:bCs w:val="0"/>
          <w:i w:val="0"/>
          <w:iCs w:val="0"/>
          <w:caps w:val="0"/>
          <w:color w:val="0F1115"/>
          <w:spacing w:val="0"/>
          <w:sz w:val="21"/>
          <w:szCs w:val="21"/>
          <w:shd w:val="clear" w:fill="FFFFFF"/>
        </w:rPr>
        <w:t>最后，事后认真判断</w:t>
      </w:r>
      <w:r>
        <w:rPr>
          <w:rStyle w:val="20"/>
          <w:rFonts w:hint="eastAsia" w:ascii="宋体" w:hAnsi="宋体" w:eastAsia="宋体" w:cs="宋体"/>
          <w:b w:val="0"/>
          <w:bCs w:val="0"/>
          <w:i w:val="0"/>
          <w:iCs w:val="0"/>
          <w:caps w:val="0"/>
          <w:color w:val="0F1115"/>
          <w:spacing w:val="0"/>
          <w:sz w:val="21"/>
          <w:szCs w:val="21"/>
          <w:shd w:val="clear" w:fill="FFFFFF"/>
          <w:lang w:eastAsia="zh-CN"/>
        </w:rPr>
        <w:t>。</w:t>
      </w:r>
      <w:r>
        <w:rPr>
          <w:rStyle w:val="20"/>
          <w:rFonts w:hint="eastAsia" w:ascii="宋体" w:hAnsi="宋体" w:eastAsia="宋体" w:cs="宋体"/>
          <w:b w:val="0"/>
          <w:bCs w:val="0"/>
          <w:i w:val="0"/>
          <w:iCs w:val="0"/>
          <w:caps w:val="0"/>
          <w:color w:val="0F1115"/>
          <w:spacing w:val="0"/>
          <w:sz w:val="21"/>
          <w:szCs w:val="21"/>
          <w:shd w:val="clear" w:fill="FFFFFF"/>
        </w:rPr>
        <w:t>在结算时“资料三性甄别原则”：“可靠——经业主确认；真实——有原件；有效——流水号连续、时间合乎逻辑”；对存疑资料，以书面形式予明确函求解答，留下审计痕迹。</w:t>
      </w:r>
    </w:p>
    <w:p w14:paraId="15BE1D9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2.2合同精神深度融合、条款准确解读</w:t>
      </w:r>
    </w:p>
    <w:p w14:paraId="73AB27A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Style w:val="20"/>
          <w:rFonts w:hint="eastAsia" w:ascii="宋体" w:hAnsi="宋体" w:eastAsia="宋体" w:cs="宋体"/>
          <w:b w:val="0"/>
          <w:bCs w:val="0"/>
          <w:i w:val="0"/>
          <w:iCs w:val="0"/>
          <w:caps w:val="0"/>
          <w:color w:val="0F1115"/>
          <w:spacing w:val="0"/>
          <w:sz w:val="21"/>
          <w:szCs w:val="21"/>
          <w:shd w:val="clear" w:fill="FFFFFF"/>
        </w:rPr>
      </w:pPr>
      <w:r>
        <w:rPr>
          <w:rStyle w:val="20"/>
          <w:rFonts w:hint="eastAsia" w:ascii="宋体" w:hAnsi="宋体" w:eastAsia="宋体" w:cs="宋体"/>
          <w:b w:val="0"/>
          <w:bCs w:val="0"/>
          <w:i w:val="0"/>
          <w:iCs w:val="0"/>
          <w:caps w:val="0"/>
          <w:color w:val="0F1115"/>
          <w:spacing w:val="0"/>
          <w:sz w:val="21"/>
          <w:szCs w:val="21"/>
          <w:shd w:val="clear" w:fill="FFFFFF"/>
        </w:rPr>
        <w:t>施工合同是审计的依据，全过程审计要贯穿合同约定，一定要以合同约定为准绳来展开，可以从如下几个方面着手：</w:t>
      </w:r>
    </w:p>
    <w:p w14:paraId="7A7F96A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Style w:val="20"/>
          <w:rFonts w:hint="eastAsia" w:ascii="宋体" w:hAnsi="宋体" w:eastAsia="宋体" w:cs="宋体"/>
          <w:b w:val="0"/>
          <w:bCs w:val="0"/>
          <w:i w:val="0"/>
          <w:iCs w:val="0"/>
          <w:caps w:val="0"/>
          <w:color w:val="0F1115"/>
          <w:spacing w:val="0"/>
          <w:sz w:val="21"/>
          <w:szCs w:val="21"/>
          <w:shd w:val="clear" w:fill="FFFFFF"/>
        </w:rPr>
      </w:pPr>
      <w:r>
        <w:rPr>
          <w:rStyle w:val="20"/>
          <w:rFonts w:hint="eastAsia" w:ascii="宋体" w:hAnsi="宋体" w:eastAsia="宋体" w:cs="宋体"/>
          <w:b w:val="0"/>
          <w:bCs w:val="0"/>
          <w:i w:val="0"/>
          <w:iCs w:val="0"/>
          <w:caps w:val="0"/>
          <w:color w:val="0F1115"/>
          <w:spacing w:val="0"/>
          <w:sz w:val="21"/>
          <w:szCs w:val="21"/>
          <w:shd w:val="clear" w:fill="FFFFFF"/>
        </w:rPr>
        <w:t>首先，做好施工合同中的核心条款索引表。进点时把合同中与计价、价差、付款、索赔等各要紧条据摘抄整理出索引表，便于审计时查找和引用，提高效率。</w:t>
      </w:r>
    </w:p>
    <w:p w14:paraId="4761122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Style w:val="20"/>
          <w:rFonts w:hint="eastAsia" w:ascii="宋体" w:hAnsi="宋体" w:eastAsia="宋体" w:cs="宋体"/>
          <w:b w:val="0"/>
          <w:bCs w:val="0"/>
          <w:i w:val="0"/>
          <w:iCs w:val="0"/>
          <w:caps w:val="0"/>
          <w:color w:val="0F1115"/>
          <w:spacing w:val="0"/>
          <w:sz w:val="21"/>
          <w:szCs w:val="21"/>
          <w:shd w:val="clear" w:fill="FFFFFF"/>
          <w:lang w:val="en-US" w:eastAsia="zh-CN"/>
        </w:rPr>
      </w:pPr>
      <w:r>
        <w:rPr>
          <w:rStyle w:val="20"/>
          <w:rFonts w:hint="eastAsia" w:ascii="宋体" w:hAnsi="宋体" w:eastAsia="宋体" w:cs="宋体"/>
          <w:b w:val="0"/>
          <w:bCs w:val="0"/>
          <w:i w:val="0"/>
          <w:iCs w:val="0"/>
          <w:caps w:val="0"/>
          <w:color w:val="0F1115"/>
          <w:spacing w:val="0"/>
          <w:sz w:val="21"/>
          <w:szCs w:val="21"/>
          <w:shd w:val="clear" w:fill="FFFFFF"/>
        </w:rPr>
        <w:t>其次，采取灵活的审核策略。对于总价包干合同的审核重点是“合同范围审核”，即：以竣工图和施工图为详细分项，靠现场施工量仔细核实施工队承接的包干范围的工程量是否都能做到；项目不具备施工条件的，要核减其包干工程的相应费用，并核减至直接费、间接费、利润和税金，真正做到“总价包干”；对于综合单价包干合同的审核重点是核实工程量，这也是审核项目造价的根本。工程量的计算不能简单以施工图纸为标准，需将竣工图、工程变更签证与现场施工实际情况结合起来，三者都应到位，不可或缺；计算过程每项数据都需确有依据，如依据在什么施工图纸上、变更签证单上等，每项工程量都是可以找到“依据”的，体现了造价审计的专业性和严谨性。</w:t>
      </w:r>
    </w:p>
    <w:p w14:paraId="461CAF1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Style w:val="20"/>
          <w:rFonts w:hint="eastAsia" w:ascii="宋体" w:hAnsi="宋体" w:eastAsia="宋体" w:cs="宋体"/>
          <w:b w:val="0"/>
          <w:bCs w:val="0"/>
          <w:i w:val="0"/>
          <w:iCs w:val="0"/>
          <w:caps w:val="0"/>
          <w:color w:val="0F1115"/>
          <w:spacing w:val="0"/>
          <w:sz w:val="21"/>
          <w:szCs w:val="21"/>
          <w:shd w:val="clear" w:fill="FFFFFF"/>
        </w:rPr>
      </w:pPr>
      <w:r>
        <w:rPr>
          <w:rStyle w:val="20"/>
          <w:rFonts w:hint="eastAsia" w:ascii="宋体" w:hAnsi="宋体" w:eastAsia="宋体" w:cs="宋体"/>
          <w:b w:val="0"/>
          <w:bCs w:val="0"/>
          <w:i w:val="0"/>
          <w:iCs w:val="0"/>
          <w:caps w:val="0"/>
          <w:color w:val="0F1115"/>
          <w:spacing w:val="0"/>
          <w:sz w:val="21"/>
          <w:szCs w:val="21"/>
          <w:shd w:val="clear" w:fill="FFFFFF"/>
        </w:rPr>
        <w:t>另外，审计的注意力也要关注合同里面所约定的价格调整的方法，对于化工技改项目有下浮率的项目要严格按照“同比例下浮”的原则执行。如化工技改项目的合同里面总体上有一个造价的下浮率，除独立招标采购的设备、主材外，所有工艺管道改造、设备基础加固等变更、新增项目的组价在按定额组价规定得出总价后，都要乘以(1－下浮率)确定最终的价格。这一调整原则是控制化工技改项目总造价的重要方面，也是结算结算时最容易引起甲乙双方争议的一个重要方面，审计过程中要仔细审核、严格执行。</w:t>
      </w:r>
    </w:p>
    <w:p w14:paraId="7C042C2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2.3 变更签证的全过程闭环控制</w:t>
      </w:r>
    </w:p>
    <w:p w14:paraId="5633784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Style w:val="20"/>
          <w:rFonts w:hint="eastAsia" w:ascii="宋体" w:hAnsi="宋体" w:eastAsia="宋体" w:cs="宋体"/>
          <w:b w:val="0"/>
          <w:bCs w:val="0"/>
          <w:i w:val="0"/>
          <w:iCs w:val="0"/>
          <w:caps w:val="0"/>
          <w:color w:val="0F1115"/>
          <w:spacing w:val="0"/>
          <w:sz w:val="21"/>
          <w:szCs w:val="21"/>
          <w:shd w:val="clear" w:fill="FFFFFF"/>
          <w:lang w:val="en-US" w:eastAsia="zh-CN"/>
        </w:rPr>
      </w:pPr>
      <w:r>
        <w:rPr>
          <w:rStyle w:val="20"/>
          <w:rFonts w:hint="eastAsia" w:ascii="宋体" w:hAnsi="宋体" w:eastAsia="宋体" w:cs="宋体"/>
          <w:b w:val="0"/>
          <w:bCs w:val="0"/>
          <w:i w:val="0"/>
          <w:iCs w:val="0"/>
          <w:caps w:val="0"/>
          <w:color w:val="0F1115"/>
          <w:spacing w:val="0"/>
          <w:sz w:val="21"/>
          <w:szCs w:val="21"/>
          <w:shd w:val="clear" w:fill="FFFFFF"/>
        </w:rPr>
        <w:t>变更签证是化工技改项目投资变化的主要原因，技改项目发生变更的原因较多，如工艺调整、设备更改、管道改变等等，项目管理不当往往造成失控，故需要自始至终做到全流程闭环管理控制（见图2：变更闭环控制审计流程图），根本在于合规性、必要性、计价合理性审计形成的闭环，具体的审计切入点分为三个方面。</w:t>
      </w:r>
    </w:p>
    <w:p w14:paraId="34851A83">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sz w:val="21"/>
          <w:szCs w:val="21"/>
        </w:rPr>
        <w:drawing>
          <wp:inline distT="0" distB="0" distL="114300" distR="114300">
            <wp:extent cx="5267325" cy="1048385"/>
            <wp:effectExtent l="0" t="0" r="9525" b="18415"/>
            <wp:docPr id="5" name="图片 3"/>
            <wp:cNvGraphicFramePr/>
            <a:graphic xmlns:a="http://schemas.openxmlformats.org/drawingml/2006/main">
              <a:graphicData uri="http://schemas.openxmlformats.org/drawingml/2006/picture">
                <pic:pic xmlns:pic="http://schemas.openxmlformats.org/drawingml/2006/picture">
                  <pic:nvPicPr>
                    <pic:cNvPr id="5" name="图片 3"/>
                    <pic:cNvPicPr/>
                  </pic:nvPicPr>
                  <pic:blipFill>
                    <a:blip r:embed="rId5"/>
                    <a:stretch>
                      <a:fillRect/>
                    </a:stretch>
                  </pic:blipFill>
                  <pic:spPr>
                    <a:xfrm>
                      <a:off x="0" y="0"/>
                      <a:ext cx="5267325" cy="1048385"/>
                    </a:xfrm>
                    <a:prstGeom prst="rect">
                      <a:avLst/>
                    </a:prstGeom>
                    <a:noFill/>
                    <a:ln>
                      <a:noFill/>
                    </a:ln>
                  </pic:spPr>
                </pic:pic>
              </a:graphicData>
            </a:graphic>
          </wp:inline>
        </w:drawing>
      </w:r>
    </w:p>
    <w:p w14:paraId="014897EB">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图2  变更闭环控制审计流程图</w:t>
      </w:r>
    </w:p>
    <w:p w14:paraId="0393EDB3">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Style w:val="20"/>
          <w:rFonts w:hint="eastAsia" w:ascii="宋体" w:hAnsi="宋体" w:eastAsia="宋体" w:cs="宋体"/>
          <w:b w:val="0"/>
          <w:bCs w:val="0"/>
          <w:i w:val="0"/>
          <w:iCs w:val="0"/>
          <w:caps w:val="0"/>
          <w:color w:val="0F1115"/>
          <w:spacing w:val="0"/>
          <w:sz w:val="21"/>
          <w:szCs w:val="21"/>
          <w:shd w:val="clear" w:fill="FFFFFF"/>
          <w:lang w:val="en-US" w:eastAsia="zh-CN"/>
        </w:rPr>
      </w:pPr>
      <w:r>
        <w:rPr>
          <w:rStyle w:val="20"/>
          <w:rFonts w:hint="eastAsia" w:ascii="宋体" w:hAnsi="宋体" w:eastAsia="宋体" w:cs="宋体"/>
          <w:b w:val="0"/>
          <w:bCs w:val="0"/>
          <w:i w:val="0"/>
          <w:iCs w:val="0"/>
          <w:caps w:val="0"/>
          <w:color w:val="0F1115"/>
          <w:spacing w:val="0"/>
          <w:sz w:val="21"/>
          <w:szCs w:val="21"/>
          <w:shd w:val="clear" w:fill="FFFFFF"/>
          <w:lang w:val="en-US" w:eastAsia="zh-CN"/>
        </w:rPr>
        <w:t>首先，建立严格的变更签证 “准入” 审核机制。这是变更签证审计的第一道门槛，直接决定变更是否具备计价结算的基础。凡是缺乏正式设计变更通知，或未取得建设单位、监理单位双方法定代表人或授权人有效签字并加盖单位公章的变更指令，一律认定为无效变更，不得纳入工程结算范围。对于施工单位未获批准、擅自实施的工程变更，</w:t>
      </w:r>
      <w:r>
        <w:rPr>
          <w:rFonts w:hint="eastAsia" w:ascii="宋体" w:hAnsi="宋体" w:eastAsia="宋体" w:cs="宋体"/>
          <w:sz w:val="21"/>
          <w:szCs w:val="21"/>
        </w:rPr>
        <w:t>如擅自更改工艺管道材质、调整设备安装位置等，</w:t>
      </w:r>
      <w:r>
        <w:rPr>
          <w:rStyle w:val="20"/>
          <w:rFonts w:hint="eastAsia" w:ascii="宋体" w:hAnsi="宋体" w:eastAsia="宋体" w:cs="宋体"/>
          <w:b w:val="0"/>
          <w:bCs w:val="0"/>
          <w:i w:val="0"/>
          <w:iCs w:val="0"/>
          <w:caps w:val="0"/>
          <w:color w:val="0F1115"/>
          <w:spacing w:val="0"/>
          <w:sz w:val="21"/>
          <w:szCs w:val="21"/>
          <w:shd w:val="clear" w:fill="FFFFFF"/>
          <w:lang w:val="en-US" w:eastAsia="zh-CN"/>
        </w:rPr>
        <w:t>审计不仅要明确对该部分内容不予计价，还需全面核查该擅自变更行为是否给建设单位造成额外损失，比如材料浪费、工期延误、其他工序返工等，若产生实际损失，应协助建设单位启动反索赔程序。</w:t>
      </w:r>
    </w:p>
    <w:p w14:paraId="6CCC7356">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Style w:val="20"/>
          <w:rFonts w:hint="eastAsia" w:ascii="宋体" w:hAnsi="宋体" w:eastAsia="宋体" w:cs="宋体"/>
          <w:b w:val="0"/>
          <w:bCs w:val="0"/>
          <w:i w:val="0"/>
          <w:iCs w:val="0"/>
          <w:caps w:val="0"/>
          <w:color w:val="0F1115"/>
          <w:spacing w:val="0"/>
          <w:sz w:val="21"/>
          <w:szCs w:val="21"/>
          <w:shd w:val="clear" w:fill="FFFFFF"/>
          <w:lang w:val="en-US" w:eastAsia="zh-CN"/>
        </w:rPr>
      </w:pPr>
      <w:r>
        <w:rPr>
          <w:rStyle w:val="20"/>
          <w:rFonts w:hint="eastAsia" w:ascii="宋体" w:hAnsi="宋体" w:eastAsia="宋体" w:cs="宋体"/>
          <w:b w:val="0"/>
          <w:bCs w:val="0"/>
          <w:i w:val="0"/>
          <w:iCs w:val="0"/>
          <w:caps w:val="0"/>
          <w:color w:val="0F1115"/>
          <w:spacing w:val="0"/>
          <w:sz w:val="21"/>
          <w:szCs w:val="21"/>
          <w:shd w:val="clear" w:fill="FFFFFF"/>
          <w:lang w:val="en-US" w:eastAsia="zh-CN"/>
        </w:rPr>
        <w:t>其次，</w:t>
      </w:r>
      <w:r>
        <w:rPr>
          <w:rFonts w:hint="eastAsia" w:ascii="宋体" w:hAnsi="宋体" w:eastAsia="宋体" w:cs="宋体"/>
          <w:sz w:val="21"/>
          <w:szCs w:val="21"/>
        </w:rPr>
        <w:t>审计人员需提升化工专业技术判断力，对技改项目变更的合理性、必要性进行实质性审核，同时全面分析变更引发的各类关联费用，避免造价漏算、错算。审计首先需核实该变更是否确由建设单位书面要求、原设计无法满足新工艺介质腐蚀要求导致，而非施工方单方意愿；其次要核查变更是否造成已预制、安装的碳钢管道拆除、报废，该部分材料损耗、人工返工的计价是否合理；还要判断材质变更是否导致管道焊接工艺调整、专用焊接设备租赁费用增加，是否因材料采购周期延长造成技改关键工期延误，是否因此引发施工方的工期索赔，通过全维度分析，确保变更相关的直接费用、间接费用都纳入项目审计范围。</w:t>
      </w:r>
    </w:p>
    <w:p w14:paraId="0DE1973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Style w:val="20"/>
          <w:rFonts w:hint="eastAsia" w:ascii="宋体" w:hAnsi="宋体" w:eastAsia="宋体" w:cs="宋体"/>
          <w:b w:val="0"/>
          <w:bCs w:val="0"/>
          <w:i w:val="0"/>
          <w:iCs w:val="0"/>
          <w:caps w:val="0"/>
          <w:color w:val="0F1115"/>
          <w:spacing w:val="0"/>
          <w:sz w:val="21"/>
          <w:szCs w:val="21"/>
          <w:shd w:val="clear" w:fill="FFFFFF"/>
          <w:lang w:val="en-US" w:eastAsia="zh-CN"/>
        </w:rPr>
      </w:pPr>
      <w:r>
        <w:rPr>
          <w:rStyle w:val="20"/>
          <w:rFonts w:hint="eastAsia" w:ascii="宋体" w:hAnsi="宋体" w:eastAsia="宋体" w:cs="宋体"/>
          <w:b w:val="0"/>
          <w:bCs w:val="0"/>
          <w:i w:val="0"/>
          <w:iCs w:val="0"/>
          <w:caps w:val="0"/>
          <w:color w:val="0F1115"/>
          <w:spacing w:val="0"/>
          <w:sz w:val="21"/>
          <w:szCs w:val="21"/>
          <w:shd w:val="clear" w:fill="FFFFFF"/>
        </w:rPr>
        <w:t>最后，严格执行合同约定的变更计价原则。进行变更签证的计价审核，一定要合乎合同约定要求，有章可循、有据可依。合同中是否存在与变更项目相同或者工艺、材质相近似的同类项目，审计就要直接套用已有单价不计取，拒绝施工单位随意抬价。若为新变更项目无同类似单价可套，审计就重点要审核施工单位上报的新单价的组成，审核人工、材料、机械的需要量标准是否与定额相符，取费标准、费率标准是否与原投标报价相同，即新单价的组价思路要统一原合同计价思路，不能因采取的计价标准不同造成造价上出入。</w:t>
      </w:r>
    </w:p>
    <w:p w14:paraId="3D08830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3实践案例应用与分析</w:t>
      </w:r>
    </w:p>
    <w:p w14:paraId="620DE0E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Style w:val="20"/>
          <w:rFonts w:hint="eastAsia" w:ascii="宋体" w:hAnsi="宋体" w:eastAsia="宋体" w:cs="宋体"/>
          <w:b w:val="0"/>
          <w:bCs w:val="0"/>
          <w:i w:val="0"/>
          <w:iCs w:val="0"/>
          <w:caps w:val="0"/>
          <w:color w:val="0F1115"/>
          <w:spacing w:val="0"/>
          <w:sz w:val="21"/>
          <w:szCs w:val="21"/>
          <w:shd w:val="clear" w:fill="FFFFFF"/>
        </w:rPr>
      </w:pPr>
      <w:r>
        <w:rPr>
          <w:rStyle w:val="20"/>
          <w:rFonts w:hint="eastAsia" w:ascii="宋体" w:hAnsi="宋体" w:eastAsia="宋体" w:cs="宋体"/>
          <w:b w:val="0"/>
          <w:bCs w:val="0"/>
          <w:i w:val="0"/>
          <w:iCs w:val="0"/>
          <w:caps w:val="0"/>
          <w:color w:val="0F1115"/>
          <w:spacing w:val="0"/>
          <w:sz w:val="21"/>
          <w:szCs w:val="21"/>
          <w:shd w:val="clear" w:fill="FFFFFF"/>
        </w:rPr>
        <w:t>为验证上述策略在复杂工业项目中的适用性与实效性，本文选取某大型磷肥企业技术改造项目作为典型案例进行分析。该类项目技术复杂度高，涉及大型非标设备安装、工艺管道改造及自动化系统升级，对审计人员的技术与经济融合能力提出较高要求。</w:t>
      </w:r>
    </w:p>
    <w:p w14:paraId="5A54724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Style w:val="20"/>
          <w:rFonts w:hint="eastAsia" w:ascii="宋体" w:hAnsi="宋体" w:eastAsia="宋体" w:cs="宋体"/>
          <w:b w:val="0"/>
          <w:bCs w:val="0"/>
          <w:i w:val="0"/>
          <w:iCs w:val="0"/>
          <w:caps w:val="0"/>
          <w:color w:val="0F1115"/>
          <w:spacing w:val="0"/>
          <w:sz w:val="21"/>
          <w:szCs w:val="21"/>
          <w:shd w:val="clear" w:fill="FFFFFF"/>
          <w:lang w:eastAsia="zh-CN"/>
        </w:rPr>
      </w:pPr>
      <w:r>
        <w:rPr>
          <w:rStyle w:val="20"/>
          <w:rFonts w:hint="eastAsia" w:ascii="宋体" w:hAnsi="宋体" w:eastAsia="宋体" w:cs="宋体"/>
          <w:b w:val="0"/>
          <w:bCs w:val="0"/>
          <w:i w:val="0"/>
          <w:iCs w:val="0"/>
          <w:caps w:val="0"/>
          <w:color w:val="0F1115"/>
          <w:spacing w:val="0"/>
          <w:sz w:val="21"/>
          <w:szCs w:val="21"/>
          <w:shd w:val="clear" w:fill="FFFFFF"/>
        </w:rPr>
        <w:t>案例背景：该项目是技改工程，采用固定单价合同，中标价低于招标控制价4%。施工内容为拆除陈旧不良设备，安装节能高效的新型设备以及配套这些设备的工艺管道、电气、自控设备改造。施工影响线复杂、交织于生产装置区内、隐蔽工程大、临时措施签证数量多。该案例中审计全过程动态控制策略得以全面运用文中介绍，又结合化工技改项目特点调整了技改工程审计做法。下面就这个项目实施过程中的审计难点、审计方法、成效等相关内容进行详细举例分析：</w:t>
      </w:r>
    </w:p>
    <w:p w14:paraId="0F99B468">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表2 技改项目结算审计重点问题和成效表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6"/>
        <w:gridCol w:w="2920"/>
        <w:gridCol w:w="3156"/>
      </w:tblGrid>
      <w:tr w14:paraId="68E1B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6" w:type="dxa"/>
            <w:vAlign w:val="center"/>
          </w:tcPr>
          <w:p w14:paraId="6F5928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aps w:val="0"/>
                <w:color w:val="0F1115"/>
                <w:spacing w:val="0"/>
                <w:kern w:val="0"/>
                <w:sz w:val="18"/>
                <w:szCs w:val="18"/>
                <w:lang w:val="en-US" w:eastAsia="zh-CN" w:bidi="ar"/>
              </w:rPr>
            </w:pPr>
            <w:r>
              <w:rPr>
                <w:rFonts w:hint="eastAsia" w:ascii="宋体" w:hAnsi="宋体" w:eastAsia="宋体" w:cs="宋体"/>
                <w:b/>
                <w:bCs/>
                <w:i w:val="0"/>
                <w:iCs w:val="0"/>
                <w:caps w:val="0"/>
                <w:color w:val="0F1115"/>
                <w:spacing w:val="0"/>
                <w:kern w:val="0"/>
                <w:sz w:val="18"/>
                <w:szCs w:val="18"/>
                <w:lang w:val="en-US" w:eastAsia="zh-CN" w:bidi="ar"/>
              </w:rPr>
              <w:t>审计重点问题</w:t>
            </w:r>
          </w:p>
        </w:tc>
        <w:tc>
          <w:tcPr>
            <w:tcW w:w="2920" w:type="dxa"/>
            <w:vAlign w:val="center"/>
          </w:tcPr>
          <w:p w14:paraId="454DE6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aps w:val="0"/>
                <w:color w:val="0F1115"/>
                <w:spacing w:val="0"/>
                <w:kern w:val="0"/>
                <w:sz w:val="18"/>
                <w:szCs w:val="18"/>
                <w:lang w:val="en-US" w:eastAsia="zh-CN" w:bidi="ar"/>
              </w:rPr>
            </w:pPr>
            <w:r>
              <w:rPr>
                <w:rFonts w:hint="eastAsia" w:ascii="宋体" w:hAnsi="宋体" w:eastAsia="宋体" w:cs="宋体"/>
                <w:b/>
                <w:bCs/>
                <w:i w:val="0"/>
                <w:iCs w:val="0"/>
                <w:caps w:val="0"/>
                <w:color w:val="0F1115"/>
                <w:spacing w:val="0"/>
                <w:kern w:val="0"/>
                <w:sz w:val="18"/>
                <w:szCs w:val="18"/>
                <w:lang w:val="en-US" w:eastAsia="zh-CN" w:bidi="ar"/>
              </w:rPr>
              <w:t>审计方法及控制措施</w:t>
            </w:r>
          </w:p>
        </w:tc>
        <w:tc>
          <w:tcPr>
            <w:tcW w:w="3156" w:type="dxa"/>
            <w:vAlign w:val="center"/>
          </w:tcPr>
          <w:p w14:paraId="0CA31D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aps w:val="0"/>
                <w:color w:val="0F1115"/>
                <w:spacing w:val="0"/>
                <w:kern w:val="0"/>
                <w:sz w:val="18"/>
                <w:szCs w:val="18"/>
                <w:lang w:val="en-US" w:eastAsia="zh-CN" w:bidi="ar"/>
              </w:rPr>
            </w:pPr>
            <w:r>
              <w:rPr>
                <w:rFonts w:hint="eastAsia" w:ascii="宋体" w:hAnsi="宋体" w:eastAsia="宋体" w:cs="宋体"/>
                <w:b/>
                <w:bCs/>
                <w:i w:val="0"/>
                <w:iCs w:val="0"/>
                <w:caps w:val="0"/>
                <w:color w:val="0F1115"/>
                <w:spacing w:val="0"/>
                <w:kern w:val="0"/>
                <w:sz w:val="18"/>
                <w:szCs w:val="18"/>
                <w:lang w:val="en-US" w:eastAsia="zh-CN" w:bidi="ar"/>
              </w:rPr>
              <w:t>核心成效和意义</w:t>
            </w:r>
          </w:p>
        </w:tc>
      </w:tr>
      <w:tr w14:paraId="7AE87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8" w:hRule="atLeast"/>
        </w:trPr>
        <w:tc>
          <w:tcPr>
            <w:tcW w:w="2446" w:type="dxa"/>
            <w:vAlign w:val="top"/>
          </w:tcPr>
          <w:p w14:paraId="5DE0D036">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i w:val="0"/>
                <w:iCs w:val="0"/>
                <w:caps w:val="0"/>
                <w:color w:val="0F1115"/>
                <w:spacing w:val="0"/>
                <w:kern w:val="0"/>
                <w:sz w:val="18"/>
                <w:szCs w:val="18"/>
                <w:lang w:val="en-US" w:eastAsia="zh-CN" w:bidi="ar"/>
              </w:rPr>
            </w:pPr>
            <w:r>
              <w:rPr>
                <w:rFonts w:hint="eastAsia" w:ascii="宋体" w:hAnsi="宋体" w:eastAsia="宋体" w:cs="宋体"/>
                <w:b w:val="0"/>
                <w:bCs w:val="0"/>
                <w:i w:val="0"/>
                <w:iCs w:val="0"/>
                <w:caps w:val="0"/>
                <w:color w:val="0F1115"/>
                <w:spacing w:val="0"/>
                <w:kern w:val="0"/>
                <w:sz w:val="18"/>
                <w:szCs w:val="18"/>
                <w:lang w:val="en-US" w:eastAsia="zh-CN" w:bidi="ar"/>
              </w:rPr>
              <w:t xml:space="preserve">1. </w:t>
            </w:r>
            <w:r>
              <w:rPr>
                <w:rFonts w:hint="eastAsia" w:ascii="宋体" w:hAnsi="宋体" w:eastAsia="宋体" w:cs="宋体"/>
                <w:b/>
                <w:bCs/>
                <w:i w:val="0"/>
                <w:iCs w:val="0"/>
                <w:caps w:val="0"/>
                <w:color w:val="0F1115"/>
                <w:spacing w:val="0"/>
                <w:kern w:val="0"/>
                <w:sz w:val="18"/>
                <w:szCs w:val="18"/>
                <w:lang w:val="en-US" w:eastAsia="zh-CN" w:bidi="ar"/>
              </w:rPr>
              <w:t>变更程序合规性与工程量真实性缺失：</w:t>
            </w:r>
            <w:r>
              <w:rPr>
                <w:rFonts w:hint="eastAsia" w:ascii="宋体" w:hAnsi="宋体" w:eastAsia="宋体" w:cs="宋体"/>
                <w:b w:val="0"/>
                <w:bCs w:val="0"/>
                <w:i w:val="0"/>
                <w:iCs w:val="0"/>
                <w:caps w:val="0"/>
                <w:color w:val="0F1115"/>
                <w:spacing w:val="0"/>
                <w:kern w:val="0"/>
                <w:sz w:val="18"/>
                <w:szCs w:val="18"/>
                <w:lang w:val="en-US" w:eastAsia="zh-CN" w:bidi="ar"/>
              </w:rPr>
              <w:t>有相关设备基础变更，但没见到经确认后的正式手续，报送增加工程量超出设计图纸量。</w:t>
            </w:r>
          </w:p>
          <w:p w14:paraId="2C0A4989">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i w:val="0"/>
                <w:iCs w:val="0"/>
                <w:caps w:val="0"/>
                <w:color w:val="0F1115"/>
                <w:spacing w:val="0"/>
                <w:kern w:val="0"/>
                <w:sz w:val="18"/>
                <w:szCs w:val="18"/>
                <w:lang w:val="en-US" w:eastAsia="zh-CN" w:bidi="ar"/>
              </w:rPr>
            </w:pPr>
          </w:p>
        </w:tc>
        <w:tc>
          <w:tcPr>
            <w:tcW w:w="2920" w:type="dxa"/>
            <w:vAlign w:val="top"/>
          </w:tcPr>
          <w:p w14:paraId="3A36C5D3">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i w:val="0"/>
                <w:iCs w:val="0"/>
                <w:caps w:val="0"/>
                <w:color w:val="0F1115"/>
                <w:spacing w:val="0"/>
                <w:kern w:val="0"/>
                <w:sz w:val="18"/>
                <w:szCs w:val="18"/>
                <w:lang w:val="en-US" w:eastAsia="zh-CN" w:bidi="ar"/>
              </w:rPr>
            </w:pPr>
            <w:r>
              <w:rPr>
                <w:rFonts w:hint="eastAsia" w:ascii="宋体" w:hAnsi="宋体" w:eastAsia="宋体" w:cs="宋体"/>
                <w:b/>
                <w:bCs/>
                <w:i w:val="0"/>
                <w:iCs w:val="0"/>
                <w:caps w:val="0"/>
                <w:color w:val="0F1115"/>
                <w:spacing w:val="0"/>
                <w:kern w:val="0"/>
                <w:sz w:val="18"/>
                <w:szCs w:val="18"/>
                <w:lang w:val="en-US" w:eastAsia="zh-CN" w:bidi="ar"/>
              </w:rPr>
              <w:t>资料动态审核：</w:t>
            </w:r>
            <w:r>
              <w:rPr>
                <w:rFonts w:hint="eastAsia" w:ascii="宋体" w:hAnsi="宋体" w:eastAsia="宋体" w:cs="宋体"/>
                <w:b w:val="0"/>
                <w:bCs w:val="0"/>
                <w:i w:val="0"/>
                <w:iCs w:val="0"/>
                <w:caps w:val="0"/>
                <w:color w:val="0F1115"/>
                <w:spacing w:val="0"/>
                <w:kern w:val="0"/>
                <w:sz w:val="18"/>
                <w:szCs w:val="18"/>
                <w:lang w:val="en-US" w:eastAsia="zh-CN" w:bidi="ar"/>
              </w:rPr>
              <w:t>调阅《地基验槽记录》《隐蔽工程验收记录》等过程文件进行交叉验证。</w:t>
            </w:r>
            <w:r>
              <w:rPr>
                <w:rFonts w:hint="eastAsia" w:ascii="宋体" w:hAnsi="宋体" w:eastAsia="宋体" w:cs="宋体"/>
                <w:b w:val="0"/>
                <w:bCs w:val="0"/>
                <w:i w:val="0"/>
                <w:iCs w:val="0"/>
                <w:caps w:val="0"/>
                <w:color w:val="0F1115"/>
                <w:spacing w:val="0"/>
                <w:kern w:val="0"/>
                <w:sz w:val="18"/>
                <w:szCs w:val="18"/>
                <w:lang w:val="en-US" w:eastAsia="zh-CN" w:bidi="ar"/>
              </w:rPr>
              <w:br w:type="textWrapping"/>
            </w:r>
            <w:r>
              <w:rPr>
                <w:rFonts w:hint="eastAsia" w:ascii="宋体" w:hAnsi="宋体" w:eastAsia="宋体" w:cs="宋体"/>
                <w:b/>
                <w:bCs/>
                <w:i w:val="0"/>
                <w:iCs w:val="0"/>
                <w:caps w:val="0"/>
                <w:color w:val="0F1115"/>
                <w:spacing w:val="0"/>
                <w:kern w:val="0"/>
                <w:sz w:val="18"/>
                <w:szCs w:val="18"/>
                <w:lang w:val="en-US" w:eastAsia="zh-CN" w:bidi="ar"/>
              </w:rPr>
              <w:t>变更闭环控制</w:t>
            </w:r>
            <w:r>
              <w:rPr>
                <w:rFonts w:hint="eastAsia" w:ascii="宋体" w:hAnsi="宋体" w:eastAsia="宋体" w:cs="宋体"/>
                <w:b w:val="0"/>
                <w:bCs w:val="0"/>
                <w:i w:val="0"/>
                <w:iCs w:val="0"/>
                <w:caps w:val="0"/>
                <w:color w:val="0F1115"/>
                <w:spacing w:val="0"/>
                <w:kern w:val="0"/>
                <w:sz w:val="18"/>
                <w:szCs w:val="18"/>
                <w:lang w:val="en-US" w:eastAsia="zh-CN" w:bidi="ar"/>
              </w:rPr>
              <w:t>：发函要求补充设计单位出具的正式变更核定单，强化变更事项的准入管理与程序合规性。</w:t>
            </w:r>
          </w:p>
        </w:tc>
        <w:tc>
          <w:tcPr>
            <w:tcW w:w="3156" w:type="dxa"/>
            <w:vAlign w:val="top"/>
          </w:tcPr>
          <w:p w14:paraId="7E2B76ED">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i w:val="0"/>
                <w:iCs w:val="0"/>
                <w:caps w:val="0"/>
                <w:color w:val="0F1115"/>
                <w:spacing w:val="0"/>
                <w:kern w:val="0"/>
                <w:sz w:val="18"/>
                <w:szCs w:val="18"/>
                <w:lang w:val="en-US" w:eastAsia="zh-CN" w:bidi="ar"/>
              </w:rPr>
            </w:pPr>
            <w:r>
              <w:rPr>
                <w:rFonts w:hint="eastAsia" w:ascii="宋体" w:hAnsi="宋体" w:eastAsia="宋体" w:cs="宋体"/>
                <w:b/>
                <w:bCs/>
                <w:i w:val="0"/>
                <w:iCs w:val="0"/>
                <w:caps w:val="0"/>
                <w:color w:val="0F1115"/>
                <w:spacing w:val="0"/>
                <w:kern w:val="0"/>
                <w:sz w:val="18"/>
                <w:szCs w:val="18"/>
                <w:lang w:val="en-US" w:eastAsia="zh-CN" w:bidi="ar"/>
              </w:rPr>
              <w:t>精准核减：</w:t>
            </w:r>
            <w:r>
              <w:rPr>
                <w:rFonts w:hint="eastAsia" w:ascii="宋体" w:hAnsi="宋体" w:eastAsia="宋体" w:cs="宋体"/>
                <w:b w:val="0"/>
                <w:bCs w:val="0"/>
                <w:i w:val="0"/>
                <w:iCs w:val="0"/>
                <w:caps w:val="0"/>
                <w:color w:val="0F1115"/>
                <w:spacing w:val="0"/>
                <w:kern w:val="0"/>
                <w:sz w:val="18"/>
                <w:szCs w:val="18"/>
                <w:lang w:val="en-US" w:eastAsia="zh-CN" w:bidi="ar"/>
              </w:rPr>
              <w:t>依据补全的正式文件，核减施工单位单方报送的虚增工程量。</w:t>
            </w:r>
            <w:r>
              <w:rPr>
                <w:rFonts w:hint="eastAsia" w:ascii="宋体" w:hAnsi="宋体" w:eastAsia="宋体" w:cs="宋体"/>
                <w:b w:val="0"/>
                <w:bCs w:val="0"/>
                <w:i w:val="0"/>
                <w:iCs w:val="0"/>
                <w:caps w:val="0"/>
                <w:color w:val="0F1115"/>
                <w:spacing w:val="0"/>
                <w:kern w:val="0"/>
                <w:sz w:val="18"/>
                <w:szCs w:val="18"/>
                <w:lang w:val="en-US" w:eastAsia="zh-CN" w:bidi="ar"/>
              </w:rPr>
              <w:br w:type="textWrapping"/>
            </w:r>
            <w:r>
              <w:rPr>
                <w:rFonts w:hint="eastAsia" w:ascii="宋体" w:hAnsi="宋体" w:eastAsia="宋体" w:cs="宋体"/>
                <w:b/>
                <w:bCs/>
                <w:i w:val="0"/>
                <w:iCs w:val="0"/>
                <w:caps w:val="0"/>
                <w:color w:val="0F1115"/>
                <w:spacing w:val="0"/>
                <w:kern w:val="0"/>
                <w:sz w:val="18"/>
                <w:szCs w:val="18"/>
                <w:lang w:val="en-US" w:eastAsia="zh-CN" w:bidi="ar"/>
              </w:rPr>
              <w:t>流程再造：</w:t>
            </w:r>
            <w:r>
              <w:rPr>
                <w:rFonts w:hint="eastAsia" w:ascii="宋体" w:hAnsi="宋体" w:eastAsia="宋体" w:cs="宋体"/>
                <w:b w:val="0"/>
                <w:bCs w:val="0"/>
                <w:i w:val="0"/>
                <w:iCs w:val="0"/>
                <w:caps w:val="0"/>
                <w:color w:val="0F1115"/>
                <w:spacing w:val="0"/>
                <w:kern w:val="0"/>
                <w:sz w:val="18"/>
                <w:szCs w:val="18"/>
                <w:lang w:val="en-US" w:eastAsia="zh-CN" w:bidi="ar"/>
              </w:rPr>
              <w:t>从源头规范了变更管理流程，确立了“无正式依据不计量”的管理原则</w:t>
            </w:r>
          </w:p>
        </w:tc>
      </w:tr>
      <w:tr w14:paraId="77ADC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6" w:type="dxa"/>
            <w:vAlign w:val="top"/>
          </w:tcPr>
          <w:p w14:paraId="041FEF9E">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i w:val="0"/>
                <w:iCs w:val="0"/>
                <w:caps w:val="0"/>
                <w:color w:val="auto"/>
                <w:spacing w:val="0"/>
                <w:kern w:val="0"/>
                <w:sz w:val="18"/>
                <w:szCs w:val="18"/>
                <w:lang w:val="en-US" w:eastAsia="zh-CN" w:bidi="ar"/>
              </w:rPr>
            </w:pPr>
            <w:r>
              <w:rPr>
                <w:rStyle w:val="20"/>
                <w:rFonts w:hint="eastAsia" w:ascii="宋体" w:hAnsi="宋体" w:eastAsia="宋体" w:cs="宋体"/>
                <w:b/>
                <w:bCs/>
                <w:i w:val="0"/>
                <w:iCs w:val="0"/>
                <w:caps w:val="0"/>
                <w:color w:val="auto"/>
                <w:spacing w:val="0"/>
                <w:kern w:val="0"/>
                <w:sz w:val="18"/>
                <w:szCs w:val="18"/>
                <w:lang w:val="en-US" w:eastAsia="zh-CN" w:bidi="ar"/>
              </w:rPr>
              <w:t>2. 新增项目计价偏离合同约定：</w:t>
            </w:r>
            <w:r>
              <w:rPr>
                <w:rFonts w:hint="eastAsia" w:ascii="宋体" w:hAnsi="宋体" w:eastAsia="宋体" w:cs="宋体"/>
                <w:i w:val="0"/>
                <w:iCs w:val="0"/>
                <w:caps w:val="0"/>
                <w:color w:val="auto"/>
                <w:spacing w:val="0"/>
                <w:kern w:val="0"/>
                <w:sz w:val="18"/>
                <w:szCs w:val="18"/>
                <w:lang w:val="en-US" w:eastAsia="zh-CN" w:bidi="ar"/>
              </w:rPr>
              <w:br w:type="textWrapping"/>
            </w:r>
            <w:r>
              <w:rPr>
                <w:rFonts w:hint="eastAsia" w:ascii="宋体" w:hAnsi="宋体" w:eastAsia="宋体" w:cs="宋体"/>
                <w:i w:val="0"/>
                <w:iCs w:val="0"/>
                <w:caps w:val="0"/>
                <w:color w:val="auto"/>
                <w:spacing w:val="0"/>
                <w:kern w:val="0"/>
                <w:sz w:val="18"/>
                <w:szCs w:val="18"/>
                <w:lang w:val="en-US" w:eastAsia="zh-CN" w:bidi="ar"/>
              </w:rPr>
              <w:t>新增工艺管道安装费组价时，未按合同约定执行4%下浮率。</w:t>
            </w:r>
          </w:p>
        </w:tc>
        <w:tc>
          <w:tcPr>
            <w:tcW w:w="2920" w:type="dxa"/>
            <w:vAlign w:val="top"/>
          </w:tcPr>
          <w:p w14:paraId="5885BD29">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i w:val="0"/>
                <w:iCs w:val="0"/>
                <w:caps w:val="0"/>
                <w:color w:val="auto"/>
                <w:spacing w:val="0"/>
                <w:kern w:val="0"/>
                <w:sz w:val="18"/>
                <w:szCs w:val="18"/>
                <w:lang w:val="en-US" w:eastAsia="zh-CN" w:bidi="ar"/>
              </w:rPr>
            </w:pPr>
            <w:r>
              <w:rPr>
                <w:rStyle w:val="20"/>
                <w:rFonts w:hint="eastAsia" w:ascii="宋体" w:hAnsi="宋体" w:eastAsia="宋体" w:cs="宋体"/>
                <w:b/>
                <w:bCs/>
                <w:i w:val="0"/>
                <w:iCs w:val="0"/>
                <w:caps w:val="0"/>
                <w:color w:val="auto"/>
                <w:spacing w:val="0"/>
                <w:kern w:val="0"/>
                <w:sz w:val="18"/>
                <w:szCs w:val="18"/>
                <w:lang w:val="en-US" w:eastAsia="zh-CN" w:bidi="ar"/>
              </w:rPr>
              <w:t>合同精准解读</w:t>
            </w:r>
            <w:r>
              <w:rPr>
                <w:rFonts w:hint="eastAsia" w:ascii="宋体" w:hAnsi="宋体" w:eastAsia="宋体" w:cs="宋体"/>
                <w:i w:val="0"/>
                <w:iCs w:val="0"/>
                <w:caps w:val="0"/>
                <w:color w:val="auto"/>
                <w:spacing w:val="0"/>
                <w:kern w:val="0"/>
                <w:sz w:val="18"/>
                <w:szCs w:val="18"/>
                <w:lang w:val="en-US" w:eastAsia="zh-CN" w:bidi="ar"/>
              </w:rPr>
              <w:t>：严格依据合同计价条款，对新增项目坚持“同步同比例下浮”原则，确保计价口径统一。</w:t>
            </w:r>
          </w:p>
        </w:tc>
        <w:tc>
          <w:tcPr>
            <w:tcW w:w="3156" w:type="dxa"/>
            <w:vAlign w:val="top"/>
          </w:tcPr>
          <w:p w14:paraId="29AA6563">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i w:val="0"/>
                <w:iCs w:val="0"/>
                <w:caps w:val="0"/>
                <w:color w:val="auto"/>
                <w:spacing w:val="0"/>
                <w:kern w:val="0"/>
                <w:sz w:val="18"/>
                <w:szCs w:val="18"/>
                <w:lang w:val="en-US" w:eastAsia="zh-CN" w:bidi="ar"/>
              </w:rPr>
            </w:pPr>
            <w:r>
              <w:rPr>
                <w:rStyle w:val="20"/>
                <w:rFonts w:hint="eastAsia" w:ascii="宋体" w:hAnsi="宋体" w:eastAsia="宋体" w:cs="宋体"/>
                <w:b/>
                <w:bCs/>
                <w:i w:val="0"/>
                <w:iCs w:val="0"/>
                <w:caps w:val="0"/>
                <w:color w:val="auto"/>
                <w:spacing w:val="0"/>
                <w:kern w:val="0"/>
                <w:sz w:val="18"/>
                <w:szCs w:val="18"/>
                <w:lang w:val="en-US" w:eastAsia="zh-CN" w:bidi="ar"/>
              </w:rPr>
              <w:t>直接节约</w:t>
            </w:r>
            <w:r>
              <w:rPr>
                <w:rFonts w:hint="eastAsia" w:ascii="宋体" w:hAnsi="宋体" w:eastAsia="宋体" w:cs="宋体"/>
                <w:i w:val="0"/>
                <w:iCs w:val="0"/>
                <w:caps w:val="0"/>
                <w:color w:val="auto"/>
                <w:spacing w:val="0"/>
                <w:kern w:val="0"/>
                <w:sz w:val="18"/>
                <w:szCs w:val="18"/>
                <w:lang w:val="en-US" w:eastAsia="zh-CN" w:bidi="ar"/>
              </w:rPr>
              <w:t>：核减工程造价28.5万元。</w:t>
            </w:r>
            <w:r>
              <w:rPr>
                <w:rFonts w:hint="eastAsia" w:ascii="宋体" w:hAnsi="宋体" w:eastAsia="宋体" w:cs="宋体"/>
                <w:i w:val="0"/>
                <w:iCs w:val="0"/>
                <w:caps w:val="0"/>
                <w:color w:val="auto"/>
                <w:spacing w:val="0"/>
                <w:kern w:val="0"/>
                <w:sz w:val="18"/>
                <w:szCs w:val="18"/>
                <w:lang w:val="en-US" w:eastAsia="zh-CN" w:bidi="ar"/>
              </w:rPr>
              <w:br w:type="textWrapping"/>
            </w:r>
            <w:r>
              <w:rPr>
                <w:rStyle w:val="20"/>
                <w:rFonts w:hint="eastAsia" w:ascii="宋体" w:hAnsi="宋体" w:eastAsia="宋体" w:cs="宋体"/>
                <w:b/>
                <w:bCs/>
                <w:i w:val="0"/>
                <w:iCs w:val="0"/>
                <w:caps w:val="0"/>
                <w:color w:val="auto"/>
                <w:spacing w:val="0"/>
                <w:kern w:val="0"/>
                <w:sz w:val="18"/>
                <w:szCs w:val="18"/>
                <w:lang w:val="en-US" w:eastAsia="zh-CN" w:bidi="ar"/>
              </w:rPr>
              <w:t>风险防控</w:t>
            </w:r>
            <w:r>
              <w:rPr>
                <w:rFonts w:hint="eastAsia" w:ascii="宋体" w:hAnsi="宋体" w:eastAsia="宋体" w:cs="宋体"/>
                <w:i w:val="0"/>
                <w:iCs w:val="0"/>
                <w:caps w:val="0"/>
                <w:color w:val="auto"/>
                <w:spacing w:val="0"/>
                <w:kern w:val="0"/>
                <w:sz w:val="18"/>
                <w:szCs w:val="18"/>
                <w:lang w:val="en-US" w:eastAsia="zh-CN" w:bidi="ar"/>
              </w:rPr>
              <w:t>：捍卫了合同条款的刚性约束力，堵住了因合同理解偏差可能引发的造价缺口。</w:t>
            </w:r>
          </w:p>
        </w:tc>
      </w:tr>
      <w:tr w14:paraId="08C19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6" w:type="dxa"/>
            <w:vAlign w:val="top"/>
          </w:tcPr>
          <w:p w14:paraId="5F9C37A6">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i w:val="0"/>
                <w:iCs w:val="0"/>
                <w:caps w:val="0"/>
                <w:color w:val="auto"/>
                <w:spacing w:val="0"/>
                <w:kern w:val="0"/>
                <w:sz w:val="18"/>
                <w:szCs w:val="18"/>
                <w:lang w:val="en-US" w:eastAsia="zh-CN" w:bidi="ar"/>
              </w:rPr>
            </w:pPr>
            <w:r>
              <w:rPr>
                <w:rStyle w:val="20"/>
                <w:rFonts w:hint="eastAsia" w:ascii="宋体" w:hAnsi="宋体" w:eastAsia="宋体" w:cs="宋体"/>
                <w:b/>
                <w:bCs/>
                <w:i w:val="0"/>
                <w:iCs w:val="0"/>
                <w:caps w:val="0"/>
                <w:color w:val="auto"/>
                <w:spacing w:val="0"/>
                <w:kern w:val="0"/>
                <w:sz w:val="18"/>
                <w:szCs w:val="18"/>
                <w:lang w:val="en-US" w:eastAsia="zh-CN" w:bidi="ar"/>
              </w:rPr>
              <w:t>3. 措施费用申报与实际施工情况不符</w:t>
            </w:r>
            <w:r>
              <w:rPr>
                <w:rFonts w:hint="eastAsia" w:ascii="宋体" w:hAnsi="宋体" w:eastAsia="宋体" w:cs="宋体"/>
                <w:i w:val="0"/>
                <w:iCs w:val="0"/>
                <w:caps w:val="0"/>
                <w:color w:val="auto"/>
                <w:spacing w:val="0"/>
                <w:kern w:val="0"/>
                <w:sz w:val="18"/>
                <w:szCs w:val="18"/>
                <w:lang w:val="en-US" w:eastAsia="zh-CN" w:bidi="ar"/>
              </w:rPr>
              <w:br w:type="textWrapping"/>
            </w:r>
            <w:r>
              <w:rPr>
                <w:rFonts w:hint="eastAsia" w:ascii="宋体" w:hAnsi="宋体" w:eastAsia="宋体" w:cs="宋体"/>
                <w:i w:val="0"/>
                <w:iCs w:val="0"/>
                <w:caps w:val="0"/>
                <w:color w:val="auto"/>
                <w:spacing w:val="0"/>
                <w:kern w:val="0"/>
                <w:sz w:val="18"/>
                <w:szCs w:val="18"/>
                <w:lang w:val="en-US" w:eastAsia="zh-CN" w:bidi="ar"/>
              </w:rPr>
              <w:t>申报的二次搬运及夜间施工措施费，其申报工日与实际施工记录存在偏差。</w:t>
            </w:r>
          </w:p>
        </w:tc>
        <w:tc>
          <w:tcPr>
            <w:tcW w:w="2920" w:type="dxa"/>
            <w:vAlign w:val="top"/>
          </w:tcPr>
          <w:p w14:paraId="3DF378C5">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i w:val="0"/>
                <w:iCs w:val="0"/>
                <w:caps w:val="0"/>
                <w:color w:val="auto"/>
                <w:spacing w:val="0"/>
                <w:kern w:val="0"/>
                <w:sz w:val="18"/>
                <w:szCs w:val="18"/>
                <w:lang w:val="en-US" w:eastAsia="zh-CN" w:bidi="ar"/>
              </w:rPr>
            </w:pPr>
            <w:r>
              <w:rPr>
                <w:rStyle w:val="20"/>
                <w:rFonts w:hint="eastAsia" w:ascii="宋体" w:hAnsi="宋体" w:eastAsia="宋体" w:cs="宋体"/>
                <w:b/>
                <w:bCs/>
                <w:i w:val="0"/>
                <w:iCs w:val="0"/>
                <w:caps w:val="0"/>
                <w:color w:val="auto"/>
                <w:spacing w:val="0"/>
                <w:kern w:val="0"/>
                <w:sz w:val="18"/>
                <w:szCs w:val="18"/>
                <w:lang w:val="en-US" w:eastAsia="zh-CN" w:bidi="ar"/>
              </w:rPr>
              <w:t>全周期动态跟踪</w:t>
            </w:r>
            <w:r>
              <w:rPr>
                <w:rFonts w:hint="eastAsia" w:ascii="宋体" w:hAnsi="宋体" w:eastAsia="宋体" w:cs="宋体"/>
                <w:i w:val="0"/>
                <w:iCs w:val="0"/>
                <w:caps w:val="0"/>
                <w:color w:val="auto"/>
                <w:spacing w:val="0"/>
                <w:kern w:val="0"/>
                <w:sz w:val="18"/>
                <w:szCs w:val="18"/>
                <w:lang w:val="en-US" w:eastAsia="zh-CN" w:bidi="ar"/>
              </w:rPr>
              <w:t>：交叉比对项目部《施工日志》与业主方《生产调度记录》，并结合现场踏勘进行实质性核实。</w:t>
            </w:r>
          </w:p>
        </w:tc>
        <w:tc>
          <w:tcPr>
            <w:tcW w:w="3156" w:type="dxa"/>
            <w:vAlign w:val="top"/>
          </w:tcPr>
          <w:p w14:paraId="1A63CD96">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i w:val="0"/>
                <w:iCs w:val="0"/>
                <w:caps w:val="0"/>
                <w:color w:val="auto"/>
                <w:spacing w:val="0"/>
                <w:kern w:val="0"/>
                <w:sz w:val="18"/>
                <w:szCs w:val="18"/>
                <w:lang w:val="en-US" w:eastAsia="zh-CN" w:bidi="ar"/>
              </w:rPr>
            </w:pPr>
            <w:r>
              <w:rPr>
                <w:rStyle w:val="20"/>
                <w:rFonts w:hint="eastAsia" w:ascii="宋体" w:hAnsi="宋体" w:eastAsia="宋体" w:cs="宋体"/>
                <w:b/>
                <w:bCs/>
                <w:i w:val="0"/>
                <w:iCs w:val="0"/>
                <w:caps w:val="0"/>
                <w:color w:val="auto"/>
                <w:spacing w:val="0"/>
                <w:kern w:val="0"/>
                <w:sz w:val="18"/>
                <w:szCs w:val="18"/>
                <w:lang w:val="en-US" w:eastAsia="zh-CN" w:bidi="ar"/>
              </w:rPr>
              <w:t>费用核减</w:t>
            </w:r>
            <w:r>
              <w:rPr>
                <w:rFonts w:hint="eastAsia" w:ascii="宋体" w:hAnsi="宋体" w:eastAsia="宋体" w:cs="宋体"/>
                <w:i w:val="0"/>
                <w:iCs w:val="0"/>
                <w:caps w:val="0"/>
                <w:color w:val="auto"/>
                <w:spacing w:val="0"/>
                <w:kern w:val="0"/>
                <w:sz w:val="18"/>
                <w:szCs w:val="18"/>
                <w:lang w:val="en-US" w:eastAsia="zh-CN" w:bidi="ar"/>
              </w:rPr>
              <w:t>：按核实后的实际有效工日审定费用，核减不实申报。</w:t>
            </w:r>
            <w:r>
              <w:rPr>
                <w:rFonts w:hint="eastAsia" w:ascii="宋体" w:hAnsi="宋体" w:eastAsia="宋体" w:cs="宋体"/>
                <w:i w:val="0"/>
                <w:iCs w:val="0"/>
                <w:caps w:val="0"/>
                <w:color w:val="auto"/>
                <w:spacing w:val="0"/>
                <w:kern w:val="0"/>
                <w:sz w:val="18"/>
                <w:szCs w:val="18"/>
                <w:lang w:val="en-US" w:eastAsia="zh-CN" w:bidi="ar"/>
              </w:rPr>
              <w:br w:type="textWrapping"/>
            </w:r>
            <w:r>
              <w:rPr>
                <w:rStyle w:val="20"/>
                <w:rFonts w:hint="eastAsia" w:ascii="宋体" w:hAnsi="宋体" w:eastAsia="宋体" w:cs="宋体"/>
                <w:b/>
                <w:bCs/>
                <w:i w:val="0"/>
                <w:iCs w:val="0"/>
                <w:caps w:val="0"/>
                <w:color w:val="auto"/>
                <w:spacing w:val="0"/>
                <w:kern w:val="0"/>
                <w:sz w:val="18"/>
                <w:szCs w:val="18"/>
                <w:lang w:val="en-US" w:eastAsia="zh-CN" w:bidi="ar"/>
              </w:rPr>
              <w:t>管理深化</w:t>
            </w:r>
            <w:r>
              <w:rPr>
                <w:rFonts w:hint="eastAsia" w:ascii="宋体" w:hAnsi="宋体" w:eastAsia="宋体" w:cs="宋体"/>
                <w:i w:val="0"/>
                <w:iCs w:val="0"/>
                <w:caps w:val="0"/>
                <w:color w:val="auto"/>
                <w:spacing w:val="0"/>
                <w:kern w:val="0"/>
                <w:sz w:val="18"/>
                <w:szCs w:val="18"/>
                <w:lang w:val="en-US" w:eastAsia="zh-CN" w:bidi="ar"/>
              </w:rPr>
              <w:t>：体现了技术判断与经济审核的深度融合，实现了从“被动审资料”到“主动核事实”的管控升级。</w:t>
            </w:r>
          </w:p>
        </w:tc>
      </w:tr>
      <w:tr w14:paraId="59860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6" w:type="dxa"/>
            <w:vAlign w:val="top"/>
          </w:tcPr>
          <w:p w14:paraId="1AEF139B">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i w:val="0"/>
                <w:iCs w:val="0"/>
                <w:caps w:val="0"/>
                <w:color w:val="0F1115"/>
                <w:spacing w:val="0"/>
                <w:kern w:val="0"/>
                <w:sz w:val="18"/>
                <w:szCs w:val="18"/>
                <w:lang w:val="en-US" w:eastAsia="zh-CN" w:bidi="ar"/>
              </w:rPr>
            </w:pPr>
            <w:r>
              <w:rPr>
                <w:rStyle w:val="20"/>
                <w:rFonts w:hint="eastAsia" w:ascii="宋体" w:hAnsi="宋体" w:eastAsia="宋体" w:cs="宋体"/>
                <w:b/>
                <w:bCs/>
                <w:i w:val="0"/>
                <w:iCs w:val="0"/>
                <w:caps w:val="0"/>
                <w:color w:val="0F1115"/>
                <w:spacing w:val="0"/>
                <w:kern w:val="0"/>
                <w:sz w:val="18"/>
                <w:szCs w:val="18"/>
                <w:lang w:val="en-US" w:eastAsia="zh-CN" w:bidi="ar"/>
              </w:rPr>
              <w:t>4. 复杂空间工程量计算精度不足</w:t>
            </w:r>
            <w:r>
              <w:rPr>
                <w:rFonts w:hint="eastAsia" w:ascii="宋体" w:hAnsi="宋体" w:eastAsia="宋体" w:cs="宋体"/>
                <w:i w:val="0"/>
                <w:iCs w:val="0"/>
                <w:caps w:val="0"/>
                <w:color w:val="0F1115"/>
                <w:spacing w:val="0"/>
                <w:kern w:val="0"/>
                <w:sz w:val="18"/>
                <w:szCs w:val="18"/>
                <w:lang w:val="en-US" w:eastAsia="zh-CN" w:bidi="ar"/>
              </w:rPr>
              <w:br w:type="textWrapping"/>
            </w:r>
            <w:r>
              <w:rPr>
                <w:rFonts w:hint="eastAsia" w:ascii="宋体" w:hAnsi="宋体" w:eastAsia="宋体" w:cs="宋体"/>
                <w:i w:val="0"/>
                <w:iCs w:val="0"/>
                <w:caps w:val="0"/>
                <w:color w:val="0F1115"/>
                <w:spacing w:val="0"/>
                <w:kern w:val="0"/>
                <w:sz w:val="18"/>
                <w:szCs w:val="18"/>
                <w:lang w:val="en-US" w:eastAsia="zh-CN" w:bidi="ar"/>
              </w:rPr>
              <w:t>仅依赖二维图纸进行工程量计算，极易出现项目遗漏、重复计量乃至空间逻辑层面的错误</w:t>
            </w:r>
          </w:p>
        </w:tc>
        <w:tc>
          <w:tcPr>
            <w:tcW w:w="2920" w:type="dxa"/>
            <w:vAlign w:val="top"/>
          </w:tcPr>
          <w:p w14:paraId="29BB6169">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i w:val="0"/>
                <w:iCs w:val="0"/>
                <w:caps w:val="0"/>
                <w:color w:val="0F1115"/>
                <w:spacing w:val="0"/>
                <w:kern w:val="0"/>
                <w:sz w:val="18"/>
                <w:szCs w:val="18"/>
                <w:lang w:val="en-US" w:eastAsia="zh-CN" w:bidi="ar"/>
              </w:rPr>
            </w:pPr>
            <w:r>
              <w:rPr>
                <w:rStyle w:val="20"/>
                <w:rFonts w:hint="eastAsia" w:ascii="宋体" w:hAnsi="宋体" w:eastAsia="宋体" w:cs="宋体"/>
                <w:b/>
                <w:bCs/>
                <w:i w:val="0"/>
                <w:iCs w:val="0"/>
                <w:caps w:val="0"/>
                <w:color w:val="0F1115"/>
                <w:spacing w:val="0"/>
                <w:kern w:val="0"/>
                <w:sz w:val="18"/>
                <w:szCs w:val="18"/>
                <w:lang w:val="en-US" w:eastAsia="zh-CN" w:bidi="ar"/>
              </w:rPr>
              <w:t>技术创新应用</w:t>
            </w:r>
            <w:r>
              <w:rPr>
                <w:rFonts w:hint="eastAsia" w:ascii="宋体" w:hAnsi="宋体" w:eastAsia="宋体" w:cs="宋体"/>
                <w:i w:val="0"/>
                <w:iCs w:val="0"/>
                <w:caps w:val="0"/>
                <w:color w:val="0F1115"/>
                <w:spacing w:val="0"/>
                <w:kern w:val="0"/>
                <w:sz w:val="18"/>
                <w:szCs w:val="18"/>
                <w:lang w:val="en-US" w:eastAsia="zh-CN" w:bidi="ar"/>
              </w:rPr>
              <w:t>：采用BIM模型开展可视化工程量复核，借助其碰撞检测功能，有效识别并剔除了因空间冲突而产生的虚增工程量。</w:t>
            </w:r>
          </w:p>
        </w:tc>
        <w:tc>
          <w:tcPr>
            <w:tcW w:w="3156" w:type="dxa"/>
            <w:vAlign w:val="top"/>
          </w:tcPr>
          <w:p w14:paraId="12307CE9">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i w:val="0"/>
                <w:iCs w:val="0"/>
                <w:caps w:val="0"/>
                <w:color w:val="0F1115"/>
                <w:spacing w:val="0"/>
                <w:kern w:val="0"/>
                <w:sz w:val="18"/>
                <w:szCs w:val="18"/>
                <w:lang w:val="en-US" w:eastAsia="zh-CN" w:bidi="ar"/>
              </w:rPr>
            </w:pPr>
            <w:r>
              <w:rPr>
                <w:rStyle w:val="20"/>
                <w:rFonts w:hint="eastAsia" w:ascii="宋体" w:hAnsi="宋体" w:eastAsia="宋体" w:cs="宋体"/>
                <w:b/>
                <w:bCs/>
                <w:i w:val="0"/>
                <w:iCs w:val="0"/>
                <w:caps w:val="0"/>
                <w:color w:val="0F1115"/>
                <w:spacing w:val="0"/>
                <w:kern w:val="0"/>
                <w:sz w:val="18"/>
                <w:szCs w:val="18"/>
                <w:lang w:val="en-US" w:eastAsia="zh-CN" w:bidi="ar"/>
              </w:rPr>
              <w:t>提质增效</w:t>
            </w:r>
            <w:r>
              <w:rPr>
                <w:rFonts w:hint="eastAsia" w:ascii="宋体" w:hAnsi="宋体" w:eastAsia="宋体" w:cs="宋体"/>
                <w:i w:val="0"/>
                <w:iCs w:val="0"/>
                <w:caps w:val="0"/>
                <w:color w:val="0F1115"/>
                <w:spacing w:val="0"/>
                <w:kern w:val="0"/>
                <w:sz w:val="18"/>
                <w:szCs w:val="18"/>
                <w:lang w:val="en-US" w:eastAsia="zh-CN" w:bidi="ar"/>
              </w:rPr>
              <w:t>：发现并纠正了8处传统方法难以识别的计算错误，使审计效率较原有方式提高30%以上。</w:t>
            </w:r>
            <w:r>
              <w:rPr>
                <w:rFonts w:hint="eastAsia" w:ascii="宋体" w:hAnsi="宋体" w:eastAsia="宋体" w:cs="宋体"/>
                <w:i w:val="0"/>
                <w:iCs w:val="0"/>
                <w:caps w:val="0"/>
                <w:color w:val="0F1115"/>
                <w:spacing w:val="0"/>
                <w:kern w:val="0"/>
                <w:sz w:val="18"/>
                <w:szCs w:val="18"/>
                <w:lang w:val="en-US" w:eastAsia="zh-CN" w:bidi="ar"/>
              </w:rPr>
              <w:br w:type="textWrapping"/>
            </w:r>
            <w:r>
              <w:rPr>
                <w:rStyle w:val="20"/>
                <w:rFonts w:hint="eastAsia" w:ascii="宋体" w:hAnsi="宋体" w:eastAsia="宋体" w:cs="宋体"/>
                <w:b/>
                <w:bCs/>
                <w:i w:val="0"/>
                <w:iCs w:val="0"/>
                <w:caps w:val="0"/>
                <w:color w:val="0F1115"/>
                <w:spacing w:val="0"/>
                <w:kern w:val="0"/>
                <w:sz w:val="18"/>
                <w:szCs w:val="18"/>
                <w:lang w:val="en-US" w:eastAsia="zh-CN" w:bidi="ar"/>
              </w:rPr>
              <w:t>模式创新</w:t>
            </w:r>
            <w:r>
              <w:rPr>
                <w:rFonts w:hint="eastAsia" w:ascii="宋体" w:hAnsi="宋体" w:eastAsia="宋体" w:cs="宋体"/>
                <w:i w:val="0"/>
                <w:iCs w:val="0"/>
                <w:caps w:val="0"/>
                <w:color w:val="0F1115"/>
                <w:spacing w:val="0"/>
                <w:kern w:val="0"/>
                <w:sz w:val="18"/>
                <w:szCs w:val="18"/>
                <w:lang w:val="en-US" w:eastAsia="zh-CN" w:bidi="ar"/>
              </w:rPr>
              <w:t>：形成了一套可复制的数字化审计模式，为后续同类复杂项目提供了新的技术路径参考。</w:t>
            </w:r>
          </w:p>
        </w:tc>
      </w:tr>
    </w:tbl>
    <w:p w14:paraId="3633FBBF">
      <w:pPr>
        <w:pStyle w:val="1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案例表明全过程动态控制策略对于化工技改复杂项目等普遍适用。资料前置审查、合同条款贯穿全过程、整个过程的变更闭环管理、BIM技术等系列措施将审计工作从“被动核价”转变到“主动控制”过程，实现了全局性转变。最后，项目实现了项目投资审计审核率11.5%，既充分体现各方面受益的权利，又为企业节省了大量的建设投资，说明该策略的全面性和有效性。</w:t>
      </w:r>
    </w:p>
    <w:p w14:paraId="0E96D75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4结论</w:t>
      </w:r>
    </w:p>
    <w:p w14:paraId="603D56FB">
      <w:pPr>
        <w:pStyle w:val="1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工程结算审计是工程造价合理确定和有效控制的重要环节，直接关系工程项目投资效益和</w:t>
      </w:r>
      <w:r>
        <w:rPr>
          <w:rFonts w:hint="eastAsia" w:ascii="宋体" w:hAnsi="宋体" w:eastAsia="宋体" w:cs="宋体"/>
          <w:sz w:val="21"/>
          <w:szCs w:val="21"/>
          <w:lang w:val="en-US" w:eastAsia="zh-CN"/>
        </w:rPr>
        <w:t>建筑市场秩序。传统上“事后核算”型的工程结算审计存在的“依赖资料多、合同矛盾大、变更缺乏管控、技术经济背离等实际问题，本文提出来工程结算审计实现“全周期动态跟踪、合同精神贯穿、变更签证闭环控制”的“三维一体”全过程动态控制审计思路，即资料“超前动态审核”、合同“精读准确把握”、变更签证“管理闭环控制”，能有效避免“源头上防遏审计风险”“解决结算纠纷”“造成成本失控”。</w:t>
      </w:r>
    </w:p>
    <w:p w14:paraId="2D1688C9">
      <w:pPr>
        <w:pStyle w:val="1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化工技改项目的实践充分验证了该策略的务实价值与适用性，有效解决了复杂工业项目中隐蔽工程核实、措施费争议、工程量计算偏差等具体问题，最终实现11.5%的审减率，在保障工程质量与施工方合理利润的前提下，为企业节约了可观投资，获得了项目各方认可。综上，该策略实现了结算审计从“被动核价”向“主动管控”的转型，通过合同、技术、经济的深度融合，破解了传统审计的实际弊端，形成了可复制、可推广的实操路径，对提升工程建设投资管控实效具有重要的现实意义。</w:t>
      </w:r>
    </w:p>
    <w:p w14:paraId="271969D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p>
    <w:p w14:paraId="4589EC9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参考文献</w:t>
      </w:r>
    </w:p>
    <w:p w14:paraId="4873EB13">
      <w:pPr>
        <w:pStyle w:val="13"/>
        <w:keepNext w:val="0"/>
        <w:keepLines w:val="0"/>
        <w:pageBreakBefore w:val="0"/>
        <w:widowControl/>
        <w:numPr>
          <w:numId w:val="0"/>
        </w:numPr>
        <w:suppressLineNumbers w:val="0"/>
        <w:shd w:val="clear" w:fill="FFFFFF"/>
        <w:kinsoku/>
        <w:wordWrap/>
        <w:overflowPunct/>
        <w:topLinePunct w:val="0"/>
        <w:autoSpaceDE/>
        <w:autoSpaceDN/>
        <w:bidi w:val="0"/>
        <w:adjustRightInd/>
        <w:snapToGrid/>
        <w:spacing w:before="0" w:beforeAutospacing="0" w:after="0" w:afterAutospacing="0" w:line="400" w:lineRule="exact"/>
        <w:ind w:right="0" w:rightChars="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 xml:space="preserve">[1] </w:t>
      </w:r>
      <w:r>
        <w:rPr>
          <w:rFonts w:hint="eastAsia" w:ascii="宋体" w:hAnsi="宋体" w:eastAsia="宋体" w:cs="宋体"/>
          <w:i w:val="0"/>
          <w:iCs w:val="0"/>
          <w:caps w:val="0"/>
          <w:color w:val="0F1115"/>
          <w:spacing w:val="0"/>
          <w:sz w:val="21"/>
          <w:szCs w:val="21"/>
          <w:shd w:val="clear" w:fill="FFFFFF"/>
        </w:rPr>
        <w:t>住房和城乡建设部标准定额研究所．建设工程工程量清单计价规范 GB 50500-2013[S]．北京：中国计划出版社，2013．</w:t>
      </w:r>
    </w:p>
    <w:p w14:paraId="7BC3D982">
      <w:pPr>
        <w:pStyle w:val="13"/>
        <w:keepNext w:val="0"/>
        <w:keepLines w:val="0"/>
        <w:pageBreakBefore w:val="0"/>
        <w:widowControl/>
        <w:numPr>
          <w:numId w:val="0"/>
        </w:numPr>
        <w:suppressLineNumbers w:val="0"/>
        <w:shd w:val="clear" w:fill="FFFFFF"/>
        <w:kinsoku/>
        <w:wordWrap/>
        <w:overflowPunct/>
        <w:topLinePunct w:val="0"/>
        <w:autoSpaceDE/>
        <w:autoSpaceDN/>
        <w:bidi w:val="0"/>
        <w:adjustRightInd/>
        <w:snapToGrid/>
        <w:spacing w:before="0" w:beforeAutospacing="0" w:after="0" w:afterAutospacing="0" w:line="400" w:lineRule="exact"/>
        <w:ind w:right="0" w:rightChars="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[2] 中国建设工程造价管理协会．建设项目工程结算编审规程 CECA/GC 3-2010[S]．北京：中国计划出版社，2010．</w:t>
      </w:r>
    </w:p>
    <w:p w14:paraId="7F394705">
      <w:pPr>
        <w:pStyle w:val="13"/>
        <w:keepNext w:val="0"/>
        <w:keepLines w:val="0"/>
        <w:pageBreakBefore w:val="0"/>
        <w:widowControl/>
        <w:numPr>
          <w:numId w:val="0"/>
        </w:numPr>
        <w:suppressLineNumbers w:val="0"/>
        <w:shd w:val="clear" w:fill="FFFFFF"/>
        <w:kinsoku/>
        <w:wordWrap/>
        <w:overflowPunct/>
        <w:topLinePunct w:val="0"/>
        <w:autoSpaceDE/>
        <w:autoSpaceDN/>
        <w:bidi w:val="0"/>
        <w:adjustRightInd/>
        <w:snapToGrid/>
        <w:spacing w:before="0" w:beforeAutospacing="0" w:after="0" w:afterAutospacing="0" w:line="400" w:lineRule="exact"/>
        <w:ind w:right="0" w:rightChars="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w:t>
      </w:r>
      <w:r>
        <w:rPr>
          <w:rFonts w:hint="eastAsia" w:ascii="宋体" w:hAnsi="宋体" w:eastAsia="宋体" w:cs="宋体"/>
          <w:i w:val="0"/>
          <w:iCs w:val="0"/>
          <w:caps w:val="0"/>
          <w:color w:val="0F1115"/>
          <w:spacing w:val="0"/>
          <w:sz w:val="21"/>
          <w:szCs w:val="21"/>
          <w:shd w:val="clear" w:fill="FFFFFF"/>
          <w:lang w:val="en-US" w:eastAsia="zh-CN"/>
        </w:rPr>
        <w:t>3</w:t>
      </w:r>
      <w:r>
        <w:rPr>
          <w:rFonts w:hint="eastAsia" w:ascii="宋体" w:hAnsi="宋体" w:eastAsia="宋体" w:cs="宋体"/>
          <w:i w:val="0"/>
          <w:iCs w:val="0"/>
          <w:caps w:val="0"/>
          <w:color w:val="0F1115"/>
          <w:spacing w:val="0"/>
          <w:sz w:val="21"/>
          <w:szCs w:val="21"/>
          <w:shd w:val="clear" w:fill="FFFFFF"/>
        </w:rPr>
        <w:t>] 郑小曼，罗盛，张伟．基于内审视角的工程造价结算审计准确性提升策略[J]．中国商界，2025(13)：152-153．</w:t>
      </w:r>
    </w:p>
    <w:p w14:paraId="622BF621">
      <w:pPr>
        <w:pStyle w:val="13"/>
        <w:keepNext w:val="0"/>
        <w:keepLines w:val="0"/>
        <w:pageBreakBefore w:val="0"/>
        <w:widowControl/>
        <w:numPr>
          <w:numId w:val="0"/>
        </w:numPr>
        <w:suppressLineNumbers w:val="0"/>
        <w:shd w:val="clear" w:fill="FFFFFF"/>
        <w:kinsoku/>
        <w:wordWrap/>
        <w:overflowPunct/>
        <w:topLinePunct w:val="0"/>
        <w:autoSpaceDE/>
        <w:autoSpaceDN/>
        <w:bidi w:val="0"/>
        <w:adjustRightInd/>
        <w:snapToGrid/>
        <w:spacing w:before="0" w:beforeAutospacing="0" w:after="0" w:afterAutospacing="0" w:line="400" w:lineRule="exact"/>
        <w:ind w:right="0" w:rightChars="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w:t>
      </w:r>
      <w:r>
        <w:rPr>
          <w:rFonts w:hint="eastAsia" w:ascii="宋体" w:hAnsi="宋体" w:eastAsia="宋体" w:cs="宋体"/>
          <w:i w:val="0"/>
          <w:iCs w:val="0"/>
          <w:caps w:val="0"/>
          <w:color w:val="0F1115"/>
          <w:spacing w:val="0"/>
          <w:sz w:val="21"/>
          <w:szCs w:val="21"/>
          <w:shd w:val="clear" w:fill="FFFFFF"/>
          <w:lang w:val="en-US" w:eastAsia="zh-CN"/>
        </w:rPr>
        <w:t>4</w:t>
      </w:r>
      <w:r>
        <w:rPr>
          <w:rFonts w:hint="eastAsia" w:ascii="宋体" w:hAnsi="宋体" w:eastAsia="宋体" w:cs="宋体"/>
          <w:i w:val="0"/>
          <w:iCs w:val="0"/>
          <w:caps w:val="0"/>
          <w:color w:val="0F1115"/>
          <w:spacing w:val="0"/>
          <w:sz w:val="21"/>
          <w:szCs w:val="21"/>
          <w:shd w:val="clear" w:fill="FFFFFF"/>
        </w:rPr>
        <w:t>] 张莹．大数据背景下建筑工程造价预结算在施工成本管理中的应用[J]．工程与建设，2025，39(4)：987-989．</w:t>
      </w:r>
    </w:p>
    <w:p w14:paraId="220AD709">
      <w:pPr>
        <w:pStyle w:val="13"/>
        <w:keepNext w:val="0"/>
        <w:keepLines w:val="0"/>
        <w:pageBreakBefore w:val="0"/>
        <w:widowControl/>
        <w:numPr>
          <w:numId w:val="0"/>
        </w:numPr>
        <w:suppressLineNumbers w:val="0"/>
        <w:shd w:val="clear" w:fill="FFFFFF"/>
        <w:kinsoku/>
        <w:wordWrap/>
        <w:overflowPunct/>
        <w:topLinePunct w:val="0"/>
        <w:autoSpaceDE/>
        <w:autoSpaceDN/>
        <w:bidi w:val="0"/>
        <w:adjustRightInd/>
        <w:snapToGrid/>
        <w:spacing w:before="0" w:beforeAutospacing="0" w:after="0" w:afterAutospacing="0" w:line="400" w:lineRule="exact"/>
        <w:ind w:right="0" w:rightChars="0"/>
        <w:textAlignment w:val="auto"/>
        <w:rPr>
          <w:rFonts w:hint="eastAsia" w:ascii="宋体" w:hAnsi="宋体" w:eastAsia="宋体" w:cs="宋体"/>
          <w:i w:val="0"/>
          <w:iCs w:val="0"/>
          <w:caps w:val="0"/>
          <w:color w:val="0F1115"/>
          <w:spacing w:val="0"/>
          <w:sz w:val="21"/>
          <w:szCs w:val="21"/>
          <w:shd w:val="clear" w:fill="FFFFFF"/>
          <w:lang w:val="en-US" w:eastAsia="zh-CN"/>
        </w:rPr>
      </w:pPr>
      <w:r>
        <w:rPr>
          <w:rFonts w:hint="eastAsia" w:ascii="宋体" w:hAnsi="宋体" w:eastAsia="宋体" w:cs="宋体"/>
          <w:i w:val="0"/>
          <w:iCs w:val="0"/>
          <w:caps w:val="0"/>
          <w:color w:val="0F1115"/>
          <w:spacing w:val="0"/>
          <w:sz w:val="21"/>
          <w:szCs w:val="21"/>
          <w:shd w:val="clear" w:fill="FFFFFF"/>
        </w:rPr>
        <w:t>[</w:t>
      </w:r>
      <w:r>
        <w:rPr>
          <w:rFonts w:hint="eastAsia" w:ascii="宋体" w:hAnsi="宋体" w:eastAsia="宋体" w:cs="宋体"/>
          <w:i w:val="0"/>
          <w:iCs w:val="0"/>
          <w:caps w:val="0"/>
          <w:color w:val="0F1115"/>
          <w:spacing w:val="0"/>
          <w:sz w:val="21"/>
          <w:szCs w:val="21"/>
          <w:shd w:val="clear" w:fill="FFFFFF"/>
          <w:lang w:val="en-US" w:eastAsia="zh-CN"/>
        </w:rPr>
        <w:t>5</w:t>
      </w:r>
      <w:r>
        <w:rPr>
          <w:rFonts w:hint="eastAsia" w:ascii="宋体" w:hAnsi="宋体" w:eastAsia="宋体" w:cs="宋体"/>
          <w:i w:val="0"/>
          <w:iCs w:val="0"/>
          <w:caps w:val="0"/>
          <w:color w:val="0F1115"/>
          <w:spacing w:val="0"/>
          <w:sz w:val="21"/>
          <w:szCs w:val="21"/>
          <w:shd w:val="clear" w:fill="FFFFFF"/>
        </w:rPr>
        <w:t>] 高雅坤．内审视角下国企工程结算审计中存在的风险与管控方法[J]．上海企业，2024(8)：128-130．</w:t>
      </w: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4261A6"/>
    <w:rsid w:val="02B86B51"/>
    <w:rsid w:val="03304250"/>
    <w:rsid w:val="0374238F"/>
    <w:rsid w:val="03A5079A"/>
    <w:rsid w:val="03C50E3C"/>
    <w:rsid w:val="03C527A5"/>
    <w:rsid w:val="048748A1"/>
    <w:rsid w:val="04CC1D57"/>
    <w:rsid w:val="04DC643E"/>
    <w:rsid w:val="056106F1"/>
    <w:rsid w:val="056515A7"/>
    <w:rsid w:val="05AE130F"/>
    <w:rsid w:val="05FB3670"/>
    <w:rsid w:val="06112117"/>
    <w:rsid w:val="062077BC"/>
    <w:rsid w:val="065F10D4"/>
    <w:rsid w:val="0730481F"/>
    <w:rsid w:val="076E5F7E"/>
    <w:rsid w:val="07B471FE"/>
    <w:rsid w:val="07C05BA3"/>
    <w:rsid w:val="07E3246F"/>
    <w:rsid w:val="07F7358F"/>
    <w:rsid w:val="08564759"/>
    <w:rsid w:val="08BA0844"/>
    <w:rsid w:val="091A7E4E"/>
    <w:rsid w:val="09931095"/>
    <w:rsid w:val="09F00295"/>
    <w:rsid w:val="0A4B20AA"/>
    <w:rsid w:val="0AEE6ECB"/>
    <w:rsid w:val="0AFF2E86"/>
    <w:rsid w:val="0B365B91"/>
    <w:rsid w:val="0B426F27"/>
    <w:rsid w:val="0B664CB3"/>
    <w:rsid w:val="0C0E77A3"/>
    <w:rsid w:val="0C2B45A8"/>
    <w:rsid w:val="0C580AA0"/>
    <w:rsid w:val="0C8E44C1"/>
    <w:rsid w:val="0CDE6ACB"/>
    <w:rsid w:val="0CE82491"/>
    <w:rsid w:val="0CF56428"/>
    <w:rsid w:val="0D525F6F"/>
    <w:rsid w:val="0D731909"/>
    <w:rsid w:val="0DA11FD2"/>
    <w:rsid w:val="0DDC125D"/>
    <w:rsid w:val="0E470192"/>
    <w:rsid w:val="0E5352AC"/>
    <w:rsid w:val="0E792F4F"/>
    <w:rsid w:val="0EC8358F"/>
    <w:rsid w:val="0F543075"/>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1F56D91"/>
    <w:rsid w:val="123F1DBA"/>
    <w:rsid w:val="12CF1390"/>
    <w:rsid w:val="12DB7D35"/>
    <w:rsid w:val="12E60488"/>
    <w:rsid w:val="13001868"/>
    <w:rsid w:val="132A2A6A"/>
    <w:rsid w:val="13CB5FFB"/>
    <w:rsid w:val="145D3907"/>
    <w:rsid w:val="148A7C64"/>
    <w:rsid w:val="149A3C1F"/>
    <w:rsid w:val="14B4083D"/>
    <w:rsid w:val="156C2EC6"/>
    <w:rsid w:val="15C56B00"/>
    <w:rsid w:val="16132CB9"/>
    <w:rsid w:val="168626AD"/>
    <w:rsid w:val="16B20DAC"/>
    <w:rsid w:val="16B25250"/>
    <w:rsid w:val="16B8213B"/>
    <w:rsid w:val="16D2144F"/>
    <w:rsid w:val="17836BED"/>
    <w:rsid w:val="178C5AA1"/>
    <w:rsid w:val="17AD77C6"/>
    <w:rsid w:val="180933FC"/>
    <w:rsid w:val="185C6006"/>
    <w:rsid w:val="18616F2E"/>
    <w:rsid w:val="18736C61"/>
    <w:rsid w:val="191221DB"/>
    <w:rsid w:val="19235F91"/>
    <w:rsid w:val="19800B64"/>
    <w:rsid w:val="19836A30"/>
    <w:rsid w:val="199944A6"/>
    <w:rsid w:val="19FD4A34"/>
    <w:rsid w:val="1A533F79"/>
    <w:rsid w:val="1A5A1E87"/>
    <w:rsid w:val="1B2F179A"/>
    <w:rsid w:val="1B6F3710"/>
    <w:rsid w:val="1C250273"/>
    <w:rsid w:val="1D01483C"/>
    <w:rsid w:val="1D5D57EA"/>
    <w:rsid w:val="1D85546D"/>
    <w:rsid w:val="1E171E3D"/>
    <w:rsid w:val="1EBA2EF4"/>
    <w:rsid w:val="1EC41FC5"/>
    <w:rsid w:val="1EFE3E02"/>
    <w:rsid w:val="1F78690B"/>
    <w:rsid w:val="1FA40E26"/>
    <w:rsid w:val="20181E55"/>
    <w:rsid w:val="20200F8C"/>
    <w:rsid w:val="203767C6"/>
    <w:rsid w:val="204B20BB"/>
    <w:rsid w:val="204F1D62"/>
    <w:rsid w:val="205C7FDB"/>
    <w:rsid w:val="20CA763A"/>
    <w:rsid w:val="20E05897"/>
    <w:rsid w:val="20EC5803"/>
    <w:rsid w:val="21294361"/>
    <w:rsid w:val="21661758"/>
    <w:rsid w:val="227635D6"/>
    <w:rsid w:val="229E0B15"/>
    <w:rsid w:val="22BA5BB9"/>
    <w:rsid w:val="230D784D"/>
    <w:rsid w:val="23B95F13"/>
    <w:rsid w:val="24174945"/>
    <w:rsid w:val="24212C83"/>
    <w:rsid w:val="244020ED"/>
    <w:rsid w:val="248B32E5"/>
    <w:rsid w:val="24A02D30"/>
    <w:rsid w:val="24B17D3C"/>
    <w:rsid w:val="24EE1B49"/>
    <w:rsid w:val="25867FD4"/>
    <w:rsid w:val="259C77F7"/>
    <w:rsid w:val="262A3A04"/>
    <w:rsid w:val="269C7383"/>
    <w:rsid w:val="26B66697"/>
    <w:rsid w:val="273D46C2"/>
    <w:rsid w:val="27435A51"/>
    <w:rsid w:val="27466F3A"/>
    <w:rsid w:val="276F4A98"/>
    <w:rsid w:val="283B6E9A"/>
    <w:rsid w:val="28414686"/>
    <w:rsid w:val="285717B4"/>
    <w:rsid w:val="287C746C"/>
    <w:rsid w:val="288D3427"/>
    <w:rsid w:val="28C3509B"/>
    <w:rsid w:val="28D44D60"/>
    <w:rsid w:val="29F55569"/>
    <w:rsid w:val="29F714A0"/>
    <w:rsid w:val="2A254974"/>
    <w:rsid w:val="2A6D1762"/>
    <w:rsid w:val="2A9C2048"/>
    <w:rsid w:val="2AF37C49"/>
    <w:rsid w:val="2C1A3224"/>
    <w:rsid w:val="2C5F332D"/>
    <w:rsid w:val="2CDC497D"/>
    <w:rsid w:val="2DA03BFD"/>
    <w:rsid w:val="2DA336ED"/>
    <w:rsid w:val="2DD45655"/>
    <w:rsid w:val="2E516CA5"/>
    <w:rsid w:val="2E7221A8"/>
    <w:rsid w:val="2EC67693"/>
    <w:rsid w:val="2EE30245"/>
    <w:rsid w:val="2F056713"/>
    <w:rsid w:val="2F087CAC"/>
    <w:rsid w:val="2F0E4B96"/>
    <w:rsid w:val="2F1A353B"/>
    <w:rsid w:val="2F1F6DA3"/>
    <w:rsid w:val="2F397E65"/>
    <w:rsid w:val="2F620882"/>
    <w:rsid w:val="2F633134"/>
    <w:rsid w:val="2F882B9B"/>
    <w:rsid w:val="2FA06136"/>
    <w:rsid w:val="2FA86D99"/>
    <w:rsid w:val="312F3756"/>
    <w:rsid w:val="31496359"/>
    <w:rsid w:val="315E0057"/>
    <w:rsid w:val="318D4498"/>
    <w:rsid w:val="3199108F"/>
    <w:rsid w:val="319F16AA"/>
    <w:rsid w:val="31CC4FC0"/>
    <w:rsid w:val="31F167D5"/>
    <w:rsid w:val="3216448E"/>
    <w:rsid w:val="321D581C"/>
    <w:rsid w:val="323963CE"/>
    <w:rsid w:val="3273368E"/>
    <w:rsid w:val="32963820"/>
    <w:rsid w:val="32E20814"/>
    <w:rsid w:val="337771AE"/>
    <w:rsid w:val="33F94067"/>
    <w:rsid w:val="34480B4A"/>
    <w:rsid w:val="34821AD6"/>
    <w:rsid w:val="35A52FD0"/>
    <w:rsid w:val="35D501BC"/>
    <w:rsid w:val="36407D2B"/>
    <w:rsid w:val="36BE3BE8"/>
    <w:rsid w:val="36DA26A7"/>
    <w:rsid w:val="36DB5CA6"/>
    <w:rsid w:val="37227431"/>
    <w:rsid w:val="3756532C"/>
    <w:rsid w:val="37B01725"/>
    <w:rsid w:val="38061044"/>
    <w:rsid w:val="381C3783"/>
    <w:rsid w:val="389846CF"/>
    <w:rsid w:val="389E342F"/>
    <w:rsid w:val="38C5276A"/>
    <w:rsid w:val="39783C80"/>
    <w:rsid w:val="399551B1"/>
    <w:rsid w:val="39D619B3"/>
    <w:rsid w:val="3A445910"/>
    <w:rsid w:val="3A557B1D"/>
    <w:rsid w:val="3A726921"/>
    <w:rsid w:val="3A765FE2"/>
    <w:rsid w:val="3B653D90"/>
    <w:rsid w:val="3B7D732B"/>
    <w:rsid w:val="3BAE3989"/>
    <w:rsid w:val="3BCC3E0F"/>
    <w:rsid w:val="3BD66A3C"/>
    <w:rsid w:val="3C221C81"/>
    <w:rsid w:val="3C424796"/>
    <w:rsid w:val="3CBC20D5"/>
    <w:rsid w:val="3CC044ED"/>
    <w:rsid w:val="3CC25530"/>
    <w:rsid w:val="3CC52D38"/>
    <w:rsid w:val="3CD13DD3"/>
    <w:rsid w:val="3D0715A3"/>
    <w:rsid w:val="3DA212CB"/>
    <w:rsid w:val="3DBB238D"/>
    <w:rsid w:val="3DBD6105"/>
    <w:rsid w:val="3E4405D4"/>
    <w:rsid w:val="3E9C5D1B"/>
    <w:rsid w:val="3F375A43"/>
    <w:rsid w:val="3F4E170B"/>
    <w:rsid w:val="3FA4757D"/>
    <w:rsid w:val="3FB6105E"/>
    <w:rsid w:val="3FE444E6"/>
    <w:rsid w:val="40583EC3"/>
    <w:rsid w:val="40642868"/>
    <w:rsid w:val="407A652F"/>
    <w:rsid w:val="40923879"/>
    <w:rsid w:val="410F592B"/>
    <w:rsid w:val="411424E0"/>
    <w:rsid w:val="41641264"/>
    <w:rsid w:val="41700BEB"/>
    <w:rsid w:val="41E225DE"/>
    <w:rsid w:val="426C3C56"/>
    <w:rsid w:val="42786A9F"/>
    <w:rsid w:val="42976F25"/>
    <w:rsid w:val="42BC1743"/>
    <w:rsid w:val="42EE53FF"/>
    <w:rsid w:val="43C43ED5"/>
    <w:rsid w:val="43E4263E"/>
    <w:rsid w:val="45554E75"/>
    <w:rsid w:val="459D60E3"/>
    <w:rsid w:val="45B70627"/>
    <w:rsid w:val="45CA5863"/>
    <w:rsid w:val="45E5444B"/>
    <w:rsid w:val="46362EF9"/>
    <w:rsid w:val="465515D1"/>
    <w:rsid w:val="467D0B27"/>
    <w:rsid w:val="468E4AE3"/>
    <w:rsid w:val="46F54E2D"/>
    <w:rsid w:val="46FD57C4"/>
    <w:rsid w:val="47925F0D"/>
    <w:rsid w:val="47A143DA"/>
    <w:rsid w:val="47E81E53"/>
    <w:rsid w:val="48A028AB"/>
    <w:rsid w:val="48AF3319"/>
    <w:rsid w:val="48B545A9"/>
    <w:rsid w:val="495C0DBE"/>
    <w:rsid w:val="49CB1BAA"/>
    <w:rsid w:val="49FE1F7F"/>
    <w:rsid w:val="4A070E34"/>
    <w:rsid w:val="4A4F4589"/>
    <w:rsid w:val="4AB60164"/>
    <w:rsid w:val="4B8E06C7"/>
    <w:rsid w:val="4C934BC0"/>
    <w:rsid w:val="4CFB09F8"/>
    <w:rsid w:val="4D057181"/>
    <w:rsid w:val="4D447CA9"/>
    <w:rsid w:val="4D5123C6"/>
    <w:rsid w:val="4D6B792C"/>
    <w:rsid w:val="4DA16EA9"/>
    <w:rsid w:val="4DDA060D"/>
    <w:rsid w:val="4DED1912"/>
    <w:rsid w:val="4E257ADB"/>
    <w:rsid w:val="4E353A96"/>
    <w:rsid w:val="4EAD187E"/>
    <w:rsid w:val="4EB175C0"/>
    <w:rsid w:val="4EB62E28"/>
    <w:rsid w:val="4EC07803"/>
    <w:rsid w:val="4F0911AA"/>
    <w:rsid w:val="4F4421E2"/>
    <w:rsid w:val="4F78309C"/>
    <w:rsid w:val="4F7E394E"/>
    <w:rsid w:val="4F7F3E11"/>
    <w:rsid w:val="50A20D13"/>
    <w:rsid w:val="50AD3DB7"/>
    <w:rsid w:val="50AF7B2F"/>
    <w:rsid w:val="50B02F71"/>
    <w:rsid w:val="50C26CF2"/>
    <w:rsid w:val="50EC0D83"/>
    <w:rsid w:val="50FE0CB7"/>
    <w:rsid w:val="512D188F"/>
    <w:rsid w:val="51363DAD"/>
    <w:rsid w:val="513B5867"/>
    <w:rsid w:val="5144673C"/>
    <w:rsid w:val="519D207E"/>
    <w:rsid w:val="51EC090F"/>
    <w:rsid w:val="51FB00AC"/>
    <w:rsid w:val="52E57838"/>
    <w:rsid w:val="542B3971"/>
    <w:rsid w:val="54335EE7"/>
    <w:rsid w:val="5463310B"/>
    <w:rsid w:val="54AF45A2"/>
    <w:rsid w:val="54C142D5"/>
    <w:rsid w:val="55254864"/>
    <w:rsid w:val="553C395C"/>
    <w:rsid w:val="55BA1450"/>
    <w:rsid w:val="56037691"/>
    <w:rsid w:val="56083D8A"/>
    <w:rsid w:val="56135E24"/>
    <w:rsid w:val="564017AC"/>
    <w:rsid w:val="567B0721"/>
    <w:rsid w:val="56F97D56"/>
    <w:rsid w:val="57081D47"/>
    <w:rsid w:val="57E97DCB"/>
    <w:rsid w:val="57EF1159"/>
    <w:rsid w:val="57F7381E"/>
    <w:rsid w:val="583059FA"/>
    <w:rsid w:val="5847689F"/>
    <w:rsid w:val="58532B2C"/>
    <w:rsid w:val="58984204"/>
    <w:rsid w:val="58BB7E23"/>
    <w:rsid w:val="58C47EF0"/>
    <w:rsid w:val="59285798"/>
    <w:rsid w:val="596F60AE"/>
    <w:rsid w:val="598C6FAB"/>
    <w:rsid w:val="5A2A0227"/>
    <w:rsid w:val="5A7B0A82"/>
    <w:rsid w:val="5B0311A3"/>
    <w:rsid w:val="5BB5218E"/>
    <w:rsid w:val="5BE2700B"/>
    <w:rsid w:val="5BFE5E0F"/>
    <w:rsid w:val="5CAA564F"/>
    <w:rsid w:val="5CF07506"/>
    <w:rsid w:val="5DD46E27"/>
    <w:rsid w:val="5E361890"/>
    <w:rsid w:val="5EDA046D"/>
    <w:rsid w:val="5EE237C6"/>
    <w:rsid w:val="5EFF7ED4"/>
    <w:rsid w:val="5F2D2C93"/>
    <w:rsid w:val="5F7679C4"/>
    <w:rsid w:val="5F7F2DC3"/>
    <w:rsid w:val="5FBF1411"/>
    <w:rsid w:val="5FDC6467"/>
    <w:rsid w:val="601A09BC"/>
    <w:rsid w:val="60395667"/>
    <w:rsid w:val="60AA0313"/>
    <w:rsid w:val="610D33E8"/>
    <w:rsid w:val="613025C6"/>
    <w:rsid w:val="61442516"/>
    <w:rsid w:val="615E35D8"/>
    <w:rsid w:val="619568CD"/>
    <w:rsid w:val="61E67129"/>
    <w:rsid w:val="621A5025"/>
    <w:rsid w:val="62C03E1E"/>
    <w:rsid w:val="62CC27C3"/>
    <w:rsid w:val="635A7DCF"/>
    <w:rsid w:val="637D586B"/>
    <w:rsid w:val="63807109"/>
    <w:rsid w:val="63872EA4"/>
    <w:rsid w:val="63F26259"/>
    <w:rsid w:val="63FE7AB9"/>
    <w:rsid w:val="64061D04"/>
    <w:rsid w:val="640A365A"/>
    <w:rsid w:val="640E2967"/>
    <w:rsid w:val="64754794"/>
    <w:rsid w:val="64B452BD"/>
    <w:rsid w:val="64FD7B2B"/>
    <w:rsid w:val="657B402C"/>
    <w:rsid w:val="65A17F37"/>
    <w:rsid w:val="65C07C91"/>
    <w:rsid w:val="65CB0B10"/>
    <w:rsid w:val="66CA526B"/>
    <w:rsid w:val="670A5C00"/>
    <w:rsid w:val="67C12792"/>
    <w:rsid w:val="67DD0FCE"/>
    <w:rsid w:val="687436E1"/>
    <w:rsid w:val="687A681D"/>
    <w:rsid w:val="68D73C6F"/>
    <w:rsid w:val="690B56C7"/>
    <w:rsid w:val="696A4D66"/>
    <w:rsid w:val="69867965"/>
    <w:rsid w:val="69931944"/>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714693"/>
    <w:rsid w:val="6D921E65"/>
    <w:rsid w:val="6DF606F4"/>
    <w:rsid w:val="6E267136"/>
    <w:rsid w:val="6E2D67FA"/>
    <w:rsid w:val="6E5A0C83"/>
    <w:rsid w:val="6E6E0BD2"/>
    <w:rsid w:val="6E91041D"/>
    <w:rsid w:val="6ECB392F"/>
    <w:rsid w:val="6F307C36"/>
    <w:rsid w:val="6F562B93"/>
    <w:rsid w:val="6FA348AB"/>
    <w:rsid w:val="6FBB39A3"/>
    <w:rsid w:val="6FD23894"/>
    <w:rsid w:val="6FE23626"/>
    <w:rsid w:val="70383246"/>
    <w:rsid w:val="703D260A"/>
    <w:rsid w:val="7060279C"/>
    <w:rsid w:val="70626FA0"/>
    <w:rsid w:val="70756EB2"/>
    <w:rsid w:val="71CD79BE"/>
    <w:rsid w:val="7258197D"/>
    <w:rsid w:val="72C60FDD"/>
    <w:rsid w:val="72EB27F1"/>
    <w:rsid w:val="730241B0"/>
    <w:rsid w:val="731A1328"/>
    <w:rsid w:val="734D01B2"/>
    <w:rsid w:val="73587D13"/>
    <w:rsid w:val="743B50B2"/>
    <w:rsid w:val="74BF5CE3"/>
    <w:rsid w:val="750977D2"/>
    <w:rsid w:val="75263FB5"/>
    <w:rsid w:val="75693EA1"/>
    <w:rsid w:val="75AD3D8E"/>
    <w:rsid w:val="75B25848"/>
    <w:rsid w:val="766528BB"/>
    <w:rsid w:val="768F268A"/>
    <w:rsid w:val="76C92E49"/>
    <w:rsid w:val="77617526"/>
    <w:rsid w:val="777A05E8"/>
    <w:rsid w:val="781A1483"/>
    <w:rsid w:val="781F0851"/>
    <w:rsid w:val="7820118F"/>
    <w:rsid w:val="782A7918"/>
    <w:rsid w:val="78B00E0E"/>
    <w:rsid w:val="78C94F9D"/>
    <w:rsid w:val="78FD502C"/>
    <w:rsid w:val="796450AB"/>
    <w:rsid w:val="79EB30D7"/>
    <w:rsid w:val="7A293F0A"/>
    <w:rsid w:val="7A5E24AA"/>
    <w:rsid w:val="7ACB4CB6"/>
    <w:rsid w:val="7B02692A"/>
    <w:rsid w:val="7B486307"/>
    <w:rsid w:val="7B5B603A"/>
    <w:rsid w:val="7B5C744A"/>
    <w:rsid w:val="7BA55C3B"/>
    <w:rsid w:val="7BD858DD"/>
    <w:rsid w:val="7BE9361F"/>
    <w:rsid w:val="7C232FFC"/>
    <w:rsid w:val="7C6B49A3"/>
    <w:rsid w:val="7C765821"/>
    <w:rsid w:val="7C856E44"/>
    <w:rsid w:val="7CD24A22"/>
    <w:rsid w:val="7D032E2D"/>
    <w:rsid w:val="7D366D5F"/>
    <w:rsid w:val="7DD722F0"/>
    <w:rsid w:val="7E074257"/>
    <w:rsid w:val="7E32210A"/>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6535</Words>
  <Characters>7718</Characters>
  <Lines>35</Lines>
  <Paragraphs>9</Paragraphs>
  <TotalTime>32</TotalTime>
  <ScaleCrop>false</ScaleCrop>
  <LinksUpToDate>false</LinksUpToDate>
  <CharactersWithSpaces>7937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2026-05-22T08:03:51Z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eyJoZGlkIjoiMDc5ZmMwZTNkY2FjMjU1Y2Y4ZTlkNzhjNmI4MDEyNjciLCJ1c2VySWQiOiI0NDQ3MDkxMjgifQ==</vt:lpwstr>
  </property>
</Properties>
</file>