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1E85999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分解工业石膏和裂解废硫酸窑气湿法制硫酸工业试验</w:t>
      </w:r>
    </w:p>
    <w:p w14:paraId="2520C54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鲍树涛</w:t>
      </w:r>
      <w:bookmarkStart w:id="0" w:name="_Hlk203679520"/>
      <w:r>
        <w:rPr>
          <w:rFonts w:hint="eastAsia" w:ascii="楷体" w:hAnsi="楷体" w:eastAsia="楷体" w:cs="楷体"/>
          <w:color w:val="auto"/>
          <w:sz w:val="21"/>
          <w:szCs w:val="21"/>
          <w:vertAlign w:val="superscript"/>
          <w:lang w:val="en-US" w:eastAsia="zh-CN"/>
        </w:rPr>
        <w:t>1</w:t>
      </w:r>
      <w:bookmarkEnd w:id="0"/>
      <w:r>
        <w:rPr>
          <w:rFonts w:hint="eastAsia" w:ascii="楷体" w:hAnsi="楷体" w:eastAsia="楷体" w:cs="楷体"/>
          <w:color w:val="auto"/>
          <w:sz w:val="21"/>
          <w:szCs w:val="21"/>
          <w:vertAlign w:val="superscript"/>
          <w:lang w:val="en-US" w:eastAsia="zh-CN"/>
        </w:rPr>
        <w:t xml:space="preserve">  </w:t>
      </w:r>
      <w:r>
        <w:rPr>
          <w:rFonts w:hint="eastAsia" w:ascii="楷体" w:hAnsi="楷体" w:eastAsia="楷体" w:cs="楷体"/>
          <w:color w:val="auto"/>
          <w:sz w:val="21"/>
          <w:szCs w:val="21"/>
          <w:lang w:val="en-US" w:eastAsia="zh-CN"/>
        </w:rPr>
        <w:t>高强</w:t>
      </w:r>
      <w:r>
        <w:rPr>
          <w:rFonts w:hint="eastAsia" w:ascii="楷体" w:hAnsi="楷体" w:eastAsia="楷体" w:cs="楷体"/>
          <w:color w:val="auto"/>
          <w:sz w:val="21"/>
          <w:szCs w:val="21"/>
          <w:vertAlign w:val="superscript"/>
          <w:lang w:val="en-US" w:eastAsia="zh-CN"/>
        </w:rPr>
        <w:t>2</w:t>
      </w:r>
    </w:p>
    <w:p w14:paraId="10415CA8">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山东鲁北企业集团总公司 </w:t>
      </w:r>
      <w:r>
        <w:rPr>
          <w:rFonts w:hint="eastAsia" w:ascii="楷体" w:hAnsi="楷体" w:eastAsia="楷体" w:cs="楷体"/>
          <w:color w:val="auto"/>
          <w:sz w:val="21"/>
          <w:szCs w:val="21"/>
          <w:vertAlign w:val="superscript"/>
          <w:lang w:val="en-US" w:eastAsia="zh-CN"/>
        </w:rPr>
        <w:t>2</w:t>
      </w:r>
      <w:r>
        <w:rPr>
          <w:rFonts w:hint="eastAsia" w:ascii="楷体" w:hAnsi="楷体" w:eastAsia="楷体" w:cs="楷体"/>
          <w:color w:val="auto"/>
          <w:sz w:val="21"/>
          <w:szCs w:val="21"/>
          <w:lang w:val="en-US" w:eastAsia="zh-CN"/>
        </w:rPr>
        <w:t>山东鲁北化工股份有限公司</w:t>
      </w:r>
    </w:p>
    <w:p w14:paraId="19864E48">
      <w:pPr>
        <w:keepNext w:val="0"/>
        <w:keepLines w:val="0"/>
        <w:pageBreakBefore w:val="0"/>
        <w:widowControl w:val="0"/>
        <w:kinsoku/>
        <w:wordWrap/>
        <w:overflowPunct/>
        <w:topLinePunct w:val="0"/>
        <w:autoSpaceDE/>
        <w:autoSpaceDN/>
        <w:bidi w:val="0"/>
        <w:adjustRightInd w:val="0"/>
        <w:snapToGrid w:val="0"/>
        <w:spacing w:line="400" w:lineRule="exact"/>
        <w:ind w:firstLine="413" w:firstLineChars="196"/>
        <w:textAlignment w:val="auto"/>
        <w:rPr>
          <w:rFonts w:hint="eastAsia" w:ascii="宋体" w:hAnsi="宋体" w:eastAsia="宋体" w:cs="宋体"/>
          <w:b/>
          <w:bCs/>
          <w:sz w:val="21"/>
          <w:szCs w:val="21"/>
        </w:rPr>
      </w:pPr>
    </w:p>
    <w:p w14:paraId="55188D99">
      <w:pPr>
        <w:keepNext w:val="0"/>
        <w:keepLines w:val="0"/>
        <w:pageBreakBefore w:val="0"/>
        <w:widowControl w:val="0"/>
        <w:kinsoku/>
        <w:wordWrap/>
        <w:overflowPunct/>
        <w:topLinePunct w:val="0"/>
        <w:autoSpaceDE/>
        <w:autoSpaceDN/>
        <w:bidi w:val="0"/>
        <w:adjustRightInd w:val="0"/>
        <w:snapToGrid w:val="0"/>
        <w:spacing w:line="400" w:lineRule="exact"/>
        <w:ind w:firstLine="413" w:firstLineChars="196"/>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bCs/>
          <w:sz w:val="21"/>
          <w:szCs w:val="21"/>
        </w:rPr>
        <w:t>摘要：</w:t>
      </w:r>
      <w:r>
        <w:rPr>
          <w:rFonts w:hint="eastAsia" w:ascii="宋体" w:hAnsi="宋体" w:eastAsia="宋体" w:cs="宋体"/>
          <w:color w:val="000000" w:themeColor="text1"/>
          <w:sz w:val="21"/>
          <w:szCs w:val="21"/>
          <w14:textFill>
            <w14:solidFill>
              <w14:schemeClr w14:val="tx1"/>
            </w14:solidFill>
          </w14:textFill>
        </w:rPr>
        <w:t>介绍山东鲁北企业集团总公司石膏制硫酸技术与发展历程，</w:t>
      </w:r>
      <w:r>
        <w:rPr>
          <w:rFonts w:hint="eastAsia" w:ascii="宋体" w:hAnsi="宋体" w:eastAsia="宋体" w:cs="宋体"/>
          <w:sz w:val="21"/>
          <w:szCs w:val="21"/>
        </w:rPr>
        <w:t>论述依托现有分解工业石膏和裂解废硫酸产生的低浓度SO</w:t>
      </w:r>
      <w:r>
        <w:rPr>
          <w:rFonts w:hint="eastAsia" w:ascii="宋体" w:hAnsi="宋体" w:eastAsia="宋体" w:cs="宋体"/>
          <w:sz w:val="21"/>
          <w:szCs w:val="21"/>
          <w:vertAlign w:val="subscript"/>
        </w:rPr>
        <w:t>2</w:t>
      </w:r>
      <w:r>
        <w:rPr>
          <w:rFonts w:hint="eastAsia" w:ascii="宋体" w:hAnsi="宋体" w:eastAsia="宋体" w:cs="宋体"/>
          <w:sz w:val="21"/>
          <w:szCs w:val="21"/>
        </w:rPr>
        <w:t>窑气，开发建设20kt/a湿法制硫酸工业试验装置的背景与必要性，重点对窑气湿法制硫酸“一转一冷”新工艺装置及其运行指标、技术特点、创新点、经济效益进行系统总结梳理，建成的试验项目主要指标：</w:t>
      </w:r>
      <w:r>
        <w:rPr>
          <w:rFonts w:hint="eastAsia" w:ascii="宋体" w:hAnsi="宋体" w:eastAsia="宋体" w:cs="宋体"/>
          <w:color w:val="231F20"/>
          <w:sz w:val="21"/>
          <w:szCs w:val="21"/>
        </w:rPr>
        <w:t>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单次转化率≥99.3%；吨酸副产蒸汽≥0.288t和200℃热空气8000m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/h；尾气实现超低排放，其中ρ(NOx)≤50mg/m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 xml:space="preserve"> 、ρ(SO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)≤35 mg/m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 xml:space="preserve"> 、ρ(颗粒物)≤10 mg/m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。该流程投资省，成本低，扣除成本后每年毛利润为2718.80万元，与当前硫黄制硫酸对比经济效益显著，为工业石膏和废硫酸资源化、高值化利用提供了创新技术路径。</w:t>
      </w:r>
    </w:p>
    <w:p w14:paraId="12E5AF4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关键词：</w:t>
      </w:r>
      <w:r>
        <w:rPr>
          <w:rFonts w:hint="eastAsia" w:ascii="宋体" w:hAnsi="宋体" w:eastAsia="宋体" w:cs="宋体"/>
          <w:sz w:val="21"/>
          <w:szCs w:val="21"/>
        </w:rPr>
        <w:t xml:space="preserve">工业石膏 废硫酸 窑气湿法制酸 节能降耗 </w:t>
      </w:r>
      <w:bookmarkStart w:id="8" w:name="_GoBack"/>
      <w:bookmarkEnd w:id="8"/>
      <w:r>
        <w:rPr>
          <w:rFonts w:hint="eastAsia" w:ascii="宋体" w:hAnsi="宋体" w:eastAsia="宋体" w:cs="宋体"/>
          <w:sz w:val="21"/>
          <w:szCs w:val="21"/>
        </w:rPr>
        <w:t xml:space="preserve">资源化利用  </w:t>
      </w:r>
    </w:p>
    <w:p w14:paraId="315250A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sz w:val="21"/>
          <w:szCs w:val="21"/>
        </w:rPr>
      </w:pPr>
    </w:p>
    <w:p w14:paraId="7DDA079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b/>
          <w:sz w:val="21"/>
          <w:szCs w:val="21"/>
        </w:rPr>
      </w:pPr>
      <w:r>
        <w:rPr>
          <w:rFonts w:hint="eastAsia" w:ascii="宋体" w:hAnsi="宋体" w:eastAsia="宋体" w:cs="宋体"/>
          <w:b/>
          <w:sz w:val="21"/>
          <w:szCs w:val="21"/>
        </w:rPr>
        <w:t>0 引言</w:t>
      </w:r>
    </w:p>
    <w:p w14:paraId="73A1A56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工业石膏是工业生产中排放的含CaSO</w:t>
      </w:r>
      <w:r>
        <w:rPr>
          <w:rFonts w:hint="eastAsia" w:ascii="宋体" w:hAnsi="宋体" w:eastAsia="宋体" w:cs="宋体"/>
          <w:color w:val="000000" w:themeColor="text1"/>
          <w:sz w:val="21"/>
          <w:szCs w:val="21"/>
          <w:vertAlign w:val="subscript"/>
          <w14:textFill>
            <w14:solidFill>
              <w14:schemeClr w14:val="tx1"/>
            </w14:solidFill>
          </w14:textFill>
        </w:rPr>
        <w:t>4</w:t>
      </w:r>
      <w:r>
        <w:rPr>
          <w:rFonts w:hint="eastAsia" w:ascii="宋体" w:hAnsi="宋体" w:eastAsia="宋体" w:cs="宋体"/>
          <w:color w:val="000000" w:themeColor="text1"/>
          <w:sz w:val="21"/>
          <w:szCs w:val="21"/>
          <w14:textFill>
            <w14:solidFill>
              <w14:schemeClr w14:val="tx1"/>
            </w14:solidFill>
          </w14:textFill>
        </w:rPr>
        <w:t>的副产品或废渣，主要包括磷石膏、脱硫石膏、钛石膏、氟石膏等。硫酸作为一种用途十分广泛的工业化学用品，使用量巨大，同时也产生了越来越多的废硫酸，主要包括烷基化废硫酸、钛白废硫酸及酸洗废硫酸等。工业石膏和废硫酸均属大宗含硫类废弃物，污染环境，浪费资源，对人畜危害极大，对其资源化利用和无害化处置迫在眉睫。</w:t>
      </w:r>
    </w:p>
    <w:p w14:paraId="426E9B5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我国硫酸生产高度依赖硫黄，而硫资源又严重依赖进口。自2025年来，</w:t>
      </w:r>
      <w:r>
        <w:rPr>
          <w:rFonts w:hint="eastAsia" w:ascii="宋体" w:hAnsi="宋体" w:eastAsia="宋体" w:cs="宋体"/>
          <w:color w:val="000000"/>
          <w:sz w:val="21"/>
          <w:szCs w:val="21"/>
        </w:rPr>
        <w:t>受地缘政治影响，硫黄价高量紧冲击全球硫酸及下游市场，一方面是硫磺制酸商巨亏而停产或减产，另一方面引发硫酸价格暴涨，严重影响到下游磷肥等产业，最终会影响国家粮食安全等系列问题。因此，</w:t>
      </w:r>
      <w:r>
        <w:rPr>
          <w:rFonts w:hint="eastAsia" w:ascii="宋体" w:hAnsi="宋体" w:eastAsia="宋体" w:cs="宋体"/>
          <w:color w:val="000000" w:themeColor="text1"/>
          <w:sz w:val="21"/>
          <w:szCs w:val="21"/>
          <w14:textFill>
            <w14:solidFill>
              <w14:schemeClr w14:val="tx1"/>
            </w14:solidFill>
          </w14:textFill>
        </w:rPr>
        <w:t>开拓新的硫资源来源，利用含硫废弃物制硫酸，迎来投资发展黄金机遇期。</w:t>
      </w:r>
    </w:p>
    <w:p w14:paraId="38E433D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山东鲁北企业集团总公司（以下简称“鲁北集团”）自1977年建厂以来，一直从事石膏制硫酸副产水泥技术的研究和开发，20世纪80年代就实现技术突破，1997年5月开工建设“年产15万t磷铵、副产磷石膏制20万t硫酸副产30万t水泥”装置（简称“15、20、30”工程），1999年相继建成投产，经过技术创新产能翻了一番，达到“年产30万t磷铵、副产磷石膏制40万t硫酸副产60万t水泥”规模（简称“30、40、60”工程）,荣获国家科技进步二等奖。目前，鲁北集团依托该石膏制酸装置，研发创新了协同处理多种类工业石膏、废硫酸等含硫类废弃物新技术，实现了长周期稳定运行，荣获中国专利奖、山东省科技进步奖等。</w:t>
      </w:r>
    </w:p>
    <w:p w14:paraId="482D598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231F20"/>
          <w:sz w:val="21"/>
          <w:szCs w:val="21"/>
        </w:rPr>
        <w:t>石膏制硫酸副产水泥装置协同处理废硫酸，是解决我国硫酸短缺，促进硫资源化循环利用的绿色综合利用方式，生产技术成熟，但目前还存在工艺流程长、设备多、能耗大、投资高等问题，特别是硫酸工艺有待优化，系统余热和反应热回收等有待提升。</w:t>
      </w:r>
    </w:p>
    <w:p w14:paraId="55875E2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1 </w:t>
      </w:r>
      <w:r>
        <w:rPr>
          <w:rFonts w:hint="eastAsia" w:ascii="宋体" w:hAnsi="宋体" w:eastAsia="宋体" w:cs="宋体"/>
          <w:b/>
          <w:color w:val="231F20"/>
          <w:sz w:val="21"/>
          <w:szCs w:val="21"/>
        </w:rPr>
        <w:t>分解工业石膏和裂解废硫酸窑气湿法制硫酸工业试验项目实施的背景与必要性</w:t>
      </w:r>
    </w:p>
    <w:p w14:paraId="701BF86C">
      <w:pPr>
        <w:keepNext w:val="0"/>
        <w:keepLines w:val="0"/>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sz w:val="21"/>
          <w:szCs w:val="21"/>
        </w:rPr>
      </w:pPr>
      <w:r>
        <w:rPr>
          <w:rFonts w:hint="eastAsia" w:ascii="宋体" w:hAnsi="宋体" w:eastAsia="宋体" w:cs="宋体"/>
          <w:color w:val="231F20"/>
          <w:sz w:val="21"/>
          <w:szCs w:val="21"/>
        </w:rPr>
        <w:t>鲁北集团现有年产40万t工业石膏制硫酸协同处理废硫酸装置，设计采用二水或半水烘干石膏、单级粉磨、生料混化、悬浮预热器及窑分解煅烧、窑尾静电除尘、稀酸洗涤净化、两转两吸工艺，经原料均化、烘干脱水、生料制备、熟料烧成、窑气制酸和水泥磨制6个过程，制得硫酸和水泥产品。化学分解石膏和废硫酸裂解同在回转窑中进行，受原料和工况条件限制，窑气中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浓度较传统的硫黄或硫铁矿制硫酸浓度低且波动幅度大，要保证硫酸系统热平衡，一般要求窑气 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体积分数高于6%，这对配制石膏生料和运行操作都有极高要求。目前该装置已平稳运行27年，受当时技术、装备、材料等条件限制，较低SO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浓度的窑气经净化和两次转化为SO</w:t>
      </w:r>
      <w:r>
        <w:rPr>
          <w:rFonts w:hint="eastAsia" w:ascii="宋体" w:hAnsi="宋体" w:eastAsia="宋体" w:cs="宋体"/>
          <w:color w:val="231F20"/>
          <w:sz w:val="21"/>
          <w:szCs w:val="21"/>
          <w:vertAlign w:val="subscript"/>
        </w:rPr>
        <w:t>3</w:t>
      </w:r>
      <w:r>
        <w:rPr>
          <w:rFonts w:hint="eastAsia" w:ascii="宋体" w:hAnsi="宋体" w:eastAsia="宋体" w:cs="宋体"/>
          <w:color w:val="231F20"/>
          <w:sz w:val="21"/>
          <w:szCs w:val="21"/>
        </w:rPr>
        <w:t>过程中，反应热难以在系统中实现自热平衡，不能像硫黄制硫酸一样能平稳回收蒸汽，必要时还需要采用电加热器进行辅助加热； SO</w:t>
      </w:r>
      <w:r>
        <w:rPr>
          <w:rFonts w:hint="eastAsia" w:ascii="宋体" w:hAnsi="宋体" w:eastAsia="宋体" w:cs="宋体"/>
          <w:color w:val="231F20"/>
          <w:sz w:val="21"/>
          <w:szCs w:val="21"/>
          <w:vertAlign w:val="subscript"/>
        </w:rPr>
        <w:t>3</w:t>
      </w:r>
      <w:r>
        <w:rPr>
          <w:rFonts w:hint="eastAsia" w:ascii="宋体" w:hAnsi="宋体" w:eastAsia="宋体" w:cs="宋体"/>
          <w:color w:val="231F20"/>
          <w:sz w:val="21"/>
          <w:szCs w:val="21"/>
        </w:rPr>
        <w:t>生成硫酸的吸收反应热需要通过换热器与冷却水换热后，经冷却塔冷却排空，造成热能损失；需要设置干燥塔对工艺气的水分干燥后，再进行氧化转化反应。以上均是造成现有“两转两吸”干法制酸工艺余热和反应热没有回收的原因，能耗较大、效益不理想。</w:t>
      </w:r>
    </w:p>
    <w:p w14:paraId="20E8D850">
      <w:pPr>
        <w:keepNext w:val="0"/>
        <w:keepLines w:val="0"/>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按照最新政策，鲁北化工产业园的大气污染物排放由一般控制区调整为重点控制区，需执行《区域性大气污染物综合排放标准》（DB 37/2376—2019）重点控制区的排放要求，需对现有石膏制硫酸协同处理废硫酸装置的氮氧化物处理设施进行提级改造。受工艺工况条件限制，目前成熟的选择性催化还原（SCR）、选择性非催化还原（SNCR）烟气脱硝工艺均不适合于现在的含硫废弃物干法制硫酸副产水泥装置。若采用湿法制硫酸，原料气来自现有硫酸装置的净化工序，其中导致脱硝催化剂中毒的污染物SO</w:t>
      </w:r>
      <w:r>
        <w:rPr>
          <w:rFonts w:hint="eastAsia" w:ascii="宋体" w:hAnsi="宋体" w:eastAsia="宋体" w:cs="宋体"/>
          <w:color w:val="231F20"/>
          <w:sz w:val="21"/>
          <w:szCs w:val="21"/>
          <w:vertAlign w:val="subscript"/>
        </w:rPr>
        <w:t>3</w:t>
      </w:r>
      <w:r>
        <w:rPr>
          <w:rFonts w:hint="eastAsia" w:ascii="宋体" w:hAnsi="宋体" w:eastAsia="宋体" w:cs="宋体"/>
          <w:color w:val="231F20"/>
          <w:sz w:val="21"/>
          <w:szCs w:val="21"/>
        </w:rPr>
        <w:t>和F被除去，通过湿法制硫酸自身反应热将原料气升温至390℃，符合SCR反应温度在200～450℃的要求。因此采用湿法制硫酸工艺可解决现有装置脱硝超低排放难题。</w:t>
      </w:r>
    </w:p>
    <w:p w14:paraId="30E928BC">
      <w:pPr>
        <w:keepNext w:val="0"/>
        <w:keepLines w:val="0"/>
        <w:pageBreakBefore w:val="0"/>
        <w:widowControl w:val="0"/>
        <w:kinsoku/>
        <w:wordWrap/>
        <w:overflowPunct/>
        <w:topLinePunct w:val="0"/>
        <w:autoSpaceDE/>
        <w:autoSpaceDN/>
        <w:bidi w:val="0"/>
        <w:adjustRightInd w:val="0"/>
        <w:snapToGrid w:val="0"/>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为进一步对现有石膏制硫酸装置进行降低能耗和窑气脱硝超低排放改造，2022年8月鲁北集团与科洋环境工程（上海）有限公司开展合作，共同开发分解工业石膏和裂解废硫酸窑气湿法制硫酸技术，于2023年11月依托现有石膏制硫酸装置协同处理废硫酸，建成20kt/a分解工业石膏窑气湿法制硫酸工业试验装置，该装置可适应多种SO</w:t>
      </w:r>
      <w:r>
        <w:rPr>
          <w:rFonts w:hint="eastAsia" w:ascii="宋体" w:hAnsi="宋体" w:eastAsia="宋体" w:cs="宋体"/>
          <w:sz w:val="21"/>
          <w:szCs w:val="21"/>
          <w:vertAlign w:val="subscript"/>
        </w:rPr>
        <w:t>2</w:t>
      </w:r>
      <w:r>
        <w:rPr>
          <w:rFonts w:hint="eastAsia" w:ascii="宋体" w:hAnsi="宋体" w:eastAsia="宋体" w:cs="宋体"/>
          <w:sz w:val="21"/>
          <w:szCs w:val="21"/>
        </w:rPr>
        <w:t>来源，在不同SO</w:t>
      </w:r>
      <w:r>
        <w:rPr>
          <w:rFonts w:hint="eastAsia" w:ascii="宋体" w:hAnsi="宋体" w:eastAsia="宋体" w:cs="宋体"/>
          <w:sz w:val="21"/>
          <w:szCs w:val="21"/>
          <w:vertAlign w:val="subscript"/>
        </w:rPr>
        <w:t>2</w:t>
      </w:r>
      <w:r>
        <w:rPr>
          <w:rFonts w:hint="eastAsia" w:ascii="宋体" w:hAnsi="宋体" w:eastAsia="宋体" w:cs="宋体"/>
          <w:sz w:val="21"/>
          <w:szCs w:val="21"/>
        </w:rPr>
        <w:t>浓度情况下，稳定运行2年多，实现反应余热有效回收，尾气超低排放。2025年7月，该项目通过中国石油和化学工业联合会组织的科技成果鉴定，鉴定委员会一致认为“该技术原料适应性强、能量利用率高，总体技术达到国际先进水平”</w:t>
      </w:r>
    </w:p>
    <w:p w14:paraId="307BD94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2 </w:t>
      </w:r>
      <w:r>
        <w:rPr>
          <w:rFonts w:hint="eastAsia" w:ascii="宋体" w:hAnsi="宋体" w:eastAsia="宋体" w:cs="宋体"/>
          <w:b/>
          <w:color w:val="231F20"/>
          <w:sz w:val="21"/>
          <w:szCs w:val="21"/>
        </w:rPr>
        <w:t>分解工业石膏和裂解废硫酸窑气湿法制硫酸工艺技术</w:t>
      </w:r>
    </w:p>
    <w:p w14:paraId="24B40E7C">
      <w:pPr>
        <w:keepNext w:val="0"/>
        <w:keepLines w:val="0"/>
        <w:pageBreakBefore w:val="0"/>
        <w:widowControl w:val="0"/>
        <w:kinsoku/>
        <w:wordWrap/>
        <w:overflowPunct/>
        <w:topLinePunct w:val="0"/>
        <w:autoSpaceDE/>
        <w:autoSpaceDN/>
        <w:bidi w:val="0"/>
        <w:spacing w:line="400" w:lineRule="exact"/>
        <w:ind w:firstLine="422" w:firstLineChars="200"/>
        <w:textAlignment w:val="auto"/>
        <w:rPr>
          <w:rFonts w:hint="eastAsia" w:ascii="宋体" w:hAnsi="宋体" w:eastAsia="宋体" w:cs="宋体"/>
          <w:b/>
          <w:color w:val="231F20"/>
          <w:sz w:val="21"/>
          <w:szCs w:val="21"/>
        </w:rPr>
      </w:pPr>
      <w:r>
        <w:rPr>
          <w:rFonts w:hint="eastAsia" w:ascii="宋体" w:hAnsi="宋体" w:eastAsia="宋体" w:cs="宋体"/>
          <w:b/>
          <w:color w:val="231F20"/>
          <w:sz w:val="21"/>
          <w:szCs w:val="21"/>
        </w:rPr>
        <w:t>2.1 工艺流程</w:t>
      </w:r>
    </w:p>
    <w:p w14:paraId="23841E03">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r>
        <w:rPr>
          <w:rFonts w:hint="eastAsia" w:ascii="宋体" w:hAnsi="宋体" w:eastAsia="宋体" w:cs="宋体"/>
          <w:color w:val="231F20"/>
          <w:sz w:val="21"/>
          <w:szCs w:val="21"/>
        </w:rPr>
        <w:t>依托鲁北集团现有化学分解工业石膏和裂解废硫酸所产生的低浓度SO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窑气为原料，开发了窑气湿法制硫酸“一转一冷”新工艺，建成的20kt/a湿法硫酸工业装置主要包括SCR脱硝、SO</w:t>
      </w:r>
      <w:r>
        <w:rPr>
          <w:rFonts w:hint="eastAsia" w:ascii="宋体" w:hAnsi="宋体" w:eastAsia="宋体" w:cs="宋体"/>
          <w:color w:val="231F20"/>
          <w:sz w:val="21"/>
          <w:szCs w:val="21"/>
          <w:vertAlign w:val="subscript"/>
        </w:rPr>
        <w:t>2</w:t>
      </w:r>
    </w:p>
    <w:p w14:paraId="7293140C">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1432C427">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55B6CFD2">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03A13829">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44F8FCCB">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10780F1C">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57B1EB1C">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208E2438">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6D1D55B4">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p>
    <w:p w14:paraId="00C3E65F">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vertAlign w:val="subscript"/>
        </w:rPr>
      </w:pPr>
      <w:r>
        <w:rPr>
          <w:rFonts w:hint="eastAsia" w:ascii="宋体" w:hAnsi="宋体" w:eastAsia="宋体" w:cs="宋体"/>
          <w:color w:val="231F20"/>
          <w:sz w:val="21"/>
          <w:szCs w:val="21"/>
        </w:rPr>
        <mc:AlternateContent>
          <mc:Choice Requires="wpg">
            <w:drawing>
              <wp:inline distT="0" distB="0" distL="0" distR="0">
                <wp:extent cx="5134610" cy="2449195"/>
                <wp:effectExtent l="0" t="0" r="8890" b="8255"/>
                <wp:docPr id="16" name="组合 16"/>
                <wp:cNvGraphicFramePr/>
                <a:graphic xmlns:a="http://schemas.openxmlformats.org/drawingml/2006/main">
                  <a:graphicData uri="http://schemas.microsoft.com/office/word/2010/wordprocessingGroup">
                    <wpg:wgp>
                      <wpg:cNvGrpSpPr/>
                      <wpg:grpSpPr>
                        <a:xfrm>
                          <a:off x="0" y="0"/>
                          <a:ext cx="5134425" cy="2449195"/>
                          <a:chOff x="-161528" y="0"/>
                          <a:chExt cx="5592048" cy="2449195"/>
                        </a:xfrm>
                      </wpg:grpSpPr>
                      <wpg:grpSp>
                        <wpg:cNvPr id="17" name="组合 39"/>
                        <wpg:cNvGrpSpPr/>
                        <wpg:grpSpPr>
                          <a:xfrm>
                            <a:off x="0" y="0"/>
                            <a:ext cx="5430520" cy="2009775"/>
                            <a:chOff x="0" y="0"/>
                            <a:chExt cx="5430899" cy="2009775"/>
                          </a:xfrm>
                        </wpg:grpSpPr>
                        <wps:wsp>
                          <wps:cNvPr id="40" name="直接箭头连接符 40"/>
                          <wps:cNvCnPr/>
                          <wps:spPr>
                            <a:xfrm>
                              <a:off x="1642725" y="1315556"/>
                              <a:ext cx="0" cy="356400"/>
                            </a:xfrm>
                            <a:prstGeom prst="straightConnector1">
                              <a:avLst/>
                            </a:prstGeom>
                            <a:ln w="6350" cap="flat" cmpd="sng">
                              <a:solidFill>
                                <a:srgbClr val="000000"/>
                              </a:solidFill>
                              <a:prstDash val="solid"/>
                              <a:miter/>
                              <a:headEnd type="none" w="med" len="med"/>
                              <a:tailEnd type="triangle" w="med" len="med"/>
                            </a:ln>
                          </wps:spPr>
                          <wps:bodyPr/>
                        </wps:wsp>
                        <wps:wsp>
                          <wps:cNvPr id="41" name="矩形 41"/>
                          <wps:cNvSpPr/>
                          <wps:spPr>
                            <a:xfrm>
                              <a:off x="5029447" y="631231"/>
                              <a:ext cx="401452" cy="270024"/>
                            </a:xfrm>
                            <a:prstGeom prst="rect">
                              <a:avLst/>
                            </a:prstGeom>
                            <a:noFill/>
                            <a:ln w="12700">
                              <a:noFill/>
                            </a:ln>
                          </wps:spPr>
                          <wps:txbx>
                            <w:txbxContent>
                              <w:p w14:paraId="5EE2BCDD">
                                <w:pPr>
                                  <w:autoSpaceDN w:val="0"/>
                                  <w:jc w:val="center"/>
                                  <w:rPr>
                                    <w:rFonts w:ascii="宋体" w:hAnsi="宋体" w:eastAsia="宋体" w:cs="Times New Roman"/>
                                    <w:szCs w:val="21"/>
                                    <w:vertAlign w:val="subscript"/>
                                  </w:rPr>
                                </w:pPr>
                                <w:r>
                                  <w:rPr>
                                    <w:rFonts w:hint="eastAsia" w:ascii="宋体" w:hAnsi="宋体" w:eastAsia="宋体" w:cs="Times New Roman"/>
                                    <w:color w:val="000000"/>
                                    <w:szCs w:val="21"/>
                                    <w:lang w:bidi="ar"/>
                                  </w:rPr>
                                  <w:t>NH</w:t>
                                </w:r>
                                <w:r>
                                  <w:rPr>
                                    <w:rFonts w:hint="eastAsia" w:ascii="宋体" w:hAnsi="宋体" w:eastAsia="宋体" w:cs="Times New Roman"/>
                                    <w:color w:val="000000"/>
                                    <w:szCs w:val="21"/>
                                    <w:vertAlign w:val="subscript"/>
                                    <w:lang w:bidi="ar"/>
                                  </w:rPr>
                                  <w:t>3</w:t>
                                </w:r>
                              </w:p>
                            </w:txbxContent>
                          </wps:txbx>
                          <wps:bodyPr upright="1"/>
                        </wps:wsp>
                        <wpg:grpSp>
                          <wpg:cNvPr id="18" name="组合 42"/>
                          <wpg:cNvGrpSpPr/>
                          <wpg:grpSpPr>
                            <a:xfrm>
                              <a:off x="0" y="0"/>
                              <a:ext cx="5331460" cy="2009775"/>
                              <a:chOff x="0" y="0"/>
                              <a:chExt cx="5331551" cy="2009898"/>
                            </a:xfrm>
                          </wpg:grpSpPr>
                          <wps:wsp>
                            <wps:cNvPr id="43" name="直接箭头连接符 43"/>
                            <wps:cNvCnPr/>
                            <wps:spPr>
                              <a:xfrm>
                                <a:off x="4772086" y="409869"/>
                                <a:ext cx="0" cy="597600"/>
                              </a:xfrm>
                              <a:prstGeom prst="straightConnector1">
                                <a:avLst/>
                              </a:prstGeom>
                              <a:ln w="6350" cap="flat" cmpd="sng">
                                <a:solidFill>
                                  <a:srgbClr val="000000"/>
                                </a:solidFill>
                                <a:prstDash val="solid"/>
                                <a:miter/>
                                <a:headEnd type="none" w="med" len="med"/>
                                <a:tailEnd type="triangle" w="med" len="med"/>
                              </a:ln>
                            </wps:spPr>
                            <wps:bodyPr/>
                          </wps:wsp>
                          <wps:wsp>
                            <wps:cNvPr id="44" name="直接箭头连接符 44"/>
                            <wps:cNvCnPr/>
                            <wps:spPr>
                              <a:xfrm flipH="1">
                                <a:off x="3925775" y="1161681"/>
                                <a:ext cx="526415" cy="0"/>
                              </a:xfrm>
                              <a:prstGeom prst="straightConnector1">
                                <a:avLst/>
                              </a:prstGeom>
                              <a:ln w="6350" cap="flat" cmpd="sng">
                                <a:solidFill>
                                  <a:srgbClr val="000000"/>
                                </a:solidFill>
                                <a:prstDash val="solid"/>
                                <a:miter/>
                                <a:headEnd type="none" w="med" len="med"/>
                                <a:tailEnd type="triangle" w="med" len="med"/>
                              </a:ln>
                            </wps:spPr>
                            <wps:bodyPr/>
                          </wps:wsp>
                          <wps:wsp>
                            <wps:cNvPr id="45" name="直接箭头连接符 45"/>
                            <wps:cNvCnPr/>
                            <wps:spPr>
                              <a:xfrm flipH="1">
                                <a:off x="8604" y="1161689"/>
                                <a:ext cx="1156335" cy="0"/>
                              </a:xfrm>
                              <a:prstGeom prst="straightConnector1">
                                <a:avLst/>
                              </a:prstGeom>
                              <a:ln w="6350" cap="flat" cmpd="sng">
                                <a:solidFill>
                                  <a:srgbClr val="000000"/>
                                </a:solidFill>
                                <a:prstDash val="solid"/>
                                <a:miter/>
                                <a:headEnd type="none" w="med" len="med"/>
                                <a:tailEnd type="triangle" w="med" len="med"/>
                              </a:ln>
                            </wps:spPr>
                            <wps:bodyPr/>
                          </wps:wsp>
                          <wps:wsp>
                            <wps:cNvPr id="46" name="直接箭头连接符 46"/>
                            <wps:cNvCnPr/>
                            <wps:spPr>
                              <a:xfrm>
                                <a:off x="3923071" y="1828309"/>
                                <a:ext cx="1374775" cy="0"/>
                              </a:xfrm>
                              <a:prstGeom prst="straightConnector1">
                                <a:avLst/>
                              </a:prstGeom>
                              <a:ln w="6350" cap="flat" cmpd="sng">
                                <a:solidFill>
                                  <a:srgbClr val="000000"/>
                                </a:solidFill>
                                <a:prstDash val="solid"/>
                                <a:miter/>
                                <a:headEnd type="none" w="med" len="med"/>
                                <a:tailEnd type="triangle" w="med" len="med"/>
                              </a:ln>
                            </wps:spPr>
                            <wps:bodyPr/>
                          </wps:wsp>
                          <wps:wsp>
                            <wps:cNvPr id="47" name="直接箭头连接符 47"/>
                            <wps:cNvCnPr/>
                            <wps:spPr>
                              <a:xfrm>
                                <a:off x="5090652" y="681714"/>
                                <a:ext cx="0" cy="325755"/>
                              </a:xfrm>
                              <a:prstGeom prst="straightConnector1">
                                <a:avLst/>
                              </a:prstGeom>
                              <a:ln w="6350" cap="flat" cmpd="sng">
                                <a:solidFill>
                                  <a:srgbClr val="000000"/>
                                </a:solidFill>
                                <a:prstDash val="solid"/>
                                <a:miter/>
                                <a:headEnd type="none" w="med" len="med"/>
                                <a:tailEnd type="triangle" w="med" len="med"/>
                              </a:ln>
                            </wps:spPr>
                            <wps:bodyPr/>
                          </wps:wsp>
                          <wpg:grpSp>
                            <wpg:cNvPr id="19" name="组合 48"/>
                            <wpg:cNvGrpSpPr/>
                            <wpg:grpSpPr>
                              <a:xfrm>
                                <a:off x="0" y="0"/>
                                <a:ext cx="5331551" cy="2009898"/>
                                <a:chOff x="0" y="0"/>
                                <a:chExt cx="5331551" cy="2009898"/>
                              </a:xfrm>
                            </wpg:grpSpPr>
                            <wps:wsp>
                              <wps:cNvPr id="49" name="矩形 49"/>
                              <wps:cNvSpPr/>
                              <wps:spPr>
                                <a:xfrm>
                                  <a:off x="4427220" y="1005840"/>
                                  <a:ext cx="875030" cy="32575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FF560FB">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SCR脱硝</w:t>
                                    </w:r>
                                  </w:p>
                                </w:txbxContent>
                              </wps:txbx>
                              <wps:bodyPr upright="1"/>
                            </wps:wsp>
                            <wps:wsp>
                              <wps:cNvPr id="50" name="矩形 50"/>
                              <wps:cNvSpPr/>
                              <wps:spPr>
                                <a:xfrm>
                                  <a:off x="3055620" y="990600"/>
                                  <a:ext cx="875030" cy="32575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505B08E">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组合式反应器</w:t>
                                    </w:r>
                                  </w:p>
                                </w:txbxContent>
                              </wps:txbx>
                              <wps:bodyPr upright="1"/>
                            </wps:wsp>
                            <wps:wsp>
                              <wps:cNvPr id="51" name="矩形 51"/>
                              <wps:cNvSpPr/>
                              <wps:spPr>
                                <a:xfrm>
                                  <a:off x="1181100" y="1005840"/>
                                  <a:ext cx="891540" cy="32575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9F0521D">
                                    <w:pPr>
                                      <w:autoSpaceDN w:val="0"/>
                                      <w:rPr>
                                        <w:rFonts w:ascii="宋体" w:hAnsi="宋体" w:eastAsia="宋体" w:cs="Times New Roman"/>
                                        <w:sz w:val="18"/>
                                        <w:szCs w:val="18"/>
                                      </w:rPr>
                                    </w:pPr>
                                    <w:r>
                                      <w:rPr>
                                        <w:rFonts w:hint="eastAsia" w:ascii="宋体" w:hAnsi="宋体" w:eastAsia="宋体" w:cs="Times New Roman"/>
                                        <w:color w:val="000000"/>
                                        <w:sz w:val="18"/>
                                        <w:szCs w:val="18"/>
                                        <w:lang w:bidi="ar"/>
                                      </w:rPr>
                                      <w:t>硫酸蒸汽冷凝</w:t>
                                    </w:r>
                                  </w:p>
                                </w:txbxContent>
                              </wps:txbx>
                              <wps:bodyPr wrap="square" upright="1"/>
                            </wps:wsp>
                            <wps:wsp>
                              <wps:cNvPr id="52" name="矩形 52"/>
                              <wps:cNvSpPr/>
                              <wps:spPr>
                                <a:xfrm>
                                  <a:off x="1181100" y="1684020"/>
                                  <a:ext cx="875067" cy="32587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22E5A97">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硫酸混合罐</w:t>
                                    </w:r>
                                  </w:p>
                                </w:txbxContent>
                              </wps:txbx>
                              <wps:bodyPr upright="1"/>
                            </wps:wsp>
                            <wps:wsp>
                              <wps:cNvPr id="53" name="矩形 53"/>
                              <wps:cNvSpPr/>
                              <wps:spPr>
                                <a:xfrm>
                                  <a:off x="3025140" y="1684020"/>
                                  <a:ext cx="875154" cy="32587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7A775E2">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硫酸水冷器</w:t>
                                    </w:r>
                                  </w:p>
                                </w:txbxContent>
                              </wps:txbx>
                              <wps:bodyPr upright="1"/>
                            </wps:wsp>
                            <wps:wsp>
                              <wps:cNvPr id="54" name="直接箭头连接符 54"/>
                              <wps:cNvCnPr/>
                              <wps:spPr>
                                <a:xfrm flipH="1">
                                  <a:off x="2087880" y="1158240"/>
                                  <a:ext cx="969010" cy="0"/>
                                </a:xfrm>
                                <a:prstGeom prst="straightConnector1">
                                  <a:avLst/>
                                </a:prstGeom>
                                <a:ln w="6350" cap="flat" cmpd="sng">
                                  <a:solidFill>
                                    <a:srgbClr val="000000"/>
                                  </a:solidFill>
                                  <a:prstDash val="solid"/>
                                  <a:miter/>
                                  <a:headEnd type="none" w="med" len="med"/>
                                  <a:tailEnd type="triangle" w="med" len="med"/>
                                </a:ln>
                              </wps:spPr>
                              <wps:bodyPr/>
                            </wps:wsp>
                            <wps:wsp>
                              <wps:cNvPr id="55" name="直接箭头连接符 55"/>
                              <wps:cNvCnPr/>
                              <wps:spPr>
                                <a:xfrm>
                                  <a:off x="2042160" y="1836420"/>
                                  <a:ext cx="968375" cy="0"/>
                                </a:xfrm>
                                <a:prstGeom prst="straightConnector1">
                                  <a:avLst/>
                                </a:prstGeom>
                                <a:ln w="6350" cap="flat" cmpd="sng">
                                  <a:solidFill>
                                    <a:srgbClr val="000000"/>
                                  </a:solidFill>
                                  <a:prstDash val="solid"/>
                                  <a:miter/>
                                  <a:headEnd type="none" w="med" len="med"/>
                                  <a:tailEnd type="triangle" w="med" len="med"/>
                                </a:ln>
                              </wps:spPr>
                              <wps:bodyPr/>
                            </wps:wsp>
                            <wps:wsp>
                              <wps:cNvPr id="56" name="矩形 56"/>
                              <wps:cNvSpPr/>
                              <wps:spPr>
                                <a:xfrm>
                                  <a:off x="38100" y="899160"/>
                                  <a:ext cx="1008103" cy="280995"/>
                                </a:xfrm>
                                <a:prstGeom prst="rect">
                                  <a:avLst/>
                                </a:prstGeom>
                                <a:noFill/>
                                <a:ln w="12700">
                                  <a:noFill/>
                                </a:ln>
                              </wps:spPr>
                              <wps:txbx>
                                <w:txbxContent>
                                  <w:p w14:paraId="145C7CD3">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尾气去统一处理</w:t>
                                    </w:r>
                                  </w:p>
                                </w:txbxContent>
                              </wps:txbx>
                              <wps:bodyPr upright="1"/>
                            </wps:wsp>
                            <wps:wsp>
                              <wps:cNvPr id="57" name="肘形连接符 57"/>
                              <wps:cNvCnPr/>
                              <wps:spPr>
                                <a:xfrm flipH="1" flipV="1">
                                  <a:off x="1630680" y="1485900"/>
                                  <a:ext cx="2659380" cy="342900"/>
                                </a:xfrm>
                                <a:prstGeom prst="bentConnector3">
                                  <a:avLst>
                                    <a:gd name="adj1" fmla="val 764"/>
                                  </a:avLst>
                                </a:prstGeom>
                                <a:ln w="6350" cap="flat" cmpd="sng">
                                  <a:solidFill>
                                    <a:srgbClr val="000000"/>
                                  </a:solidFill>
                                  <a:prstDash val="solid"/>
                                  <a:miter/>
                                  <a:headEnd type="none" w="med" len="med"/>
                                  <a:tailEnd type="triangle" w="med" len="med"/>
                                </a:ln>
                              </wps:spPr>
                              <wps:bodyPr/>
                            </wps:wsp>
                            <wps:wsp>
                              <wps:cNvPr id="58" name="矩形 58"/>
                              <wps:cNvSpPr/>
                              <wps:spPr>
                                <a:xfrm>
                                  <a:off x="4427220" y="1569720"/>
                                  <a:ext cx="904331" cy="270024"/>
                                </a:xfrm>
                                <a:prstGeom prst="rect">
                                  <a:avLst/>
                                </a:prstGeom>
                                <a:noFill/>
                                <a:ln w="12700">
                                  <a:noFill/>
                                </a:ln>
                              </wps:spPr>
                              <wps:txbx>
                                <w:txbxContent>
                                  <w:p w14:paraId="3499A708">
                                    <w:pPr>
                                      <w:autoSpaceDN w:val="0"/>
                                      <w:jc w:val="center"/>
                                      <w:rPr>
                                        <w:rFonts w:ascii="宋体" w:hAnsi="宋体" w:eastAsia="宋体" w:cs="Times New Roman"/>
                                        <w:sz w:val="18"/>
                                        <w:szCs w:val="18"/>
                                      </w:rPr>
                                    </w:pPr>
                                    <w:r>
                                      <w:rPr>
                                        <w:rFonts w:hint="eastAsia" w:ascii="宋体" w:hAnsi="宋体" w:eastAsia="宋体" w:cs="Times New Roman"/>
                                        <w:color w:val="000000"/>
                                        <w:szCs w:val="21"/>
                                        <w:lang w:bidi="ar"/>
                                      </w:rPr>
                                      <w:t xml:space="preserve"> </w:t>
                                    </w:r>
                                    <w:r>
                                      <w:rPr>
                                        <w:rFonts w:ascii="宋体" w:hAnsi="宋体" w:eastAsia="宋体" w:cs="Times New Roman"/>
                                        <w:color w:val="000000"/>
                                        <w:sz w:val="18"/>
                                        <w:szCs w:val="18"/>
                                        <w:lang w:bidi="ar"/>
                                      </w:rPr>
                                      <w:t xml:space="preserve"> </w:t>
                                    </w:r>
                                    <w:r>
                                      <w:rPr>
                                        <w:rFonts w:hint="eastAsia" w:ascii="宋体" w:hAnsi="宋体" w:eastAsia="宋体" w:cs="Times New Roman"/>
                                        <w:color w:val="000000"/>
                                        <w:sz w:val="18"/>
                                        <w:szCs w:val="18"/>
                                        <w:lang w:bidi="ar"/>
                                      </w:rPr>
                                      <w:t>硫酸</w:t>
                                    </w:r>
                                  </w:p>
                                </w:txbxContent>
                              </wps:txbx>
                              <wps:bodyPr upright="1"/>
                            </wps:wsp>
                            <wpg:grpSp>
                              <wpg:cNvPr id="20" name="组合 59"/>
                              <wpg:cNvGrpSpPr/>
                              <wpg:grpSpPr>
                                <a:xfrm>
                                  <a:off x="0" y="0"/>
                                  <a:ext cx="5328285" cy="854096"/>
                                  <a:chOff x="-562" y="504"/>
                                  <a:chExt cx="61371" cy="9421"/>
                                </a:xfrm>
                              </wpg:grpSpPr>
                              <wps:wsp>
                                <wps:cNvPr id="60" name="矩形 60"/>
                                <wps:cNvSpPr/>
                                <wps:spPr>
                                  <a:xfrm>
                                    <a:off x="8269" y="1431"/>
                                    <a:ext cx="7194" cy="359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68812C0">
                                      <w:pPr>
                                        <w:autoSpaceDN w:val="0"/>
                                        <w:jc w:val="center"/>
                                        <w:rPr>
                                          <w:rFonts w:ascii="宋体" w:hAnsi="宋体" w:eastAsia="宋体" w:cs="Times New Roman"/>
                                          <w:szCs w:val="21"/>
                                        </w:rPr>
                                      </w:pPr>
                                      <w:r>
                                        <w:rPr>
                                          <w:rFonts w:hint="eastAsia" w:ascii="宋体" w:hAnsi="宋体" w:eastAsia="宋体" w:cs="Times New Roman"/>
                                          <w:color w:val="000000"/>
                                          <w:sz w:val="18"/>
                                          <w:szCs w:val="18"/>
                                          <w:lang w:bidi="ar"/>
                                        </w:rPr>
                                        <w:t>预热</w:t>
                                      </w:r>
                                    </w:p>
                                  </w:txbxContent>
                                </wps:txbx>
                                <wps:bodyPr upright="1"/>
                              </wps:wsp>
                              <wps:wsp>
                                <wps:cNvPr id="61" name="直接箭头连接符 61"/>
                                <wps:cNvCnPr/>
                                <wps:spPr>
                                  <a:xfrm>
                                    <a:off x="0" y="3180"/>
                                    <a:ext cx="8269" cy="0"/>
                                  </a:xfrm>
                                  <a:prstGeom prst="straightConnector1">
                                    <a:avLst/>
                                  </a:prstGeom>
                                  <a:ln w="6350" cap="flat" cmpd="sng">
                                    <a:solidFill>
                                      <a:srgbClr val="000000"/>
                                    </a:solidFill>
                                    <a:prstDash val="solid"/>
                                    <a:miter/>
                                    <a:headEnd type="none" w="med" len="med"/>
                                    <a:tailEnd type="triangle" w="med" len="med"/>
                                  </a:ln>
                                </wps:spPr>
                                <wps:bodyPr/>
                              </wps:wsp>
                              <wps:wsp>
                                <wps:cNvPr id="62" name="矩形 62"/>
                                <wps:cNvSpPr/>
                                <wps:spPr>
                                  <a:xfrm>
                                    <a:off x="-562" y="504"/>
                                    <a:ext cx="7646" cy="2982"/>
                                  </a:xfrm>
                                  <a:prstGeom prst="rect">
                                    <a:avLst/>
                                  </a:prstGeom>
                                  <a:noFill/>
                                  <a:ln w="12700">
                                    <a:noFill/>
                                  </a:ln>
                                </wps:spPr>
                                <wps:txbx>
                                  <w:txbxContent>
                                    <w:p w14:paraId="6A126D23">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净化窑气</w:t>
                                      </w:r>
                                    </w:p>
                                  </w:txbxContent>
                                </wps:txbx>
                                <wps:bodyPr upright="1"/>
                              </wps:wsp>
                              <wps:wsp>
                                <wps:cNvPr id="63" name="矩形 63"/>
                                <wps:cNvSpPr/>
                                <wps:spPr>
                                  <a:xfrm>
                                    <a:off x="21468" y="1510"/>
                                    <a:ext cx="7195" cy="359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334F8AC">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主风机</w:t>
                                      </w:r>
                                    </w:p>
                                  </w:txbxContent>
                                </wps:txbx>
                                <wps:bodyPr upright="1"/>
                              </wps:wsp>
                              <wps:wsp>
                                <wps:cNvPr id="64" name="直接箭头连接符 64"/>
                                <wps:cNvCnPr/>
                                <wps:spPr>
                                  <a:xfrm>
                                    <a:off x="15346" y="3260"/>
                                    <a:ext cx="6120" cy="0"/>
                                  </a:xfrm>
                                  <a:prstGeom prst="straightConnector1">
                                    <a:avLst/>
                                  </a:prstGeom>
                                  <a:ln w="6350" cap="flat" cmpd="sng">
                                    <a:solidFill>
                                      <a:srgbClr val="000000"/>
                                    </a:solidFill>
                                    <a:prstDash val="solid"/>
                                    <a:miter/>
                                    <a:headEnd type="none" w="med" len="med"/>
                                    <a:tailEnd type="triangle" w="med" len="med"/>
                                  </a:ln>
                                </wps:spPr>
                                <wps:bodyPr/>
                              </wps:wsp>
                              <wps:wsp>
                                <wps:cNvPr id="65" name="矩形 65"/>
                                <wps:cNvSpPr/>
                                <wps:spPr>
                                  <a:xfrm>
                                    <a:off x="34588" y="1431"/>
                                    <a:ext cx="10080" cy="359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2C89D5F">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第二段间换热</w:t>
                                      </w:r>
                                    </w:p>
                                  </w:txbxContent>
                                </wps:txbx>
                                <wps:bodyPr upright="1"/>
                              </wps:wsp>
                              <wps:wsp>
                                <wps:cNvPr id="66" name="直接箭头连接符 66"/>
                                <wps:cNvCnPr/>
                                <wps:spPr>
                                  <a:xfrm>
                                    <a:off x="28545" y="3180"/>
                                    <a:ext cx="6115" cy="0"/>
                                  </a:xfrm>
                                  <a:prstGeom prst="straightConnector1">
                                    <a:avLst/>
                                  </a:prstGeom>
                                  <a:ln w="6350" cap="flat" cmpd="sng">
                                    <a:solidFill>
                                      <a:srgbClr val="000000"/>
                                    </a:solidFill>
                                    <a:prstDash val="solid"/>
                                    <a:miter/>
                                    <a:headEnd type="none" w="med" len="med"/>
                                    <a:tailEnd type="triangle" w="med" len="med"/>
                                  </a:ln>
                                </wps:spPr>
                                <wps:bodyPr/>
                              </wps:wsp>
                              <wps:wsp>
                                <wps:cNvPr id="67" name="矩形 67"/>
                                <wps:cNvSpPr/>
                                <wps:spPr>
                                  <a:xfrm>
                                    <a:off x="50729" y="1851"/>
                                    <a:ext cx="10080" cy="359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66E58C5">
                                      <w:pPr>
                                        <w:autoSpaceDN w:val="0"/>
                                        <w:jc w:val="center"/>
                                        <w:rPr>
                                          <w:rFonts w:ascii="宋体" w:hAnsi="宋体" w:eastAsia="宋体" w:cs="Times New Roman"/>
                                          <w:szCs w:val="21"/>
                                        </w:rPr>
                                      </w:pPr>
                                      <w:r>
                                        <w:rPr>
                                          <w:rFonts w:hint="eastAsia" w:ascii="宋体" w:hAnsi="宋体" w:eastAsia="宋体" w:cs="Times New Roman"/>
                                          <w:color w:val="000000"/>
                                          <w:sz w:val="18"/>
                                          <w:szCs w:val="18"/>
                                          <w:lang w:bidi="ar"/>
                                        </w:rPr>
                                        <w:t>第一段间换热</w:t>
                                      </w:r>
                                    </w:p>
                                  </w:txbxContent>
                                </wps:txbx>
                                <wps:bodyPr upright="1"/>
                              </wps:wsp>
                              <wps:wsp>
                                <wps:cNvPr id="68" name="直接箭头连接符 68"/>
                                <wps:cNvCnPr/>
                                <wps:spPr>
                                  <a:xfrm>
                                    <a:off x="44606" y="3180"/>
                                    <a:ext cx="6115" cy="0"/>
                                  </a:xfrm>
                                  <a:prstGeom prst="straightConnector1">
                                    <a:avLst/>
                                  </a:prstGeom>
                                  <a:ln w="6350" cap="flat" cmpd="sng">
                                    <a:solidFill>
                                      <a:srgbClr val="000000"/>
                                    </a:solidFill>
                                    <a:prstDash val="solid"/>
                                    <a:miter/>
                                    <a:headEnd type="none" w="med" len="med"/>
                                    <a:tailEnd type="triangle" w="med" len="med"/>
                                  </a:ln>
                                </wps:spPr>
                                <wps:bodyPr/>
                              </wps:wsp>
                              <wps:wsp>
                                <wps:cNvPr id="69" name="矩形 69"/>
                                <wps:cNvSpPr/>
                                <wps:spPr>
                                  <a:xfrm>
                                    <a:off x="34508" y="6331"/>
                                    <a:ext cx="10078" cy="359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501BF44">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第三段间换热</w:t>
                                      </w:r>
                                    </w:p>
                                  </w:txbxContent>
                                </wps:txbx>
                                <wps:bodyPr upright="1"/>
                              </wps:wsp>
                              <wps:wsp>
                                <wps:cNvPr id="70" name="肘形连接符 70"/>
                                <wps:cNvCnPr/>
                                <wps:spPr>
                                  <a:xfrm>
                                    <a:off x="28751" y="4005"/>
                                    <a:ext cx="5757" cy="3955"/>
                                  </a:xfrm>
                                  <a:prstGeom prst="bentConnector3">
                                    <a:avLst>
                                      <a:gd name="adj1" fmla="val 50000"/>
                                    </a:avLst>
                                  </a:prstGeom>
                                  <a:ln w="6350" cap="flat" cmpd="sng">
                                    <a:solidFill>
                                      <a:srgbClr val="000000"/>
                                    </a:solidFill>
                                    <a:prstDash val="solid"/>
                                    <a:miter/>
                                    <a:headEnd type="none" w="med" len="med"/>
                                    <a:tailEnd type="triangle" w="med" len="med"/>
                                  </a:ln>
                                </wps:spPr>
                                <wps:bodyPr/>
                              </wps:wsp>
                              <wps:wsp>
                                <wps:cNvPr id="71" name="肘形连接符 71"/>
                                <wps:cNvCnPr/>
                                <wps:spPr>
                                  <a:xfrm flipV="1">
                                    <a:off x="44586" y="4143"/>
                                    <a:ext cx="6135" cy="4153"/>
                                  </a:xfrm>
                                  <a:prstGeom prst="bentConnector3">
                                    <a:avLst>
                                      <a:gd name="adj1" fmla="val 50000"/>
                                    </a:avLst>
                                  </a:prstGeom>
                                  <a:ln w="6350" cap="flat" cmpd="sng">
                                    <a:solidFill>
                                      <a:srgbClr val="000000"/>
                                    </a:solidFill>
                                    <a:prstDash val="solid"/>
                                    <a:miter/>
                                    <a:headEnd type="none" w="med" len="med"/>
                                    <a:tailEnd type="triangle" w="med" len="med"/>
                                  </a:ln>
                                </wps:spPr>
                                <wps:bodyPr/>
                              </wps:wsp>
                              <wps:wsp>
                                <wps:cNvPr id="72" name="直接连接符 72"/>
                                <wps:cNvCnPr/>
                                <wps:spPr>
                                  <a:xfrm>
                                    <a:off x="0" y="7441"/>
                                    <a:ext cx="18447" cy="0"/>
                                  </a:xfrm>
                                  <a:prstGeom prst="line">
                                    <a:avLst/>
                                  </a:prstGeom>
                                  <a:ln w="6350" cap="flat" cmpd="sng">
                                    <a:solidFill>
                                      <a:srgbClr val="000000"/>
                                    </a:solidFill>
                                    <a:prstDash val="solid"/>
                                    <a:miter/>
                                    <a:headEnd type="none" w="med" len="med"/>
                                    <a:tailEnd type="none" w="med" len="med"/>
                                  </a:ln>
                                </wps:spPr>
                                <wps:bodyPr/>
                              </wps:wsp>
                              <wps:wsp>
                                <wps:cNvPr id="73" name="直接箭头连接符 73"/>
                                <wps:cNvCnPr/>
                                <wps:spPr>
                                  <a:xfrm flipV="1">
                                    <a:off x="18447" y="3260"/>
                                    <a:ext cx="0" cy="4181"/>
                                  </a:xfrm>
                                  <a:prstGeom prst="straightConnector1">
                                    <a:avLst/>
                                  </a:prstGeom>
                                  <a:ln w="6350" cap="flat" cmpd="sng">
                                    <a:solidFill>
                                      <a:srgbClr val="000000"/>
                                    </a:solidFill>
                                    <a:prstDash val="solid"/>
                                    <a:miter/>
                                    <a:headEnd type="none" w="med" len="med"/>
                                    <a:tailEnd type="triangle" w="med" len="med"/>
                                  </a:ln>
                                </wps:spPr>
                                <wps:bodyPr/>
                              </wps:wsp>
                              <wps:wsp>
                                <wps:cNvPr id="74" name="矩形 74"/>
                                <wps:cNvSpPr/>
                                <wps:spPr>
                                  <a:xfrm>
                                    <a:off x="318" y="4761"/>
                                    <a:ext cx="7469" cy="3564"/>
                                  </a:xfrm>
                                  <a:prstGeom prst="rect">
                                    <a:avLst/>
                                  </a:prstGeom>
                                  <a:noFill/>
                                  <a:ln w="12700">
                                    <a:noFill/>
                                  </a:ln>
                                </wps:spPr>
                                <wps:txbx>
                                  <w:txbxContent>
                                    <w:p w14:paraId="735643CE">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空气</w:t>
                                      </w:r>
                                    </w:p>
                                  </w:txbxContent>
                                </wps:txbx>
                                <wps:bodyPr upright="1"/>
                              </wps:wsp>
                            </wpg:grpSp>
                          </wpg:grpSp>
                        </wpg:grpSp>
                      </wpg:grpSp>
                      <wps:wsp>
                        <wps:cNvPr id="217" name="文本框 2"/>
                        <wps:cNvSpPr txBox="1">
                          <a:spLocks noChangeArrowheads="1"/>
                        </wps:cNvSpPr>
                        <wps:spPr bwMode="auto">
                          <a:xfrm>
                            <a:off x="-161528" y="2132965"/>
                            <a:ext cx="5564382" cy="316230"/>
                          </a:xfrm>
                          <a:prstGeom prst="rect">
                            <a:avLst/>
                          </a:prstGeom>
                          <a:solidFill>
                            <a:srgbClr val="FFFFFF"/>
                          </a:solidFill>
                          <a:ln w="9525">
                            <a:noFill/>
                            <a:miter lim="800000"/>
                          </a:ln>
                        </wps:spPr>
                        <wps:txbx>
                          <w:txbxContent>
                            <w:p w14:paraId="50D96B4C">
                              <w:pPr>
                                <w:jc w:val="center"/>
                                <w:rPr>
                                  <w:rFonts w:ascii="Times New Roman" w:hAnsi="Times New Roman" w:eastAsia="楷体" w:cs="Times New Roman"/>
                                  <w:b/>
                                  <w:color w:val="231F20"/>
                                  <w:sz w:val="24"/>
                                  <w:szCs w:val="24"/>
                                </w:rPr>
                              </w:pPr>
                              <w:bookmarkStart w:id="5" w:name="OLE_LINK13"/>
                              <w:bookmarkStart w:id="6" w:name="OLE_LINK12"/>
                              <w:bookmarkStart w:id="7" w:name="_Hlk231892460"/>
                              <w:r>
                                <w:rPr>
                                  <w:rFonts w:ascii="Times New Roman" w:hAnsi="Times New Roman" w:eastAsia="楷体" w:cs="Times New Roman"/>
                                  <w:b/>
                                  <w:color w:val="231F20"/>
                                  <w:sz w:val="24"/>
                                  <w:szCs w:val="24"/>
                                </w:rPr>
                                <w:t>图1 分解工业石膏和裂解废硫酸窑气湿法制硫酸工艺流程</w:t>
                              </w:r>
                              <w:bookmarkEnd w:id="5"/>
                              <w:bookmarkEnd w:id="6"/>
                              <w:bookmarkEnd w:id="7"/>
                            </w:p>
                          </w:txbxContent>
                        </wps:txbx>
                        <wps:bodyPr rot="0" vert="horz" wrap="square" lIns="91440" tIns="45720" rIns="91440" bIns="45720" anchor="t" anchorCtr="0">
                          <a:noAutofit/>
                        </wps:bodyPr>
                      </wps:wsp>
                    </wpg:wgp>
                  </a:graphicData>
                </a:graphic>
              </wp:inline>
            </w:drawing>
          </mc:Choice>
          <mc:Fallback>
            <w:pict>
              <v:group id="_x0000_s1026" o:spid="_x0000_s1026" o:spt="203" style="height:192.85pt;width:404.3pt;" coordorigin="-161528,0" coordsize="5592048,2449195" o:gfxdata="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">
                <o:lock v:ext="edit" aspectratio="f"/>
                <v:group id="组合 39" o:spid="_x0000_s1026" o:spt="203" style="position:absolute;left:0;top:0;height:2009775;width:5430520;" coordsize="5430899,2009775"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1642725;top:1315556;height:356400;width:0;" filled="f" stroked="t" coordsize="21600,21600" o:gfxdata="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yE/SugAAANsA&#10;AAAPAAAAAAAAAAEAIAAAACIAAABkcnMvZG93bnJldi54bWxQSwECFAAUAAAACACHTuJAMy8FnjsA&#10;AAA5AAAAEAAAAAAAAAABACAAAAAJAQAAZHJzL3NoYXBleG1sLnhtbFBLBQYAAAAABgAGAFsBAACz&#10;AwAAAAA=&#10;">
                    <v:fill on="f" focussize="0,0"/>
                    <v:stroke weight="0.5pt" color="#000000" joinstyle="miter" endarrow="block"/>
                    <v:imagedata o:title=""/>
                    <o:lock v:ext="edit" aspectratio="f"/>
                  </v:shape>
                  <v:rect id="_x0000_s1026" o:spid="_x0000_s1026" o:spt="1" style="position:absolute;left:5029447;top:631231;height:270024;width:401452;" filled="f" stroked="f" coordsize="21600,21600" o:gfxdata="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kKo6vQAA&#10;ANs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5EE2BCDD">
                          <w:pPr>
                            <w:autoSpaceDN w:val="0"/>
                            <w:jc w:val="center"/>
                            <w:rPr>
                              <w:rFonts w:ascii="宋体" w:hAnsi="宋体" w:eastAsia="宋体" w:cs="Times New Roman"/>
                              <w:szCs w:val="21"/>
                              <w:vertAlign w:val="subscript"/>
                            </w:rPr>
                          </w:pPr>
                          <w:r>
                            <w:rPr>
                              <w:rFonts w:hint="eastAsia" w:ascii="宋体" w:hAnsi="宋体" w:eastAsia="宋体" w:cs="Times New Roman"/>
                              <w:color w:val="000000"/>
                              <w:szCs w:val="21"/>
                              <w:lang w:bidi="ar"/>
                            </w:rPr>
                            <w:t>NH</w:t>
                          </w:r>
                          <w:r>
                            <w:rPr>
                              <w:rFonts w:hint="eastAsia" w:ascii="宋体" w:hAnsi="宋体" w:eastAsia="宋体" w:cs="Times New Roman"/>
                              <w:color w:val="000000"/>
                              <w:szCs w:val="21"/>
                              <w:vertAlign w:val="subscript"/>
                              <w:lang w:bidi="ar"/>
                            </w:rPr>
                            <w:t>3</w:t>
                          </w:r>
                        </w:p>
                      </w:txbxContent>
                    </v:textbox>
                  </v:rect>
                  <v:group id="组合 42" o:spid="_x0000_s1026" o:spt="203" style="position:absolute;left:0;top:0;height:2009775;width:5331460;" coordsize="5331551,2009898"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4772086;top:409869;height:597600;width:0;" filled="f" stroked="t" coordsize="21600,21600" o:gfxdata="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hrRpbsAAADb&#10;AAAADwAAAAAAAAABACAAAAAiAAAAZHJzL2Rvd25yZXYueG1sUEsBAhQAFAAAAAgAh07iQDMvBZ47&#10;AAAAOQAAABAAAAAAAAAAAQAgAAAACgEAAGRycy9zaGFwZXhtbC54bWxQSwUGAAAAAAYABgBbAQAA&#10;tAMAAAAA&#10;">
                      <v:fill on="f" focussize="0,0"/>
                      <v:stroke weight="0.5pt" color="#000000" joinstyle="miter" endarrow="block"/>
                      <v:imagedata o:title=""/>
                      <o:lock v:ext="edit" aspectratio="f"/>
                    </v:shape>
                    <v:shape id="_x0000_s1026" o:spid="_x0000_s1026" o:spt="32" type="#_x0000_t32" style="position:absolute;left:3925775;top:1161681;flip:x;height:0;width:526415;" filled="f" stroked="t" coordsize="21600,21600" o:gfxdata="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NUjwvQAA&#10;ANsAAAAPAAAAAAAAAAEAIAAAACIAAABkcnMvZG93bnJldi54bWxQSwECFAAUAAAACACHTuJAMy8F&#10;njsAAAA5AAAAEAAAAAAAAAABACAAAAAMAQAAZHJzL3NoYXBleG1sLnhtbFBLBQYAAAAABgAGAFsB&#10;AAC2AwAAAAA=&#10;">
                      <v:fill on="f" focussize="0,0"/>
                      <v:stroke weight="0.5pt" color="#000000" joinstyle="miter" endarrow="block"/>
                      <v:imagedata o:title=""/>
                      <o:lock v:ext="edit" aspectratio="f"/>
                    </v:shape>
                    <v:shape id="_x0000_s1026" o:spid="_x0000_s1026" o:spt="32" type="#_x0000_t32" style="position:absolute;left:8604;top:1161689;flip:x;height:0;width:1156335;" filled="f" stroked="t" coordsize="21600,21600" o:gfxdata="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nta74A&#10;AADbAAAADwAAAAAAAAABACAAAAAiAAAAZHJzL2Rvd25yZXYueG1sUEsBAhQAFAAAAAgAh07iQDMv&#10;BZ47AAAAOQAAABAAAAAAAAAAAQAgAAAADQEAAGRycy9zaGFwZXhtbC54bWxQSwUGAAAAAAYABgBb&#10;AQAAtwMAAAAA&#10;">
                      <v:fill on="f" focussize="0,0"/>
                      <v:stroke weight="0.5pt" color="#000000" joinstyle="miter" endarrow="block"/>
                      <v:imagedata o:title=""/>
                      <o:lock v:ext="edit" aspectratio="f"/>
                    </v:shape>
                    <v:shape id="_x0000_s1026" o:spid="_x0000_s1026" o:spt="32" type="#_x0000_t32" style="position:absolute;left:3923071;top:1828309;height:0;width:1374775;" filled="f" stroked="t" coordsize="21600,21600" o:gfxdata="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1yPbsAAADb&#10;AAAADwAAAAAAAAABACAAAAAiAAAAZHJzL2Rvd25yZXYueG1sUEsBAhQAFAAAAAgAh07iQDMvBZ47&#10;AAAAOQAAABAAAAAAAAAAAQAgAAAACgEAAGRycy9zaGFwZXhtbC54bWxQSwUGAAAAAAYABgBbAQAA&#10;tAMAAAAA&#10;">
                      <v:fill on="f" focussize="0,0"/>
                      <v:stroke weight="0.5pt" color="#000000" joinstyle="miter" endarrow="block"/>
                      <v:imagedata o:title=""/>
                      <o:lock v:ext="edit" aspectratio="f"/>
                    </v:shape>
                    <v:shape id="_x0000_s1026" o:spid="_x0000_s1026" o:spt="32" type="#_x0000_t32" style="position:absolute;left:5090652;top:681714;height:325755;width:0;" filled="f" stroked="t" coordsize="21600,21600" o:gfxdata="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IdemvQAA&#10;ANsAAAAPAAAAAAAAAAEAIAAAACIAAABkcnMvZG93bnJldi54bWxQSwECFAAUAAAACACHTuJAMy8F&#10;njsAAAA5AAAAEAAAAAAAAAABACAAAAAMAQAAZHJzL3NoYXBleG1sLnhtbFBLBQYAAAAABgAGAFsB&#10;AAC2AwAAAAA=&#10;">
                      <v:fill on="f" focussize="0,0"/>
                      <v:stroke weight="0.5pt" color="#000000" joinstyle="miter" endarrow="block"/>
                      <v:imagedata o:title=""/>
                      <o:lock v:ext="edit" aspectratio="f"/>
                    </v:shape>
                    <v:group id="组合 48" o:spid="_x0000_s1026" o:spt="203" style="position:absolute;left:0;top:0;height:2009898;width:5331551;" coordsize="5331551,2009898"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rect id="_x0000_s1026" o:spid="_x0000_s1026" o:spt="1" style="position:absolute;left:4427220;top:1005840;height:325755;width:875030;" fillcolor="#FFFFFF" filled="t" stroked="t" coordsize="21600,21600" o:gfxdata="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eZqtO/&#10;AAAA2w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4FF560FB">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SCR脱硝</w:t>
                              </w:r>
                            </w:p>
                          </w:txbxContent>
                        </v:textbox>
                      </v:rect>
                      <v:rect id="_x0000_s1026" o:spid="_x0000_s1026" o:spt="1" style="position:absolute;left:3055620;top:990600;height:325755;width:875030;" fillcolor="#FFFFFF" filled="t" stroked="t" coordsize="21600,21600" o:gfxdata="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epWT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0505B08E">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组合式反应器</w:t>
                              </w:r>
                            </w:p>
                          </w:txbxContent>
                        </v:textbox>
                      </v:rect>
                      <v:rect id="_x0000_s1026" o:spid="_x0000_s1026" o:spt="1" style="position:absolute;left:1181100;top:1005840;height:325755;width:891540;" fillcolor="#FFFFFF" filled="t" stroked="t" coordsize="21600,21600" o:gfxdata="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NjAI&#10;wAAAANsAAAAPAAAAAAAAAAEAIAAAACIAAABkcnMvZG93bnJldi54bWxQSwECFAAUAAAACACHTuJA&#10;My8FnjsAAAA5AAAAEAAAAAAAAAABACAAAAAPAQAAZHJzL3NoYXBleG1sLnhtbFBLBQYAAAAABgAG&#10;AFsBAAC5AwAAAAA=&#10;">
                        <v:fill on="t" focussize="0,0"/>
                        <v:stroke weight="1pt" color="#000000" joinstyle="miter"/>
                        <v:imagedata o:title=""/>
                        <o:lock v:ext="edit" aspectratio="f"/>
                        <v:textbox>
                          <w:txbxContent>
                            <w:p w14:paraId="29F0521D">
                              <w:pPr>
                                <w:autoSpaceDN w:val="0"/>
                                <w:rPr>
                                  <w:rFonts w:ascii="宋体" w:hAnsi="宋体" w:eastAsia="宋体" w:cs="Times New Roman"/>
                                  <w:sz w:val="18"/>
                                  <w:szCs w:val="18"/>
                                </w:rPr>
                              </w:pPr>
                              <w:r>
                                <w:rPr>
                                  <w:rFonts w:hint="eastAsia" w:ascii="宋体" w:hAnsi="宋体" w:eastAsia="宋体" w:cs="Times New Roman"/>
                                  <w:color w:val="000000"/>
                                  <w:sz w:val="18"/>
                                  <w:szCs w:val="18"/>
                                  <w:lang w:bidi="ar"/>
                                </w:rPr>
                                <w:t>硫酸蒸汽冷凝</w:t>
                              </w:r>
                            </w:p>
                          </w:txbxContent>
                        </v:textbox>
                      </v:rect>
                      <v:rect id="_x0000_s1026" o:spid="_x0000_s1026" o:spt="1" style="position:absolute;left:1181100;top:1684020;height:325878;width:875067;" fillcolor="#FFFFFF" filled="t" stroked="t" coordsize="21600,21600" o:gfxdata="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krn+/&#10;AAAA2w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622E5A97">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硫酸混合罐</w:t>
                              </w:r>
                            </w:p>
                          </w:txbxContent>
                        </v:textbox>
                      </v:rect>
                      <v:rect id="_x0000_s1026" o:spid="_x0000_s1026" o:spt="1" style="position:absolute;left:3025140;top:1684020;height:325878;width:875154;" fillcolor="#FFFFFF" filled="t" stroked="t" coordsize="21600,21600" o:gfxdata="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qAvk&#10;wAAAANsAAAAPAAAAAAAAAAEAIAAAACIAAABkcnMvZG93bnJldi54bWxQSwECFAAUAAAACACHTuJA&#10;My8FnjsAAAA5AAAAEAAAAAAAAAABACAAAAAPAQAAZHJzL3NoYXBleG1sLnhtbFBLBQYAAAAABgAG&#10;AFsBAAC5AwAAAAA=&#10;">
                        <v:fill on="t" focussize="0,0"/>
                        <v:stroke weight="1pt" color="#000000" joinstyle="miter"/>
                        <v:imagedata o:title=""/>
                        <o:lock v:ext="edit" aspectratio="f"/>
                        <v:textbox>
                          <w:txbxContent>
                            <w:p w14:paraId="27A775E2">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硫酸水冷器</w:t>
                              </w:r>
                            </w:p>
                          </w:txbxContent>
                        </v:textbox>
                      </v:rect>
                      <v:shape id="_x0000_s1026" o:spid="_x0000_s1026" o:spt="32" type="#_x0000_t32" style="position:absolute;left:2087880;top:1158240;flip:x;height:0;width:969010;" filled="f" stroked="t" coordsize="21600,21600" o:gfxdata="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uzeLb4A&#10;AADbAAAADwAAAAAAAAABACAAAAAiAAAAZHJzL2Rvd25yZXYueG1sUEsBAhQAFAAAAAgAh07iQDMv&#10;BZ47AAAAOQAAABAAAAAAAAAAAQAgAAAADQEAAGRycy9zaGFwZXhtbC54bWxQSwUGAAAAAAYABgBb&#10;AQAAtwMAAAAA&#10;">
                        <v:fill on="f" focussize="0,0"/>
                        <v:stroke weight="0.5pt" color="#000000" joinstyle="miter" endarrow="block"/>
                        <v:imagedata o:title=""/>
                        <o:lock v:ext="edit" aspectratio="f"/>
                      </v:shape>
                      <v:shape id="_x0000_s1026" o:spid="_x0000_s1026" o:spt="32" type="#_x0000_t32" style="position:absolute;left:2042160;top:1836420;height:0;width:968375;" filled="f" stroked="t" coordsize="21600,21600" o:gfxdata="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2Z6l7sAAADb&#10;AAAADwAAAAAAAAABACAAAAAiAAAAZHJzL2Rvd25yZXYueG1sUEsBAhQAFAAAAAgAh07iQDMvBZ47&#10;AAAAOQAAABAAAAAAAAAAAQAgAAAACgEAAGRycy9zaGFwZXhtbC54bWxQSwUGAAAAAAYABgBbAQAA&#10;tAMAAAAA&#10;">
                        <v:fill on="f" focussize="0,0"/>
                        <v:stroke weight="0.5pt" color="#000000" joinstyle="miter" endarrow="block"/>
                        <v:imagedata o:title=""/>
                        <o:lock v:ext="edit" aspectratio="f"/>
                      </v:shape>
                      <v:rect id="_x0000_s1026" o:spid="_x0000_s1026" o:spt="1" style="position:absolute;left:38100;top:899160;height:280995;width:1008103;" filled="f" stroked="f" coordsize="21600,21600" o:gfxdata="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oKSTvQAA&#10;ANs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145C7CD3">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尾气去统一处理</w:t>
                              </w:r>
                            </w:p>
                          </w:txbxContent>
                        </v:textbox>
                      </v:rect>
                      <v:shape id="_x0000_s1026" o:spid="_x0000_s1026" o:spt="34" type="#_x0000_t34" style="position:absolute;left:1630680;top:1485900;flip:x y;height:342900;width:2659380;" filled="f" stroked="t" coordsize="21600,21600" o:gfxdata="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io6Mi8AAAA&#10;2wAAAA8AAAAAAAAAAQAgAAAAIgAAAGRycy9kb3ducmV2LnhtbFBLAQIUABQAAAAIAIdO4kAzLwWe&#10;OwAAADkAAAAQAAAAAAAAAAEAIAAAAAsBAABkcnMvc2hhcGV4bWwueG1sUEsFBgAAAAAGAAYAWwEA&#10;ALUDAAAAAA==&#10;" adj="165">
                        <v:fill on="f" focussize="0,0"/>
                        <v:stroke weight="0.5pt" color="#000000" joinstyle="miter" endarrow="block"/>
                        <v:imagedata o:title=""/>
                        <o:lock v:ext="edit" aspectratio="f"/>
                      </v:shape>
                      <v:rect id="_x0000_s1026" o:spid="_x0000_s1026" o:spt="1" style="position:absolute;left:4427220;top:1569720;height:270024;width:904331;" filled="f" stroked="f" coordsize="21600,21600" o:gfxdata="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XOVergAAADbAAAA&#10;DwAAAAAAAAABACAAAAAiAAAAZHJzL2Rvd25yZXYueG1sUEsBAhQAFAAAAAgAh07iQDMvBZ47AAAA&#10;OQAAABAAAAAAAAAAAQAgAAAABwEAAGRycy9zaGFwZXhtbC54bWxQSwUGAAAAAAYABgBbAQAAsQMA&#10;AAAA&#10;">
                        <v:fill on="f" focussize="0,0"/>
                        <v:stroke on="f" weight="1pt"/>
                        <v:imagedata o:title=""/>
                        <o:lock v:ext="edit" aspectratio="f"/>
                        <v:textbox>
                          <w:txbxContent>
                            <w:p w14:paraId="3499A708">
                              <w:pPr>
                                <w:autoSpaceDN w:val="0"/>
                                <w:jc w:val="center"/>
                                <w:rPr>
                                  <w:rFonts w:ascii="宋体" w:hAnsi="宋体" w:eastAsia="宋体" w:cs="Times New Roman"/>
                                  <w:sz w:val="18"/>
                                  <w:szCs w:val="18"/>
                                </w:rPr>
                              </w:pPr>
                              <w:r>
                                <w:rPr>
                                  <w:rFonts w:hint="eastAsia" w:ascii="宋体" w:hAnsi="宋体" w:eastAsia="宋体" w:cs="Times New Roman"/>
                                  <w:color w:val="000000"/>
                                  <w:szCs w:val="21"/>
                                  <w:lang w:bidi="ar"/>
                                </w:rPr>
                                <w:t xml:space="preserve"> </w:t>
                              </w:r>
                              <w:r>
                                <w:rPr>
                                  <w:rFonts w:ascii="宋体" w:hAnsi="宋体" w:eastAsia="宋体" w:cs="Times New Roman"/>
                                  <w:color w:val="000000"/>
                                  <w:sz w:val="18"/>
                                  <w:szCs w:val="18"/>
                                  <w:lang w:bidi="ar"/>
                                </w:rPr>
                                <w:t xml:space="preserve"> </w:t>
                              </w:r>
                              <w:r>
                                <w:rPr>
                                  <w:rFonts w:hint="eastAsia" w:ascii="宋体" w:hAnsi="宋体" w:eastAsia="宋体" w:cs="Times New Roman"/>
                                  <w:color w:val="000000"/>
                                  <w:sz w:val="18"/>
                                  <w:szCs w:val="18"/>
                                  <w:lang w:bidi="ar"/>
                                </w:rPr>
                                <w:t>硫酸</w:t>
                              </w:r>
                            </w:p>
                          </w:txbxContent>
                        </v:textbox>
                      </v:rect>
                      <v:group id="组合 59" o:spid="_x0000_s1026" o:spt="203" style="position:absolute;left:0;top:0;height:854096;width:5328285;" coordorigin="-562,504" coordsize="61371,9421"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rect id="_x0000_s1026" o:spid="_x0000_s1026" o:spt="1" style="position:absolute;left:8269;top:1431;height:3594;width:7194;" fillcolor="#FFFFFF" filled="t" stroked="t" coordsize="21600,21600" o:gfxdata="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0WXy68AAAA&#10;2wAAAA8AAAAAAAAAAQAgAAAAIgAAAGRycy9kb3ducmV2LnhtbFBLAQIUABQAAAAIAIdO4kAzLwWe&#10;OwAAADkAAAAQAAAAAAAAAAEAIAAAAAsBAABkcnMvc2hhcGV4bWwueG1sUEsFBgAAAAAGAAYAWwEA&#10;ALUDAAAAAA==&#10;">
                          <v:fill on="t" focussize="0,0"/>
                          <v:stroke weight="1pt" color="#000000" joinstyle="miter"/>
                          <v:imagedata o:title=""/>
                          <o:lock v:ext="edit" aspectratio="f"/>
                          <v:textbox>
                            <w:txbxContent>
                              <w:p w14:paraId="068812C0">
                                <w:pPr>
                                  <w:autoSpaceDN w:val="0"/>
                                  <w:jc w:val="center"/>
                                  <w:rPr>
                                    <w:rFonts w:ascii="宋体" w:hAnsi="宋体" w:eastAsia="宋体" w:cs="Times New Roman"/>
                                    <w:szCs w:val="21"/>
                                  </w:rPr>
                                </w:pPr>
                                <w:r>
                                  <w:rPr>
                                    <w:rFonts w:hint="eastAsia" w:ascii="宋体" w:hAnsi="宋体" w:eastAsia="宋体" w:cs="Times New Roman"/>
                                    <w:color w:val="000000"/>
                                    <w:sz w:val="18"/>
                                    <w:szCs w:val="18"/>
                                    <w:lang w:bidi="ar"/>
                                  </w:rPr>
                                  <w:t>预热</w:t>
                                </w:r>
                              </w:p>
                            </w:txbxContent>
                          </v:textbox>
                        </v:rect>
                        <v:shape id="_x0000_s1026" o:spid="_x0000_s1026" o:spt="32" type="#_x0000_t32" style="position:absolute;left:0;top:3180;height:0;width:8269;" filled="f" stroked="t" coordsize="21600,21600" o:gfxdata="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4xtim8AAAA&#10;2wAAAA8AAAAAAAAAAQAgAAAAIgAAAGRycy9kb3ducmV2LnhtbFBLAQIUABQAAAAIAIdO4kAzLwWe&#10;OwAAADkAAAAQAAAAAAAAAAEAIAAAAAsBAABkcnMvc2hhcGV4bWwueG1sUEsFBgAAAAAGAAYAWwEA&#10;ALUDAAAAAA==&#10;">
                          <v:fill on="f" focussize="0,0"/>
                          <v:stroke weight="0.5pt" color="#000000" joinstyle="miter" endarrow="block"/>
                          <v:imagedata o:title=""/>
                          <o:lock v:ext="edit" aspectratio="f"/>
                        </v:shape>
                        <v:rect id="_x0000_s1026" o:spid="_x0000_s1026" o:spt="1" style="position:absolute;left:-562;top:504;height:2982;width:7646;" filled="f" stroked="f" coordsize="21600,21600" o:gfxdata="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vdoLbsAAADb&#10;AAAADwAAAAAAAAABACAAAAAiAAAAZHJzL2Rvd25yZXYueG1sUEsBAhQAFAAAAAgAh07iQDMvBZ47&#10;AAAAOQAAABAAAAAAAAAAAQAgAAAACgEAAGRycy9zaGFwZXhtbC54bWxQSwUGAAAAAAYABgBbAQAA&#10;tAMAAAAA&#10;">
                          <v:fill on="f" focussize="0,0"/>
                          <v:stroke on="f" weight="1pt"/>
                          <v:imagedata o:title=""/>
                          <o:lock v:ext="edit" aspectratio="f"/>
                          <v:textbox>
                            <w:txbxContent>
                              <w:p w14:paraId="6A126D23">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净化窑气</w:t>
                                </w:r>
                              </w:p>
                            </w:txbxContent>
                          </v:textbox>
                        </v:rect>
                        <v:rect id="_x0000_s1026" o:spid="_x0000_s1026" o:spt="1" style="position:absolute;left:21468;top:1510;height:3594;width:7195;" fillcolor="#FFFFFF" filled="t" stroked="t" coordsize="21600,21600" o:gfxdata="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9xMFZ&#10;wAAAANsAAAAPAAAAAAAAAAEAIAAAACIAAABkcnMvZG93bnJldi54bWxQSwECFAAUAAAACACHTuJA&#10;My8FnjsAAAA5AAAAEAAAAAAAAAABACAAAAAPAQAAZHJzL3NoYXBleG1sLnhtbFBLBQYAAAAABgAG&#10;AFsBAAC5AwAAAAA=&#10;">
                          <v:fill on="t" focussize="0,0"/>
                          <v:stroke weight="1pt" color="#000000" joinstyle="miter"/>
                          <v:imagedata o:title=""/>
                          <o:lock v:ext="edit" aspectratio="f"/>
                          <v:textbox>
                            <w:txbxContent>
                              <w:p w14:paraId="5334F8AC">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主风机</w:t>
                                </w:r>
                              </w:p>
                            </w:txbxContent>
                          </v:textbox>
                        </v:rect>
                        <v:shape id="_x0000_s1026" o:spid="_x0000_s1026" o:spt="32" type="#_x0000_t32" style="position:absolute;left:15346;top:3260;height:0;width:6120;" filled="f" stroked="t" coordsize="21600,21600" o:gfxdata="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kYVsbsAAADb&#10;AAAADwAAAAAAAAABACAAAAAiAAAAZHJzL2Rvd25yZXYueG1sUEsBAhQAFAAAAAgAh07iQDMvBZ47&#10;AAAAOQAAABAAAAAAAAAAAQAgAAAACgEAAGRycy9zaGFwZXhtbC54bWxQSwUGAAAAAAYABgBbAQAA&#10;tAMAAAAA&#10;">
                          <v:fill on="f" focussize="0,0"/>
                          <v:stroke weight="0.5pt" color="#000000" joinstyle="miter" endarrow="block"/>
                          <v:imagedata o:title=""/>
                          <o:lock v:ext="edit" aspectratio="f"/>
                        </v:shape>
                        <v:rect id="_x0000_s1026" o:spid="_x0000_s1026" o:spt="1" style="position:absolute;left:34588;top:1431;height:3594;width:10080;" fillcolor="#FFFFFF" filled="t" stroked="t" coordsize="21600,21600" o:gfxdata="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Yfy2&#10;wAAAANsAAAAPAAAAAAAAAAEAIAAAACIAAABkcnMvZG93bnJldi54bWxQSwECFAAUAAAACACHTuJA&#10;My8FnjsAAAA5AAAAEAAAAAAAAAABACAAAAAPAQAAZHJzL3NoYXBleG1sLnhtbFBLBQYAAAAABgAG&#10;AFsBAAC5AwAAAAA=&#10;">
                          <v:fill on="t" focussize="0,0"/>
                          <v:stroke weight="1pt" color="#000000" joinstyle="miter"/>
                          <v:imagedata o:title=""/>
                          <o:lock v:ext="edit" aspectratio="f"/>
                          <v:textbox>
                            <w:txbxContent>
                              <w:p w14:paraId="12C89D5F">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第二段间换热</w:t>
                                </w:r>
                              </w:p>
                            </w:txbxContent>
                          </v:textbox>
                        </v:rect>
                        <v:shape id="_x0000_s1026" o:spid="_x0000_s1026" o:spt="32" type="#_x0000_t32" style="position:absolute;left:28545;top:3180;height:0;width:6115;" filled="f" stroked="t" coordsize="21600,21600" o:gfxdata="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dguXbsAAADb&#10;AAAADwAAAAAAAAABACAAAAAiAAAAZHJzL2Rvd25yZXYueG1sUEsBAhQAFAAAAAgAh07iQDMvBZ47&#10;AAAAOQAAABAAAAAAAAAAAQAgAAAACgEAAGRycy9zaGFwZXhtbC54bWxQSwUGAAAAAAYABgBbAQAA&#10;tAMAAAAA&#10;">
                          <v:fill on="f" focussize="0,0"/>
                          <v:stroke weight="0.5pt" color="#000000" joinstyle="miter" endarrow="block"/>
                          <v:imagedata o:title=""/>
                          <o:lock v:ext="edit" aspectratio="f"/>
                        </v:shape>
                        <v:rect id="_x0000_s1026" o:spid="_x0000_s1026" o:spt="1" style="position:absolute;left:50729;top:1851;height:3594;width:10080;" fillcolor="#FFFFFF" filled="t" stroked="t" coordsize="21600,21600" o:gfxdata="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x1q/&#10;AAAA2w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766E58C5">
                                <w:pPr>
                                  <w:autoSpaceDN w:val="0"/>
                                  <w:jc w:val="center"/>
                                  <w:rPr>
                                    <w:rFonts w:ascii="宋体" w:hAnsi="宋体" w:eastAsia="宋体" w:cs="Times New Roman"/>
                                    <w:szCs w:val="21"/>
                                  </w:rPr>
                                </w:pPr>
                                <w:r>
                                  <w:rPr>
                                    <w:rFonts w:hint="eastAsia" w:ascii="宋体" w:hAnsi="宋体" w:eastAsia="宋体" w:cs="Times New Roman"/>
                                    <w:color w:val="000000"/>
                                    <w:sz w:val="18"/>
                                    <w:szCs w:val="18"/>
                                    <w:lang w:bidi="ar"/>
                                  </w:rPr>
                                  <w:t>第一段间换热</w:t>
                                </w:r>
                              </w:p>
                            </w:txbxContent>
                          </v:textbox>
                        </v:rect>
                        <v:shape id="_x0000_s1026" o:spid="_x0000_s1026" o:spt="32" type="#_x0000_t32" style="position:absolute;left:44606;top:3180;height:0;width:6115;" filled="f" stroked="t" coordsize="21600,21600" o:gfxdata="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Cx+0ugAAANsA&#10;AAAPAAAAAAAAAAEAIAAAACIAAABkcnMvZG93bnJldi54bWxQSwECFAAUAAAACACHTuJAMy8FnjsA&#10;AAA5AAAAEAAAAAAAAAABACAAAAAJAQAAZHJzL3NoYXBleG1sLnhtbFBLBQYAAAAABgAGAFsBAACz&#10;AwAAAAA=&#10;">
                          <v:fill on="f" focussize="0,0"/>
                          <v:stroke weight="0.5pt" color="#000000" joinstyle="miter" endarrow="block"/>
                          <v:imagedata o:title=""/>
                          <o:lock v:ext="edit" aspectratio="f"/>
                        </v:shape>
                        <v:rect id="_x0000_s1026" o:spid="_x0000_s1026" o:spt="1" style="position:absolute;left:34508;top:6331;height:3594;width:10078;" fillcolor="#FFFFFF" filled="t" stroked="t" coordsize="21600,21600" o:gfxdata="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s9rO/&#10;AAAA2w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0501BF44">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第三段间换热</w:t>
                                </w:r>
                              </w:p>
                            </w:txbxContent>
                          </v:textbox>
                        </v:rect>
                        <v:shape id="_x0000_s1026" o:spid="_x0000_s1026" o:spt="34" type="#_x0000_t34" style="position:absolute;left:28751;top:4005;height:3955;width:5757;" filled="f" stroked="t" coordsize="21600,21600" o:gfxdata="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dZV44twAAANsAAAAP&#10;AAAAAAAAAAEAIAAAACIAAABkcnMvZG93bnJldi54bWxQSwECFAAUAAAACACHTuJAMy8FnjsAAAA5&#10;AAAAEAAAAAAAAAABACAAAAAGAQAAZHJzL3NoYXBleG1sLnhtbFBLBQYAAAAABgAGAFsBAACwAwAA&#10;AAA=&#10;" adj="10800">
                          <v:fill on="f" focussize="0,0"/>
                          <v:stroke weight="0.5pt" color="#000000" joinstyle="miter" endarrow="block"/>
                          <v:imagedata o:title=""/>
                          <o:lock v:ext="edit" aspectratio="f"/>
                        </v:shape>
                        <v:shape id="_x0000_s1026" o:spid="_x0000_s1026" o:spt="34" type="#_x0000_t34" style="position:absolute;left:44586;top:4143;flip:y;height:4153;width:6135;" filled="f" stroked="t" coordsize="21600,21600" o:gfxdata="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0req/&#10;AAAA2wAAAA8AAAAAAAAAAQAgAAAAIgAAAGRycy9kb3ducmV2LnhtbFBLAQIUABQAAAAIAIdO4kAz&#10;LwWeOwAAADkAAAAQAAAAAAAAAAEAIAAAAA4BAABkcnMvc2hhcGV4bWwueG1sUEsFBgAAAAAGAAYA&#10;WwEAALgDAAAAAA==&#10;" adj="10800">
                          <v:fill on="f" focussize="0,0"/>
                          <v:stroke weight="0.5pt" color="#000000" joinstyle="miter" endarrow="block"/>
                          <v:imagedata o:title=""/>
                          <o:lock v:ext="edit" aspectratio="f"/>
                        </v:shape>
                        <v:line id="_x0000_s1026" o:spid="_x0000_s1026" o:spt="20" style="position:absolute;left:0;top:7441;height:0;width:18447;" filled="f" stroked="t" coordsize="21600,21600" o:gfxdata="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sTovQAA&#10;ANs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shape id="_x0000_s1026" o:spid="_x0000_s1026" o:spt="32" type="#_x0000_t32" style="position:absolute;left:18447;top:3260;flip:y;height:4181;width:0;" filled="f" stroked="t" coordsize="21600,21600" o:gfxdata="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rAaOb4A&#10;AADbAAAADwAAAAAAAAABACAAAAAiAAAAZHJzL2Rvd25yZXYueG1sUEsBAhQAFAAAAAgAh07iQDMv&#10;BZ47AAAAOQAAABAAAAAAAAAAAQAgAAAADQEAAGRycy9zaGFwZXhtbC54bWxQSwUGAAAAAAYABgBb&#10;AQAAtwMAAAAA&#10;">
                          <v:fill on="f" focussize="0,0"/>
                          <v:stroke weight="0.5pt" color="#000000" joinstyle="miter" endarrow="block"/>
                          <v:imagedata o:title=""/>
                          <o:lock v:ext="edit" aspectratio="f"/>
                        </v:shape>
                        <v:rect id="_x0000_s1026" o:spid="_x0000_s1026" o:spt="1" style="position:absolute;left:318;top:4761;height:3564;width:7469;" filled="f" stroked="f" coordsize="21600,21600" o:gfxdata="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uLwx+8AAAA&#10;2wAAAA8AAAAAAAAAAQAgAAAAIgAAAGRycy9kb3ducmV2LnhtbFBLAQIUABQAAAAIAIdO4kAzLwWe&#10;OwAAADkAAAAQAAAAAAAAAAEAIAAAAAsBAABkcnMvc2hhcGV4bWwueG1sUEsFBgAAAAAGAAYAWwEA&#10;ALUDAAAAAA==&#10;">
                          <v:fill on="f" focussize="0,0"/>
                          <v:stroke on="f" weight="1pt"/>
                          <v:imagedata o:title=""/>
                          <o:lock v:ext="edit" aspectratio="f"/>
                          <v:textbox>
                            <w:txbxContent>
                              <w:p w14:paraId="735643CE">
                                <w:pPr>
                                  <w:autoSpaceDN w:val="0"/>
                                  <w:jc w:val="center"/>
                                  <w:rPr>
                                    <w:rFonts w:ascii="宋体" w:hAnsi="宋体" w:eastAsia="宋体" w:cs="Times New Roman"/>
                                    <w:sz w:val="18"/>
                                    <w:szCs w:val="18"/>
                                  </w:rPr>
                                </w:pPr>
                                <w:r>
                                  <w:rPr>
                                    <w:rFonts w:hint="eastAsia" w:ascii="宋体" w:hAnsi="宋体" w:eastAsia="宋体" w:cs="Times New Roman"/>
                                    <w:color w:val="000000"/>
                                    <w:sz w:val="18"/>
                                    <w:szCs w:val="18"/>
                                    <w:lang w:bidi="ar"/>
                                  </w:rPr>
                                  <w:t>空气</w:t>
                                </w:r>
                              </w:p>
                            </w:txbxContent>
                          </v:textbox>
                        </v:rect>
                      </v:group>
                    </v:group>
                  </v:group>
                </v:group>
                <v:shape id="文本框 2" o:spid="_x0000_s1026" o:spt="202" type="#_x0000_t202" style="position:absolute;left:-161528;top:2132965;height:316230;width:5564382;" fillcolor="#FFFFFF" filled="t" stroked="f" coordsize="21600,21600" o:gfxdata="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XJ0m8AAAA&#10;3AAAAA8AAAAAAAAAAQAgAAAAIgAAAGRycy9kb3ducmV2LnhtbFBLAQIUABQAAAAIAIdO4kAzLwWe&#10;OwAAADkAAAAQAAAAAAAAAAEAIAAAAAsBAABkcnMvc2hhcGV4bWwueG1sUEsFBgAAAAAGAAYAWwEA&#10;ALUDAAAAAA==&#10;">
                  <v:fill on="t" focussize="0,0"/>
                  <v:stroke on="f" miterlimit="8" joinstyle="miter"/>
                  <v:imagedata o:title=""/>
                  <o:lock v:ext="edit" aspectratio="f"/>
                  <v:textbox>
                    <w:txbxContent>
                      <w:p w14:paraId="50D96B4C">
                        <w:pPr>
                          <w:jc w:val="center"/>
                          <w:rPr>
                            <w:rFonts w:ascii="Times New Roman" w:hAnsi="Times New Roman" w:eastAsia="楷体" w:cs="Times New Roman"/>
                            <w:b/>
                            <w:color w:val="231F20"/>
                            <w:sz w:val="24"/>
                            <w:szCs w:val="24"/>
                          </w:rPr>
                        </w:pPr>
                        <w:bookmarkStart w:id="5" w:name="OLE_LINK13"/>
                        <w:bookmarkStart w:id="6" w:name="OLE_LINK12"/>
                        <w:bookmarkStart w:id="7" w:name="_Hlk231892460"/>
                        <w:r>
                          <w:rPr>
                            <w:rFonts w:ascii="Times New Roman" w:hAnsi="Times New Roman" w:eastAsia="楷体" w:cs="Times New Roman"/>
                            <w:b/>
                            <w:color w:val="231F20"/>
                            <w:sz w:val="24"/>
                            <w:szCs w:val="24"/>
                          </w:rPr>
                          <w:t>图1 分解工业石膏和裂解废硫酸窑气湿法制硫酸工艺流程</w:t>
                        </w:r>
                        <w:bookmarkEnd w:id="5"/>
                        <w:bookmarkEnd w:id="6"/>
                        <w:bookmarkEnd w:id="7"/>
                      </w:p>
                    </w:txbxContent>
                  </v:textbox>
                </v:shape>
                <w10:wrap type="none"/>
                <w10:anchorlock/>
              </v:group>
            </w:pict>
          </mc:Fallback>
        </mc:AlternateContent>
      </w:r>
    </w:p>
    <w:p w14:paraId="67FCBA2C">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催化氧化、硫酸蒸汽冷凝、硫酸降温及调质、装置热量回收、尾气深度处理6个工序。该装置工艺气中的水分不需要做干燥处理，全流程均在过程气含水的条件下进行，特别是制硫酸工段通过硫酸蒸汽冷凝制备硫酸。该分解工业石膏和裂解废硫酸窑气湿法制硫酸装置工艺流程见图1。具体反应原理和过程描述如下：</w:t>
      </w:r>
    </w:p>
    <w:p w14:paraId="4C8ECFC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（1）SCR脱硝。含SO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的净化窑气经过窑气预热器预热后，进入组合式反应器的第二、第三段间换热器升温，合并后再进入第一段间换热器，利用组合式反应器的反应热升温至390℃后，进入SCR反应器，进料中含有一定量的NOx。界区外氨水蒸发出的氨气引入SCR反应器前端，部分净化窑气经电加热器加热后补入气氨中预混，用于稀释气氨浓度。该气体与出第一段间接换热器的工艺气混合， 通过选择性催化还原（SCR）将燃烧产物中的NOx还原为N</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 xml:space="preserve">。 </w:t>
      </w:r>
    </w:p>
    <w:p w14:paraId="2DD8F7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2NO</w:t>
      </w:r>
      <w:r>
        <w:rPr>
          <w:rFonts w:hint="eastAsia" w:ascii="宋体" w:hAnsi="宋体" w:eastAsia="宋体" w:cs="宋体"/>
          <w:sz w:val="21"/>
          <w:szCs w:val="21"/>
          <w:vertAlign w:val="subscript"/>
        </w:rPr>
        <w:t>2</w:t>
      </w:r>
      <w:r>
        <w:rPr>
          <w:rFonts w:hint="eastAsia" w:ascii="宋体" w:hAnsi="宋体" w:eastAsia="宋体" w:cs="宋体"/>
          <w:sz w:val="21"/>
          <w:szCs w:val="21"/>
        </w:rPr>
        <w:t>+4NH</w:t>
      </w:r>
      <w:r>
        <w:rPr>
          <w:rFonts w:hint="eastAsia" w:ascii="宋体" w:hAnsi="宋体" w:eastAsia="宋体" w:cs="宋体"/>
          <w:sz w:val="21"/>
          <w:szCs w:val="21"/>
          <w:vertAlign w:val="subscript"/>
        </w:rPr>
        <w:t>3</w:t>
      </w:r>
      <w:r>
        <w:rPr>
          <w:rFonts w:hint="eastAsia" w:ascii="宋体" w:hAnsi="宋体" w:eastAsia="宋体" w:cs="宋体"/>
          <w:sz w:val="21"/>
          <w:szCs w:val="21"/>
        </w:rPr>
        <w:t>+O</w:t>
      </w:r>
      <w:r>
        <w:rPr>
          <w:rFonts w:hint="eastAsia" w:ascii="宋体" w:hAnsi="宋体" w:eastAsia="宋体" w:cs="宋体"/>
          <w:sz w:val="21"/>
          <w:szCs w:val="21"/>
          <w:vertAlign w:val="subscript"/>
        </w:rPr>
        <w:t>2</w:t>
      </w:r>
      <w:bookmarkStart w:id="1" w:name="OLE_LINK9"/>
      <w:bookmarkStart w:id="2" w:name="OLE_LINK7"/>
      <w:r>
        <w:rPr>
          <w:rFonts w:hint="eastAsia" w:ascii="宋体" w:hAnsi="宋体" w:eastAsia="宋体" w:cs="宋体"/>
          <w:sz w:val="21"/>
          <w:szCs w:val="21"/>
        </w:rPr>
        <w:t>→</w:t>
      </w:r>
      <w:bookmarkEnd w:id="1"/>
      <w:bookmarkEnd w:id="2"/>
      <w:r>
        <w:rPr>
          <w:rFonts w:hint="eastAsia" w:ascii="宋体" w:hAnsi="宋体" w:eastAsia="宋体" w:cs="宋体"/>
          <w:sz w:val="21"/>
          <w:szCs w:val="21"/>
        </w:rPr>
        <w:t>3N</w:t>
      </w:r>
      <w:r>
        <w:rPr>
          <w:rFonts w:hint="eastAsia" w:ascii="宋体" w:hAnsi="宋体" w:eastAsia="宋体" w:cs="宋体"/>
          <w:sz w:val="21"/>
          <w:szCs w:val="21"/>
          <w:vertAlign w:val="subscript"/>
        </w:rPr>
        <w:t>2</w:t>
      </w:r>
      <w:r>
        <w:rPr>
          <w:rFonts w:hint="eastAsia" w:ascii="宋体" w:hAnsi="宋体" w:eastAsia="宋体" w:cs="宋体"/>
          <w:sz w:val="21"/>
          <w:szCs w:val="21"/>
        </w:rPr>
        <w:t>+6H</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O+反应热；   </w:t>
      </w:r>
      <w:r>
        <w:rPr>
          <w:rFonts w:hint="eastAsia" w:ascii="宋体" w:hAnsi="宋体" w:eastAsia="宋体" w:cs="宋体"/>
          <w:color w:val="231F20"/>
          <w:sz w:val="21"/>
          <w:szCs w:val="21"/>
        </w:rPr>
        <w:t>（1）</w:t>
      </w:r>
    </w:p>
    <w:p w14:paraId="5D71F33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6NO</w:t>
      </w:r>
      <w:r>
        <w:rPr>
          <w:rFonts w:hint="eastAsia" w:ascii="宋体" w:hAnsi="宋体" w:eastAsia="宋体" w:cs="宋体"/>
          <w:sz w:val="21"/>
          <w:szCs w:val="21"/>
          <w:vertAlign w:val="subscript"/>
        </w:rPr>
        <w:t>2</w:t>
      </w:r>
      <w:r>
        <w:rPr>
          <w:rFonts w:hint="eastAsia" w:ascii="宋体" w:hAnsi="宋体" w:eastAsia="宋体" w:cs="宋体"/>
          <w:sz w:val="21"/>
          <w:szCs w:val="21"/>
        </w:rPr>
        <w:t>+4NH</w:t>
      </w:r>
      <w:r>
        <w:rPr>
          <w:rFonts w:hint="eastAsia" w:ascii="宋体" w:hAnsi="宋体" w:eastAsia="宋体" w:cs="宋体"/>
          <w:sz w:val="21"/>
          <w:szCs w:val="21"/>
          <w:vertAlign w:val="subscript"/>
        </w:rPr>
        <w:t xml:space="preserve">3 </w:t>
      </w:r>
      <w:r>
        <w:rPr>
          <w:rFonts w:hint="eastAsia" w:ascii="宋体" w:hAnsi="宋体" w:eastAsia="宋体" w:cs="宋体"/>
          <w:sz w:val="21"/>
          <w:szCs w:val="21"/>
        </w:rPr>
        <w:t>→7N</w:t>
      </w:r>
      <w:r>
        <w:rPr>
          <w:rFonts w:hint="eastAsia" w:ascii="宋体" w:hAnsi="宋体" w:eastAsia="宋体" w:cs="宋体"/>
          <w:sz w:val="21"/>
          <w:szCs w:val="21"/>
          <w:vertAlign w:val="subscript"/>
        </w:rPr>
        <w:t>2</w:t>
      </w:r>
      <w:r>
        <w:rPr>
          <w:rFonts w:hint="eastAsia" w:ascii="宋体" w:hAnsi="宋体" w:eastAsia="宋体" w:cs="宋体"/>
          <w:sz w:val="21"/>
          <w:szCs w:val="21"/>
        </w:rPr>
        <w:t>+12H</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O+反应热。     </w:t>
      </w:r>
      <w:r>
        <w:rPr>
          <w:rFonts w:hint="eastAsia" w:ascii="宋体" w:hAnsi="宋体" w:eastAsia="宋体" w:cs="宋体"/>
          <w:color w:val="231F20"/>
          <w:sz w:val="21"/>
          <w:szCs w:val="21"/>
        </w:rPr>
        <w:t>（2）</w:t>
      </w:r>
    </w:p>
    <w:p w14:paraId="6FA8923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（2）SO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催化氧化。脱硝后的净化窑气进入组合式反应器，该组合式反应器为“三床两换热”绝热床层结构，工艺气依次通过催化剂床层和段间换热器，在特殊的催化剂作用下，SO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转化为SO</w:t>
      </w:r>
      <w:r>
        <w:rPr>
          <w:rFonts w:hint="eastAsia" w:ascii="宋体" w:hAnsi="宋体" w:eastAsia="宋体" w:cs="宋体"/>
          <w:color w:val="231F20"/>
          <w:sz w:val="21"/>
          <w:szCs w:val="21"/>
          <w:vertAlign w:val="subscript"/>
        </w:rPr>
        <w:t>3</w:t>
      </w:r>
      <w:r>
        <w:rPr>
          <w:rFonts w:hint="eastAsia" w:ascii="宋体" w:hAnsi="宋体" w:eastAsia="宋体" w:cs="宋体"/>
          <w:color w:val="231F20"/>
          <w:sz w:val="21"/>
          <w:szCs w:val="21"/>
        </w:rPr>
        <w:t xml:space="preserve">。 </w:t>
      </w:r>
    </w:p>
    <w:p w14:paraId="59DF98A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2SO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+O</w:t>
      </w:r>
      <w:r>
        <w:rPr>
          <w:rFonts w:hint="eastAsia" w:ascii="宋体" w:hAnsi="宋体" w:eastAsia="宋体" w:cs="宋体"/>
          <w:color w:val="231F20"/>
          <w:sz w:val="21"/>
          <w:szCs w:val="21"/>
          <w:vertAlign w:val="subscript"/>
        </w:rPr>
        <w:t>2</w:t>
      </w:r>
      <w:r>
        <w:rPr>
          <w:rFonts w:hint="eastAsia" w:ascii="宋体" w:hAnsi="宋体" w:eastAsia="宋体" w:cs="宋体"/>
          <w:sz w:val="21"/>
          <w:szCs w:val="21"/>
        </w:rPr>
        <w:t>→2</w:t>
      </w:r>
      <w:r>
        <w:rPr>
          <w:rFonts w:hint="eastAsia" w:ascii="宋体" w:hAnsi="宋体" w:eastAsia="宋体" w:cs="宋体"/>
          <w:color w:val="231F20"/>
          <w:sz w:val="21"/>
          <w:szCs w:val="21"/>
        </w:rPr>
        <w:t>SO</w:t>
      </w:r>
      <w:r>
        <w:rPr>
          <w:rFonts w:hint="eastAsia" w:ascii="宋体" w:hAnsi="宋体" w:eastAsia="宋体" w:cs="宋体"/>
          <w:color w:val="231F20"/>
          <w:sz w:val="21"/>
          <w:szCs w:val="21"/>
          <w:vertAlign w:val="subscript"/>
        </w:rPr>
        <w:t>3</w:t>
      </w:r>
      <w:r>
        <w:rPr>
          <w:rFonts w:hint="eastAsia" w:ascii="宋体" w:hAnsi="宋体" w:eastAsia="宋体" w:cs="宋体"/>
          <w:color w:val="231F20"/>
          <w:sz w:val="21"/>
          <w:szCs w:val="21"/>
        </w:rPr>
        <w:t xml:space="preserve">+反应热。          （3） </w:t>
      </w:r>
    </w:p>
    <w:p w14:paraId="38EDDA4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 xml:space="preserve">考虑到反应速率和平衡转化率等因素，该步骤反应分级完成，各级之间有段间冷却器，通过冷却器移出反应热降低工艺气的反应温度，以提高平衡转化率。以气气换热的形式给最初风机升压后的净化窑气升温，最大程度地回收利用反应热。 </w:t>
      </w:r>
    </w:p>
    <w:p w14:paraId="14E315C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（3）硫酸蒸汽冷凝。在高温条件下，部分SO</w:t>
      </w:r>
      <w:r>
        <w:rPr>
          <w:rFonts w:hint="eastAsia" w:ascii="宋体" w:hAnsi="宋体" w:eastAsia="宋体" w:cs="宋体"/>
          <w:color w:val="231F20"/>
          <w:sz w:val="21"/>
          <w:szCs w:val="21"/>
          <w:vertAlign w:val="subscript"/>
        </w:rPr>
        <w:t>3</w:t>
      </w:r>
      <w:r>
        <w:rPr>
          <w:rFonts w:hint="eastAsia" w:ascii="宋体" w:hAnsi="宋体" w:eastAsia="宋体" w:cs="宋体"/>
          <w:color w:val="231F20"/>
          <w:sz w:val="21"/>
          <w:szCs w:val="21"/>
        </w:rPr>
        <w:t>水合反应生成H</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SO</w:t>
      </w:r>
      <w:r>
        <w:rPr>
          <w:rFonts w:hint="eastAsia" w:ascii="宋体" w:hAnsi="宋体" w:eastAsia="宋体" w:cs="宋体"/>
          <w:color w:val="231F20"/>
          <w:sz w:val="21"/>
          <w:szCs w:val="21"/>
          <w:vertAlign w:val="subscript"/>
        </w:rPr>
        <w:t>4</w:t>
      </w:r>
      <w:r>
        <w:rPr>
          <w:rFonts w:hint="eastAsia" w:ascii="宋体" w:hAnsi="宋体" w:eastAsia="宋体" w:cs="宋体"/>
          <w:color w:val="231F20"/>
          <w:sz w:val="21"/>
          <w:szCs w:val="21"/>
        </w:rPr>
        <w:t>蒸汽，随温度降低，水合反应的程度将加剧。离开工艺气冷却器的热工艺气进入硫酸蒸汽冷凝器，在该冷凝器内进一步降低温度， 促使硫酸蒸汽冷凝，热工艺气低于285℃后进入冷凝器，由下向上流动，通过空气与热工艺气的热量交换而降低工艺气的温度至90℃，伴随工艺气温度降低，硫酸蒸汽逐步冷凝于玻璃换热管上，结成 液滴，靠重力滴落在冷凝器的底部，形成液态酸并提浓。空气由冷却风机提压送至硫酸蒸汽冷凝器，进入管箱的顶部，管箱分左右两端，各部分通过内部隔板分割为多段，最终离开硫酸蒸汽冷凝器的空气温度为200 ℃，送至热量回收系统。</w:t>
      </w:r>
    </w:p>
    <w:p w14:paraId="5223130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 xml:space="preserve"> SO</w:t>
      </w:r>
      <w:r>
        <w:rPr>
          <w:rFonts w:hint="eastAsia" w:ascii="宋体" w:hAnsi="宋体" w:eastAsia="宋体" w:cs="宋体"/>
          <w:color w:val="231F20"/>
          <w:sz w:val="21"/>
          <w:szCs w:val="21"/>
          <w:vertAlign w:val="subscript"/>
        </w:rPr>
        <w:t>3</w:t>
      </w:r>
      <w:r>
        <w:rPr>
          <w:rFonts w:hint="eastAsia" w:ascii="宋体" w:hAnsi="宋体" w:eastAsia="宋体" w:cs="宋体"/>
          <w:color w:val="231F20"/>
          <w:sz w:val="21"/>
          <w:szCs w:val="21"/>
        </w:rPr>
        <w:t>(g)+ H</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O</w:t>
      </w:r>
      <w:bookmarkStart w:id="3" w:name="OLE_LINK10"/>
      <w:bookmarkStart w:id="4" w:name="OLE_LINK11"/>
      <w:r>
        <w:rPr>
          <w:rFonts w:hint="eastAsia" w:ascii="宋体" w:hAnsi="宋体" w:eastAsia="宋体" w:cs="宋体"/>
          <w:sz w:val="21"/>
          <w:szCs w:val="21"/>
        </w:rPr>
        <w:t>→</w:t>
      </w:r>
      <w:bookmarkEnd w:id="3"/>
      <w:bookmarkEnd w:id="4"/>
      <w:r>
        <w:rPr>
          <w:rFonts w:hint="eastAsia" w:ascii="宋体" w:hAnsi="宋体" w:eastAsia="宋体" w:cs="宋体"/>
          <w:color w:val="231F20"/>
          <w:sz w:val="21"/>
          <w:szCs w:val="21"/>
        </w:rPr>
        <w:t>H</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SO</w:t>
      </w:r>
      <w:r>
        <w:rPr>
          <w:rFonts w:hint="eastAsia" w:ascii="宋体" w:hAnsi="宋体" w:eastAsia="宋体" w:cs="宋体"/>
          <w:color w:val="231F20"/>
          <w:sz w:val="21"/>
          <w:szCs w:val="21"/>
          <w:vertAlign w:val="subscript"/>
        </w:rPr>
        <w:t>4</w:t>
      </w:r>
      <w:r>
        <w:rPr>
          <w:rFonts w:hint="eastAsia" w:ascii="宋体" w:hAnsi="宋体" w:eastAsia="宋体" w:cs="宋体"/>
          <w:color w:val="231F20"/>
          <w:sz w:val="21"/>
          <w:szCs w:val="21"/>
        </w:rPr>
        <w:t xml:space="preserve">(g)+反应热； （4） </w:t>
      </w:r>
    </w:p>
    <w:p w14:paraId="04871385">
      <w:pPr>
        <w:keepNext w:val="0"/>
        <w:keepLines w:val="0"/>
        <w:pageBreakBefore w:val="0"/>
        <w:widowControl w:val="0"/>
        <w:kinsoku/>
        <w:wordWrap/>
        <w:overflowPunct/>
        <w:topLinePunct w:val="0"/>
        <w:autoSpaceDE/>
        <w:autoSpaceDN/>
        <w:bidi w:val="0"/>
        <w:adjustRightInd w:val="0"/>
        <w:snapToGrid w:val="0"/>
        <w:spacing w:line="400" w:lineRule="exact"/>
        <w:ind w:firstLine="525" w:firstLineChars="25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H</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SO</w:t>
      </w:r>
      <w:r>
        <w:rPr>
          <w:rFonts w:hint="eastAsia" w:ascii="宋体" w:hAnsi="宋体" w:eastAsia="宋体" w:cs="宋体"/>
          <w:color w:val="231F20"/>
          <w:sz w:val="21"/>
          <w:szCs w:val="21"/>
          <w:vertAlign w:val="subscript"/>
        </w:rPr>
        <w:t>4</w:t>
      </w:r>
      <w:r>
        <w:rPr>
          <w:rFonts w:hint="eastAsia" w:ascii="宋体" w:hAnsi="宋体" w:eastAsia="宋体" w:cs="宋体"/>
          <w:color w:val="231F20"/>
          <w:sz w:val="21"/>
          <w:szCs w:val="21"/>
        </w:rPr>
        <w:t>(g)</w:t>
      </w:r>
      <w:r>
        <w:rPr>
          <w:rFonts w:hint="eastAsia" w:ascii="宋体" w:hAnsi="宋体" w:eastAsia="宋体" w:cs="宋体"/>
          <w:sz w:val="21"/>
          <w:szCs w:val="21"/>
        </w:rPr>
        <w:t>→</w:t>
      </w:r>
      <w:r>
        <w:rPr>
          <w:rFonts w:hint="eastAsia" w:ascii="宋体" w:hAnsi="宋体" w:eastAsia="宋体" w:cs="宋体"/>
          <w:color w:val="231F20"/>
          <w:sz w:val="21"/>
          <w:szCs w:val="21"/>
        </w:rPr>
        <w:t>H</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SO</w:t>
      </w:r>
      <w:r>
        <w:rPr>
          <w:rFonts w:hint="eastAsia" w:ascii="宋体" w:hAnsi="宋体" w:eastAsia="宋体" w:cs="宋体"/>
          <w:color w:val="231F20"/>
          <w:sz w:val="21"/>
          <w:szCs w:val="21"/>
          <w:vertAlign w:val="subscript"/>
        </w:rPr>
        <w:t>4</w:t>
      </w:r>
      <w:r>
        <w:rPr>
          <w:rFonts w:hint="eastAsia" w:ascii="宋体" w:hAnsi="宋体" w:eastAsia="宋体" w:cs="宋体"/>
          <w:color w:val="231F20"/>
          <w:sz w:val="21"/>
          <w:szCs w:val="21"/>
        </w:rPr>
        <w:t xml:space="preserve">(l)+反应热。     （5） </w:t>
      </w:r>
    </w:p>
    <w:p w14:paraId="71D2B48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 xml:space="preserve">（4）硫酸降温及调质。经硫酸蒸汽冷凝器冷凝分离下的硫酸温度较高，为避免高温硫酸对管道和硫酸储罐造成腐蚀，通过将硫酸水冷器冷却后的硫酸回流至硫酸蒸汽冷凝器出口管口处，与热硫酸混合急冷降温至55℃。 </w:t>
      </w:r>
    </w:p>
    <w:p w14:paraId="7C3D631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 xml:space="preserve">（5）装置的热量回收。对上述工艺过程中释放的大量反应热，采用加热净化工艺气的方式予以回收，实现系统反应热平衡；由工艺气冷却器进一步回收工艺气热量，生产中压蒸汽；从空气加热器出来的热空气，可用于加热除盐水或除氧水，提高蒸汽产量。 </w:t>
      </w:r>
    </w:p>
    <w:p w14:paraId="0257A86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（6）尾气深度处理。硫酸蒸汽冷凝后的尾气中仍含微量SO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 xml:space="preserve">等酸性组分，送至现有装置的尾气洗涤单元进行深度处理后，达标排放。 </w:t>
      </w:r>
    </w:p>
    <w:p w14:paraId="409C7921">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231F20"/>
          <w:sz w:val="21"/>
          <w:szCs w:val="21"/>
        </w:rPr>
      </w:pPr>
      <w:r>
        <w:rPr>
          <w:rFonts w:hint="eastAsia" w:ascii="宋体" w:hAnsi="宋体" w:eastAsia="宋体" w:cs="宋体"/>
          <w:b/>
          <w:color w:val="231F20"/>
          <w:sz w:val="21"/>
          <w:szCs w:val="21"/>
        </w:rPr>
        <w:t xml:space="preserve">2.2 运行指标 </w:t>
      </w:r>
    </w:p>
    <w:p w14:paraId="51854F6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20kt/a分解工业石膏窑气和裂解废硫酸湿法制硫酸工业装置投运2年多以来，经在φ(SO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)为3.0%～7.5%的不同窑气条件下验证，均能稳定运行。主要指标：（1）SO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单次转化率≥99.3%；（2）吨酸副产蒸汽≥0.288t和200℃热空气8000m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/h；（3）尾气实现超低排放，其中ρ(NOx)≤50mg/m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 xml:space="preserve"> 、ρ(SO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)≤35 mg/m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 xml:space="preserve"> 、ρ(颗粒物)≤10mg/m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 xml:space="preserve"> ；（4）硫酸产能达到年产20kt设计能力，产品质量符合《工业硫酸》（GB/T 534—2014）优等品标准。 </w:t>
      </w:r>
    </w:p>
    <w:p w14:paraId="16FA535B">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231F20"/>
          <w:sz w:val="21"/>
          <w:szCs w:val="21"/>
        </w:rPr>
      </w:pPr>
      <w:r>
        <w:rPr>
          <w:rFonts w:hint="eastAsia" w:ascii="宋体" w:hAnsi="宋体" w:eastAsia="宋体" w:cs="宋体"/>
          <w:b/>
          <w:color w:val="231F20"/>
          <w:sz w:val="21"/>
          <w:szCs w:val="21"/>
        </w:rPr>
        <w:t xml:space="preserve">2.3 工艺技术特点 </w:t>
      </w:r>
    </w:p>
    <w:p w14:paraId="7BDD04E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 xml:space="preserve">分解工业石膏和裂解废硫酸窑气湿法制硫酸“一转一冷”新工艺，与“两转两吸”干法制硫酸工艺相比主要特点如下。 </w:t>
      </w:r>
    </w:p>
    <w:p w14:paraId="2E1C876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（1）适应多源低浓度 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窑气，耐 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浓度波动性能优异。窑气SO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浓度低且波动频繁情况下，湿法制硫酸可实现系统自热平衡；现有装置异常情况下，窑气SO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 xml:space="preserve">气浓低时，需要采用电炉加热手段稳定两转两吸工艺。 </w:t>
      </w:r>
    </w:p>
    <w:p w14:paraId="3D3B8FC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 xml:space="preserve">（2）工艺流程短，投用设备少，占地面积小，节省投资。湿法制硫酸省去干法制硫酸中的窑气干燥和吸收环节，不设置干燥塔、一吸塔和二吸塔等装备，简化了工艺流程和设备投入，占地面积更小，投资更省。 </w:t>
      </w:r>
    </w:p>
    <w:p w14:paraId="444E75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 xml:space="preserve">（3）运行能耗更低，降低了运营成本。湿法制硫酸可副产低压蒸汽，回收利用热风，节省电耗、 循环水消耗，减少操作人员，综合运营成本更低。 </w:t>
      </w:r>
    </w:p>
    <w:p w14:paraId="4D28FBD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（4）容易实现超低排放要求。湿法制硫酸装置净化度高，可配套SCR脱硝装置，酸雾控制采用多级精密强制拦截方式，排放尾气中SO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 xml:space="preserve">、NOx、酸雾等容易达到大气污染物排放重点控制区排放要求。 </w:t>
      </w:r>
    </w:p>
    <w:p w14:paraId="35BE791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（5）产品质量更好。湿法制硫酸生产的硫酸产品w(H</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SO</w:t>
      </w:r>
      <w:r>
        <w:rPr>
          <w:rFonts w:hint="eastAsia" w:ascii="宋体" w:hAnsi="宋体" w:eastAsia="宋体" w:cs="宋体"/>
          <w:color w:val="231F20"/>
          <w:sz w:val="21"/>
          <w:szCs w:val="21"/>
          <w:vertAlign w:val="subscript"/>
        </w:rPr>
        <w:t>4</w:t>
      </w:r>
      <w:r>
        <w:rPr>
          <w:rFonts w:hint="eastAsia" w:ascii="宋体" w:hAnsi="宋体" w:eastAsia="宋体" w:cs="宋体"/>
          <w:color w:val="231F20"/>
          <w:sz w:val="21"/>
          <w:szCs w:val="21"/>
        </w:rPr>
        <w:t xml:space="preserve">)为97%～98%，不含杂质，清澈透明，达到优等品标准。 </w:t>
      </w:r>
    </w:p>
    <w:p w14:paraId="431CD99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231F20"/>
          <w:sz w:val="21"/>
          <w:szCs w:val="21"/>
        </w:rPr>
      </w:pPr>
      <w:r>
        <w:rPr>
          <w:rFonts w:hint="eastAsia" w:ascii="宋体" w:hAnsi="宋体" w:eastAsia="宋体" w:cs="宋体"/>
          <w:b/>
          <w:color w:val="231F20"/>
          <w:sz w:val="21"/>
          <w:szCs w:val="21"/>
        </w:rPr>
        <w:t xml:space="preserve">2.4 主要科技创新 </w:t>
      </w:r>
    </w:p>
    <w:p w14:paraId="69F6042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（1）开发了分解工业石膏和裂解废硫酸窑气湿法制酸“一转一冷”新工艺，并配套研制了SO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湿法催化氧化高效催化剂，结合“三床两换热”绝热床层结构，在高水汽分压下，实现了SO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 xml:space="preserve">单次转化率≥99.3%。 </w:t>
      </w:r>
    </w:p>
    <w:p w14:paraId="6FF8290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（2）研制了SO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转化器、组合式气气换热器、玻璃管冷凝器、烟气玻璃管预热器等关键设备，通过热-质传递的协同增效，实现了热量回收率的提升和流程简化，吨酸可副产蒸汽≥0.288 t和200℃热空气8000m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 xml:space="preserve"> /h。</w:t>
      </w:r>
    </w:p>
    <w:p w14:paraId="51D869F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（3）开发了氮氧化物选择性还原新技术、控制方法、检测手段，解决了高浓度SO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氛围下窑气脱硝催化剂堵塞、选择性低、易结晶等难题，实现了脱硝单元的稳定运行，尾气ρ(NOx)≤50mg/m</w:t>
      </w:r>
      <w:r>
        <w:rPr>
          <w:rFonts w:hint="eastAsia" w:ascii="宋体" w:hAnsi="宋体" w:eastAsia="宋体" w:cs="宋体"/>
          <w:color w:val="231F20"/>
          <w:sz w:val="21"/>
          <w:szCs w:val="21"/>
          <w:vertAlign w:val="superscript"/>
        </w:rPr>
        <w:t>3</w:t>
      </w:r>
      <w:r>
        <w:rPr>
          <w:rFonts w:hint="eastAsia" w:ascii="宋体" w:hAnsi="宋体" w:eastAsia="宋体" w:cs="宋体"/>
          <w:color w:val="231F20"/>
          <w:sz w:val="21"/>
          <w:szCs w:val="21"/>
        </w:rPr>
        <w:t xml:space="preserve">。 </w:t>
      </w:r>
    </w:p>
    <w:p w14:paraId="34C090B8">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231F20"/>
          <w:sz w:val="21"/>
          <w:szCs w:val="21"/>
        </w:rPr>
      </w:pPr>
      <w:r>
        <w:rPr>
          <w:rFonts w:hint="eastAsia" w:ascii="宋体" w:hAnsi="宋体" w:eastAsia="宋体" w:cs="宋体"/>
          <w:b/>
          <w:color w:val="231F20"/>
          <w:sz w:val="21"/>
          <w:szCs w:val="21"/>
        </w:rPr>
        <w:t xml:space="preserve">2.5 经济效益分析 </w:t>
      </w:r>
    </w:p>
    <w:p w14:paraId="14036D3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20 kt/a分解工业石膏和裂解废硫酸窑气湿法制硫酸工业装置劳动定员20人，其中管理人员 1人（兼）、技术人员3人（兼）、生产人员16人；生产所需主要原辅材料及燃料动力等均按目前市场价格核算；掺烧废硫酸以w(H</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SO</w:t>
      </w:r>
      <w:r>
        <w:rPr>
          <w:rFonts w:hint="eastAsia" w:ascii="宋体" w:hAnsi="宋体" w:eastAsia="宋体" w:cs="宋体"/>
          <w:color w:val="231F20"/>
          <w:sz w:val="21"/>
          <w:szCs w:val="21"/>
          <w:vertAlign w:val="subscript"/>
        </w:rPr>
        <w:t>4</w:t>
      </w:r>
      <w:r>
        <w:rPr>
          <w:rFonts w:hint="eastAsia" w:ascii="宋体" w:hAnsi="宋体" w:eastAsia="宋体" w:cs="宋体"/>
          <w:color w:val="231F20"/>
          <w:sz w:val="21"/>
          <w:szCs w:val="21"/>
        </w:rPr>
        <w:t>)90%的烷基化废硫酸为例，比例按硫酸产能的40%核算；副产水泥熟料和低压蒸汽按市场价扣除。20kt/a分解工业石膏和裂解废硫酸窑气湿法制硫酸工业装置硫酸产品成本构成及核算如表1所示。</w:t>
      </w:r>
    </w:p>
    <w:p w14:paraId="13B6611A">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21"/>
          <w:szCs w:val="21"/>
        </w:rPr>
      </w:pPr>
      <w:r>
        <w:rPr>
          <w:rFonts w:hint="eastAsia" w:ascii="宋体" w:hAnsi="宋体" w:eastAsia="宋体" w:cs="宋体"/>
          <w:b/>
          <w:bCs/>
          <w:color w:val="231F20"/>
          <w:sz w:val="21"/>
          <w:szCs w:val="21"/>
        </w:rPr>
        <w:t>表1 硫酸产品成本构成及核算</w:t>
      </w:r>
    </w:p>
    <w:tbl>
      <w:tblPr>
        <w:tblStyle w:val="18"/>
        <w:tblW w:w="8647"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60"/>
        <w:gridCol w:w="2126"/>
        <w:gridCol w:w="1701"/>
        <w:gridCol w:w="1559"/>
        <w:gridCol w:w="1701"/>
      </w:tblGrid>
      <w:tr w14:paraId="41352F5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bottom w:val="single" w:color="auto" w:sz="4" w:space="0"/>
            </w:tcBorders>
          </w:tcPr>
          <w:p w14:paraId="6A194569">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类别</w:t>
            </w:r>
          </w:p>
        </w:tc>
        <w:tc>
          <w:tcPr>
            <w:tcW w:w="2126" w:type="dxa"/>
            <w:tcBorders>
              <w:bottom w:val="single" w:color="auto" w:sz="4" w:space="0"/>
            </w:tcBorders>
          </w:tcPr>
          <w:p w14:paraId="3E76033F">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成本构成</w:t>
            </w:r>
          </w:p>
        </w:tc>
        <w:tc>
          <w:tcPr>
            <w:tcW w:w="1701" w:type="dxa"/>
            <w:tcBorders>
              <w:bottom w:val="single" w:color="auto" w:sz="4" w:space="0"/>
            </w:tcBorders>
          </w:tcPr>
          <w:p w14:paraId="490EB60B">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单价(/元·t</w:t>
            </w:r>
            <w:r>
              <w:rPr>
                <w:rFonts w:hint="eastAsia" w:ascii="宋体" w:hAnsi="宋体" w:eastAsia="宋体" w:cs="宋体"/>
                <w:color w:val="231F20"/>
                <w:sz w:val="18"/>
                <w:szCs w:val="18"/>
                <w:vertAlign w:val="superscript"/>
              </w:rPr>
              <w:t>-1</w:t>
            </w:r>
            <w:r>
              <w:rPr>
                <w:rFonts w:hint="eastAsia" w:ascii="宋体" w:hAnsi="宋体" w:eastAsia="宋体" w:cs="宋体"/>
                <w:color w:val="231F20"/>
                <w:sz w:val="18"/>
                <w:szCs w:val="18"/>
              </w:rPr>
              <w:t>)</w:t>
            </w:r>
          </w:p>
        </w:tc>
        <w:tc>
          <w:tcPr>
            <w:tcW w:w="1559" w:type="dxa"/>
            <w:tcBorders>
              <w:bottom w:val="single" w:color="auto" w:sz="4" w:space="0"/>
            </w:tcBorders>
          </w:tcPr>
          <w:p w14:paraId="012F8808">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单耗(/t·t</w:t>
            </w:r>
            <w:r>
              <w:rPr>
                <w:rFonts w:hint="eastAsia" w:ascii="宋体" w:hAnsi="宋体" w:eastAsia="宋体" w:cs="宋体"/>
                <w:color w:val="231F20"/>
                <w:sz w:val="18"/>
                <w:szCs w:val="18"/>
                <w:vertAlign w:val="superscript"/>
              </w:rPr>
              <w:t>-1</w:t>
            </w:r>
            <w:r>
              <w:rPr>
                <w:rFonts w:hint="eastAsia" w:ascii="宋体" w:hAnsi="宋体" w:eastAsia="宋体" w:cs="宋体"/>
                <w:color w:val="231F20"/>
                <w:sz w:val="18"/>
                <w:szCs w:val="18"/>
              </w:rPr>
              <w:t>)</w:t>
            </w:r>
          </w:p>
        </w:tc>
        <w:tc>
          <w:tcPr>
            <w:tcW w:w="1701" w:type="dxa"/>
            <w:tcBorders>
              <w:bottom w:val="single" w:color="auto" w:sz="4" w:space="0"/>
            </w:tcBorders>
          </w:tcPr>
          <w:p w14:paraId="71D49D97">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成本(/元·t</w:t>
            </w:r>
            <w:r>
              <w:rPr>
                <w:rFonts w:hint="eastAsia" w:ascii="宋体" w:hAnsi="宋体" w:eastAsia="宋体" w:cs="宋体"/>
                <w:color w:val="231F20"/>
                <w:sz w:val="18"/>
                <w:szCs w:val="18"/>
                <w:vertAlign w:val="superscript"/>
              </w:rPr>
              <w:t>-1</w:t>
            </w:r>
            <w:r>
              <w:rPr>
                <w:rFonts w:hint="eastAsia" w:ascii="宋体" w:hAnsi="宋体" w:eastAsia="宋体" w:cs="宋体"/>
                <w:color w:val="231F20"/>
                <w:sz w:val="18"/>
                <w:szCs w:val="18"/>
              </w:rPr>
              <w:t>)</w:t>
            </w:r>
          </w:p>
        </w:tc>
      </w:tr>
      <w:tr w14:paraId="57D6FB2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bottom w:val="nil"/>
            </w:tcBorders>
          </w:tcPr>
          <w:p w14:paraId="7E3BBC12">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原材料</w:t>
            </w:r>
          </w:p>
        </w:tc>
        <w:tc>
          <w:tcPr>
            <w:tcW w:w="2126" w:type="dxa"/>
            <w:tcBorders>
              <w:bottom w:val="nil"/>
            </w:tcBorders>
          </w:tcPr>
          <w:p w14:paraId="19DA48B3">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焦末（固定碳83%）</w:t>
            </w:r>
          </w:p>
        </w:tc>
        <w:tc>
          <w:tcPr>
            <w:tcW w:w="1701" w:type="dxa"/>
            <w:tcBorders>
              <w:bottom w:val="nil"/>
            </w:tcBorders>
          </w:tcPr>
          <w:p w14:paraId="50334F31">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880</w:t>
            </w:r>
          </w:p>
        </w:tc>
        <w:tc>
          <w:tcPr>
            <w:tcW w:w="1559" w:type="dxa"/>
            <w:tcBorders>
              <w:bottom w:val="nil"/>
            </w:tcBorders>
          </w:tcPr>
          <w:p w14:paraId="54AC5D81">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0.08</w:t>
            </w:r>
          </w:p>
        </w:tc>
        <w:tc>
          <w:tcPr>
            <w:tcW w:w="1701" w:type="dxa"/>
            <w:tcBorders>
              <w:bottom w:val="nil"/>
            </w:tcBorders>
          </w:tcPr>
          <w:p w14:paraId="0840D9BA">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70.4</w:t>
            </w:r>
          </w:p>
        </w:tc>
      </w:tr>
      <w:tr w14:paraId="43223FF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nil"/>
            </w:tcBorders>
          </w:tcPr>
          <w:p w14:paraId="2838FB23">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2126" w:type="dxa"/>
            <w:tcBorders>
              <w:top w:val="nil"/>
              <w:bottom w:val="nil"/>
            </w:tcBorders>
          </w:tcPr>
          <w:p w14:paraId="79356814">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黏土</w:t>
            </w:r>
          </w:p>
        </w:tc>
        <w:tc>
          <w:tcPr>
            <w:tcW w:w="1701" w:type="dxa"/>
            <w:tcBorders>
              <w:top w:val="nil"/>
              <w:bottom w:val="nil"/>
            </w:tcBorders>
          </w:tcPr>
          <w:p w14:paraId="5A02C55C">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22</w:t>
            </w:r>
          </w:p>
        </w:tc>
        <w:tc>
          <w:tcPr>
            <w:tcW w:w="1559" w:type="dxa"/>
            <w:tcBorders>
              <w:top w:val="nil"/>
              <w:bottom w:val="nil"/>
            </w:tcBorders>
          </w:tcPr>
          <w:p w14:paraId="469E715E">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0.05</w:t>
            </w:r>
          </w:p>
        </w:tc>
        <w:tc>
          <w:tcPr>
            <w:tcW w:w="1701" w:type="dxa"/>
            <w:tcBorders>
              <w:top w:val="nil"/>
              <w:bottom w:val="nil"/>
            </w:tcBorders>
          </w:tcPr>
          <w:p w14:paraId="37D4C39A">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1.10</w:t>
            </w:r>
          </w:p>
        </w:tc>
      </w:tr>
      <w:tr w14:paraId="6E4E5D5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nil"/>
            </w:tcBorders>
          </w:tcPr>
          <w:p w14:paraId="585DC01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2126" w:type="dxa"/>
            <w:tcBorders>
              <w:top w:val="nil"/>
              <w:bottom w:val="nil"/>
            </w:tcBorders>
          </w:tcPr>
          <w:p w14:paraId="33E1D2A8">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工业石膏</w:t>
            </w:r>
          </w:p>
        </w:tc>
        <w:tc>
          <w:tcPr>
            <w:tcW w:w="1701" w:type="dxa"/>
            <w:tcBorders>
              <w:top w:val="nil"/>
              <w:bottom w:val="nil"/>
            </w:tcBorders>
          </w:tcPr>
          <w:p w14:paraId="4BDECE2B">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2</w:t>
            </w:r>
          </w:p>
        </w:tc>
        <w:tc>
          <w:tcPr>
            <w:tcW w:w="1559" w:type="dxa"/>
            <w:tcBorders>
              <w:top w:val="nil"/>
              <w:bottom w:val="nil"/>
            </w:tcBorders>
          </w:tcPr>
          <w:p w14:paraId="11E805AE">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1.60</w:t>
            </w:r>
          </w:p>
        </w:tc>
        <w:tc>
          <w:tcPr>
            <w:tcW w:w="1701" w:type="dxa"/>
            <w:tcBorders>
              <w:top w:val="nil"/>
              <w:bottom w:val="nil"/>
            </w:tcBorders>
          </w:tcPr>
          <w:p w14:paraId="4A6B2E79">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3.20</w:t>
            </w:r>
          </w:p>
        </w:tc>
      </w:tr>
      <w:tr w14:paraId="5359F1E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single" w:color="auto" w:sz="4" w:space="0"/>
            </w:tcBorders>
          </w:tcPr>
          <w:p w14:paraId="1325FFF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2126" w:type="dxa"/>
            <w:tcBorders>
              <w:top w:val="nil"/>
              <w:bottom w:val="single" w:color="auto" w:sz="4" w:space="0"/>
            </w:tcBorders>
          </w:tcPr>
          <w:p w14:paraId="6476CE52">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烷基化废硫酸</w:t>
            </w:r>
          </w:p>
        </w:tc>
        <w:tc>
          <w:tcPr>
            <w:tcW w:w="1701" w:type="dxa"/>
            <w:tcBorders>
              <w:top w:val="nil"/>
              <w:bottom w:val="single" w:color="auto" w:sz="4" w:space="0"/>
            </w:tcBorders>
          </w:tcPr>
          <w:p w14:paraId="4AABD11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-600</w:t>
            </w:r>
          </w:p>
        </w:tc>
        <w:tc>
          <w:tcPr>
            <w:tcW w:w="1559" w:type="dxa"/>
            <w:tcBorders>
              <w:top w:val="nil"/>
              <w:bottom w:val="single" w:color="auto" w:sz="4" w:space="0"/>
            </w:tcBorders>
          </w:tcPr>
          <w:p w14:paraId="276973D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0.45</w:t>
            </w:r>
          </w:p>
        </w:tc>
        <w:tc>
          <w:tcPr>
            <w:tcW w:w="1701" w:type="dxa"/>
            <w:tcBorders>
              <w:top w:val="nil"/>
              <w:bottom w:val="single" w:color="auto" w:sz="4" w:space="0"/>
            </w:tcBorders>
          </w:tcPr>
          <w:p w14:paraId="1283B480">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-270</w:t>
            </w:r>
          </w:p>
        </w:tc>
      </w:tr>
      <w:tr w14:paraId="57EB8E8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bottom w:val="nil"/>
            </w:tcBorders>
          </w:tcPr>
          <w:p w14:paraId="18ADEF69">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动力消耗</w:t>
            </w:r>
          </w:p>
        </w:tc>
        <w:tc>
          <w:tcPr>
            <w:tcW w:w="2126" w:type="dxa"/>
            <w:tcBorders>
              <w:bottom w:val="nil"/>
            </w:tcBorders>
          </w:tcPr>
          <w:p w14:paraId="1960A26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电</w:t>
            </w:r>
          </w:p>
        </w:tc>
        <w:tc>
          <w:tcPr>
            <w:tcW w:w="1701" w:type="dxa"/>
            <w:tcBorders>
              <w:bottom w:val="nil"/>
            </w:tcBorders>
          </w:tcPr>
          <w:p w14:paraId="5F4A5383">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0.70</w:t>
            </w:r>
            <w:r>
              <w:rPr>
                <w:rFonts w:hint="eastAsia" w:ascii="宋体" w:hAnsi="宋体" w:eastAsia="宋体" w:cs="宋体"/>
                <w:color w:val="231F20"/>
                <w:sz w:val="18"/>
                <w:szCs w:val="18"/>
                <w:vertAlign w:val="superscript"/>
              </w:rPr>
              <w:t>①</w:t>
            </w:r>
          </w:p>
        </w:tc>
        <w:tc>
          <w:tcPr>
            <w:tcW w:w="1559" w:type="dxa"/>
            <w:tcBorders>
              <w:bottom w:val="nil"/>
            </w:tcBorders>
          </w:tcPr>
          <w:p w14:paraId="7D72317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185</w:t>
            </w:r>
            <w:r>
              <w:rPr>
                <w:rFonts w:hint="eastAsia" w:ascii="宋体" w:hAnsi="宋体" w:eastAsia="宋体" w:cs="宋体"/>
                <w:color w:val="231F20"/>
                <w:sz w:val="18"/>
                <w:szCs w:val="18"/>
                <w:vertAlign w:val="superscript"/>
              </w:rPr>
              <w:t>②</w:t>
            </w:r>
          </w:p>
        </w:tc>
        <w:tc>
          <w:tcPr>
            <w:tcW w:w="1701" w:type="dxa"/>
            <w:tcBorders>
              <w:bottom w:val="nil"/>
            </w:tcBorders>
          </w:tcPr>
          <w:p w14:paraId="688D087A">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129.50</w:t>
            </w:r>
          </w:p>
        </w:tc>
      </w:tr>
      <w:tr w14:paraId="0D08C71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tcBorders>
          </w:tcPr>
          <w:p w14:paraId="39D908C7">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2126" w:type="dxa"/>
            <w:tcBorders>
              <w:top w:val="nil"/>
            </w:tcBorders>
          </w:tcPr>
          <w:p w14:paraId="67856A82">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原煤</w:t>
            </w:r>
          </w:p>
        </w:tc>
        <w:tc>
          <w:tcPr>
            <w:tcW w:w="1701" w:type="dxa"/>
            <w:tcBorders>
              <w:top w:val="nil"/>
            </w:tcBorders>
          </w:tcPr>
          <w:p w14:paraId="7E2EF69D">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760</w:t>
            </w:r>
          </w:p>
        </w:tc>
        <w:tc>
          <w:tcPr>
            <w:tcW w:w="1559" w:type="dxa"/>
            <w:tcBorders>
              <w:top w:val="nil"/>
            </w:tcBorders>
          </w:tcPr>
          <w:p w14:paraId="7BE74D23">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0.30</w:t>
            </w:r>
          </w:p>
        </w:tc>
        <w:tc>
          <w:tcPr>
            <w:tcW w:w="1701" w:type="dxa"/>
            <w:tcBorders>
              <w:top w:val="nil"/>
            </w:tcBorders>
          </w:tcPr>
          <w:p w14:paraId="1C1ABF29">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228.00</w:t>
            </w:r>
          </w:p>
        </w:tc>
      </w:tr>
      <w:tr w14:paraId="6C8343C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bottom w:val="single" w:color="auto" w:sz="4" w:space="0"/>
            </w:tcBorders>
          </w:tcPr>
          <w:p w14:paraId="173F561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工资及附加</w:t>
            </w:r>
          </w:p>
        </w:tc>
        <w:tc>
          <w:tcPr>
            <w:tcW w:w="2126" w:type="dxa"/>
            <w:tcBorders>
              <w:bottom w:val="single" w:color="auto" w:sz="4" w:space="0"/>
            </w:tcBorders>
          </w:tcPr>
          <w:p w14:paraId="2DD58FAA">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701" w:type="dxa"/>
            <w:tcBorders>
              <w:bottom w:val="single" w:color="auto" w:sz="4" w:space="0"/>
            </w:tcBorders>
          </w:tcPr>
          <w:p w14:paraId="7DF278E1">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559" w:type="dxa"/>
            <w:tcBorders>
              <w:bottom w:val="single" w:color="auto" w:sz="4" w:space="0"/>
            </w:tcBorders>
          </w:tcPr>
          <w:p w14:paraId="0ADF7D17">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701" w:type="dxa"/>
            <w:tcBorders>
              <w:bottom w:val="single" w:color="auto" w:sz="4" w:space="0"/>
            </w:tcBorders>
          </w:tcPr>
          <w:p w14:paraId="2371B8E0">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192.00</w:t>
            </w:r>
          </w:p>
        </w:tc>
      </w:tr>
      <w:tr w14:paraId="5F77470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bottom w:val="nil"/>
            </w:tcBorders>
          </w:tcPr>
          <w:p w14:paraId="09C27E49">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制造费用</w:t>
            </w:r>
          </w:p>
        </w:tc>
        <w:tc>
          <w:tcPr>
            <w:tcW w:w="2126" w:type="dxa"/>
            <w:tcBorders>
              <w:bottom w:val="nil"/>
            </w:tcBorders>
          </w:tcPr>
          <w:p w14:paraId="6E2F090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计提折旧</w:t>
            </w:r>
          </w:p>
        </w:tc>
        <w:tc>
          <w:tcPr>
            <w:tcW w:w="1701" w:type="dxa"/>
            <w:tcBorders>
              <w:bottom w:val="nil"/>
            </w:tcBorders>
          </w:tcPr>
          <w:p w14:paraId="22DF560F">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559" w:type="dxa"/>
            <w:tcBorders>
              <w:bottom w:val="nil"/>
            </w:tcBorders>
          </w:tcPr>
          <w:p w14:paraId="55F1C32D">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701" w:type="dxa"/>
            <w:tcBorders>
              <w:bottom w:val="nil"/>
            </w:tcBorders>
          </w:tcPr>
          <w:p w14:paraId="692B141F">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100.00</w:t>
            </w:r>
          </w:p>
        </w:tc>
      </w:tr>
      <w:tr w14:paraId="4C2C850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nil"/>
            </w:tcBorders>
          </w:tcPr>
          <w:p w14:paraId="20081AD3">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2126" w:type="dxa"/>
            <w:tcBorders>
              <w:top w:val="nil"/>
              <w:bottom w:val="nil"/>
            </w:tcBorders>
          </w:tcPr>
          <w:p w14:paraId="63A57692">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机物料消耗</w:t>
            </w:r>
          </w:p>
        </w:tc>
        <w:tc>
          <w:tcPr>
            <w:tcW w:w="1701" w:type="dxa"/>
            <w:tcBorders>
              <w:top w:val="nil"/>
              <w:bottom w:val="nil"/>
            </w:tcBorders>
          </w:tcPr>
          <w:p w14:paraId="5EFC889F">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559" w:type="dxa"/>
            <w:tcBorders>
              <w:top w:val="nil"/>
              <w:bottom w:val="nil"/>
            </w:tcBorders>
          </w:tcPr>
          <w:p w14:paraId="094FFD08">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701" w:type="dxa"/>
            <w:tcBorders>
              <w:top w:val="nil"/>
              <w:bottom w:val="nil"/>
            </w:tcBorders>
          </w:tcPr>
          <w:p w14:paraId="42AED7F6">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16.00</w:t>
            </w:r>
          </w:p>
        </w:tc>
      </w:tr>
      <w:tr w14:paraId="41065C7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single" w:color="auto" w:sz="4" w:space="0"/>
            </w:tcBorders>
          </w:tcPr>
          <w:p w14:paraId="191120B1">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2126" w:type="dxa"/>
            <w:tcBorders>
              <w:top w:val="nil"/>
              <w:bottom w:val="single" w:color="auto" w:sz="4" w:space="0"/>
            </w:tcBorders>
          </w:tcPr>
          <w:p w14:paraId="750E3B4A">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大修</w:t>
            </w:r>
          </w:p>
        </w:tc>
        <w:tc>
          <w:tcPr>
            <w:tcW w:w="1701" w:type="dxa"/>
            <w:tcBorders>
              <w:top w:val="nil"/>
              <w:bottom w:val="single" w:color="auto" w:sz="4" w:space="0"/>
            </w:tcBorders>
          </w:tcPr>
          <w:p w14:paraId="634FD44F">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559" w:type="dxa"/>
            <w:tcBorders>
              <w:top w:val="nil"/>
              <w:bottom w:val="single" w:color="auto" w:sz="4" w:space="0"/>
            </w:tcBorders>
          </w:tcPr>
          <w:p w14:paraId="5BFE23D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701" w:type="dxa"/>
            <w:tcBorders>
              <w:top w:val="nil"/>
              <w:bottom w:val="single" w:color="auto" w:sz="4" w:space="0"/>
            </w:tcBorders>
          </w:tcPr>
          <w:p w14:paraId="23A3C19F">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36.00</w:t>
            </w:r>
          </w:p>
        </w:tc>
      </w:tr>
      <w:tr w14:paraId="6F338A9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bottom w:val="nil"/>
            </w:tcBorders>
          </w:tcPr>
          <w:p w14:paraId="55696479">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扣副产</w:t>
            </w:r>
          </w:p>
        </w:tc>
        <w:tc>
          <w:tcPr>
            <w:tcW w:w="2126" w:type="dxa"/>
            <w:tcBorders>
              <w:bottom w:val="nil"/>
            </w:tcBorders>
          </w:tcPr>
          <w:p w14:paraId="576C47B1">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水泥熟料</w:t>
            </w:r>
          </w:p>
        </w:tc>
        <w:tc>
          <w:tcPr>
            <w:tcW w:w="1701" w:type="dxa"/>
            <w:tcBorders>
              <w:bottom w:val="nil"/>
            </w:tcBorders>
          </w:tcPr>
          <w:p w14:paraId="1D700AC4">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-180</w:t>
            </w:r>
          </w:p>
        </w:tc>
        <w:tc>
          <w:tcPr>
            <w:tcW w:w="1559" w:type="dxa"/>
            <w:tcBorders>
              <w:bottom w:val="nil"/>
            </w:tcBorders>
          </w:tcPr>
          <w:p w14:paraId="2ABA9091">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0.6</w:t>
            </w:r>
          </w:p>
        </w:tc>
        <w:tc>
          <w:tcPr>
            <w:tcW w:w="1701" w:type="dxa"/>
            <w:tcBorders>
              <w:bottom w:val="nil"/>
            </w:tcBorders>
          </w:tcPr>
          <w:p w14:paraId="1E8942C1">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-108.00</w:t>
            </w:r>
          </w:p>
        </w:tc>
      </w:tr>
      <w:tr w14:paraId="1B906E6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tcBorders>
          </w:tcPr>
          <w:p w14:paraId="20EC6BB8">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2126" w:type="dxa"/>
            <w:tcBorders>
              <w:top w:val="nil"/>
            </w:tcBorders>
          </w:tcPr>
          <w:p w14:paraId="23058412">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低压蒸汽</w:t>
            </w:r>
          </w:p>
        </w:tc>
        <w:tc>
          <w:tcPr>
            <w:tcW w:w="1701" w:type="dxa"/>
            <w:tcBorders>
              <w:top w:val="nil"/>
            </w:tcBorders>
          </w:tcPr>
          <w:p w14:paraId="31AD89FD">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-200</w:t>
            </w:r>
          </w:p>
        </w:tc>
        <w:tc>
          <w:tcPr>
            <w:tcW w:w="1559" w:type="dxa"/>
            <w:tcBorders>
              <w:top w:val="nil"/>
            </w:tcBorders>
          </w:tcPr>
          <w:p w14:paraId="507302DD">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0.288</w:t>
            </w:r>
          </w:p>
        </w:tc>
        <w:tc>
          <w:tcPr>
            <w:tcW w:w="1701" w:type="dxa"/>
            <w:tcBorders>
              <w:top w:val="nil"/>
            </w:tcBorders>
          </w:tcPr>
          <w:p w14:paraId="5ED49026">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-57.60</w:t>
            </w:r>
          </w:p>
        </w:tc>
      </w:tr>
      <w:tr w14:paraId="258A2AB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Pr>
          <w:p w14:paraId="5B06D5AE">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t>合计生产成本</w:t>
            </w:r>
          </w:p>
        </w:tc>
        <w:tc>
          <w:tcPr>
            <w:tcW w:w="2126" w:type="dxa"/>
          </w:tcPr>
          <w:p w14:paraId="2A228BE0">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701" w:type="dxa"/>
          </w:tcPr>
          <w:p w14:paraId="3F01D16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559" w:type="dxa"/>
          </w:tcPr>
          <w:p w14:paraId="2B906002">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p>
        </w:tc>
        <w:tc>
          <w:tcPr>
            <w:tcW w:w="1701" w:type="dxa"/>
          </w:tcPr>
          <w:p w14:paraId="3C7065E0">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231F20"/>
                <w:sz w:val="18"/>
                <w:szCs w:val="18"/>
              </w:rPr>
            </w:pPr>
            <w:r>
              <w:rPr>
                <w:rFonts w:hint="eastAsia" w:ascii="宋体" w:hAnsi="宋体" w:eastAsia="宋体" w:cs="宋体"/>
                <w:color w:val="231F20"/>
                <w:sz w:val="18"/>
                <w:szCs w:val="18"/>
              </w:rPr>
              <w:fldChar w:fldCharType="begin"/>
            </w:r>
            <w:r>
              <w:rPr>
                <w:rFonts w:hint="eastAsia" w:ascii="宋体" w:hAnsi="宋体" w:eastAsia="宋体" w:cs="宋体"/>
                <w:color w:val="231F20"/>
                <w:sz w:val="18"/>
                <w:szCs w:val="18"/>
              </w:rPr>
              <w:instrText xml:space="preserve"> =SUM(ABOVE) </w:instrText>
            </w:r>
            <w:r>
              <w:rPr>
                <w:rFonts w:hint="eastAsia" w:ascii="宋体" w:hAnsi="宋体" w:eastAsia="宋体" w:cs="宋体"/>
                <w:color w:val="231F20"/>
                <w:sz w:val="18"/>
                <w:szCs w:val="18"/>
              </w:rPr>
              <w:fldChar w:fldCharType="separate"/>
            </w:r>
            <w:r>
              <w:rPr>
                <w:rFonts w:hint="eastAsia" w:ascii="宋体" w:hAnsi="宋体" w:eastAsia="宋体" w:cs="宋体"/>
                <w:color w:val="231F20"/>
                <w:sz w:val="18"/>
                <w:szCs w:val="18"/>
              </w:rPr>
              <w:t>340.6</w:t>
            </w:r>
            <w:r>
              <w:rPr>
                <w:rFonts w:hint="eastAsia" w:ascii="宋体" w:hAnsi="宋体" w:eastAsia="宋体" w:cs="宋体"/>
                <w:color w:val="231F20"/>
                <w:sz w:val="18"/>
                <w:szCs w:val="18"/>
              </w:rPr>
              <w:fldChar w:fldCharType="end"/>
            </w:r>
            <w:r>
              <w:rPr>
                <w:rFonts w:hint="eastAsia" w:ascii="宋体" w:hAnsi="宋体" w:eastAsia="宋体" w:cs="宋体"/>
                <w:color w:val="231F20"/>
                <w:sz w:val="18"/>
                <w:szCs w:val="18"/>
              </w:rPr>
              <w:t>0</w:t>
            </w:r>
          </w:p>
        </w:tc>
      </w:tr>
    </w:tbl>
    <w:p w14:paraId="0E0D5132">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注：①单位元（/ kW·h）；②单位kW·h/t。</w:t>
      </w:r>
    </w:p>
    <w:p w14:paraId="2D912B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由表1可以看出，20kt/a分解工业石膏和裂解废硫酸窑气湿法制硫酸工业装置硫酸生产成本为340.60元/t，按目前硫酸市场价1700元/t计，该项目每年可实现销售收入3400 万元，扣除生产成本后的毛利润为2718.80万元。</w:t>
      </w:r>
    </w:p>
    <w:p w14:paraId="018C45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截止2026年6月上旬，山东地炼硫黄报价已超9000元/t，1t硫黄可生产3t硫酸，仅原料成本就达3000元/t，每生产1t硫酸将直接亏损1000多元。</w:t>
      </w:r>
    </w:p>
    <w:p w14:paraId="69927CB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当前情况下，分解工业石膏和裂解废硫酸窑气制硫酸，成本与效益竞争力优势明显。</w:t>
      </w:r>
    </w:p>
    <w:p w14:paraId="1DCE8BA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宋体" w:hAnsi="宋体" w:eastAsia="宋体" w:cs="宋体"/>
          <w:b/>
          <w:color w:val="231F20"/>
          <w:sz w:val="21"/>
          <w:szCs w:val="21"/>
        </w:rPr>
      </w:pPr>
      <w:r>
        <w:rPr>
          <w:rFonts w:hint="eastAsia" w:ascii="宋体" w:hAnsi="宋体" w:eastAsia="宋体" w:cs="宋体"/>
          <w:b/>
          <w:color w:val="231F20"/>
          <w:sz w:val="21"/>
          <w:szCs w:val="21"/>
        </w:rPr>
        <w:t xml:space="preserve">3 结语 </w:t>
      </w:r>
    </w:p>
    <w:p w14:paraId="1B0F1BF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231F20"/>
          <w:sz w:val="21"/>
          <w:szCs w:val="21"/>
        </w:rPr>
      </w:pPr>
      <w:r>
        <w:rPr>
          <w:rFonts w:hint="eastAsia" w:ascii="宋体" w:hAnsi="宋体" w:eastAsia="宋体" w:cs="宋体"/>
          <w:color w:val="231F20"/>
          <w:sz w:val="21"/>
          <w:szCs w:val="21"/>
        </w:rPr>
        <w:t>分解工业石膏和裂解废硫酸窑气湿法制硫酸技术同传统的“两转两吸”干法工艺相比，可适应多种SO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来源，在不同SO</w:t>
      </w:r>
      <w:r>
        <w:rPr>
          <w:rFonts w:hint="eastAsia" w:ascii="宋体" w:hAnsi="宋体" w:eastAsia="宋体" w:cs="宋体"/>
          <w:color w:val="231F20"/>
          <w:sz w:val="21"/>
          <w:szCs w:val="21"/>
          <w:vertAlign w:val="subscript"/>
        </w:rPr>
        <w:t>2</w:t>
      </w:r>
      <w:r>
        <w:rPr>
          <w:rFonts w:hint="eastAsia" w:ascii="宋体" w:hAnsi="宋体" w:eastAsia="宋体" w:cs="宋体"/>
          <w:color w:val="231F20"/>
          <w:sz w:val="21"/>
          <w:szCs w:val="21"/>
        </w:rPr>
        <w:t>浓度情况下实现长周期稳定运行，能量利用率高，投资省，成本低，尾气易实现超低排放，是工业石膏和废硫酸资源化利用领域的突破性创新。同时，该技术</w:t>
      </w:r>
      <w:r>
        <w:rPr>
          <w:rFonts w:hint="eastAsia" w:ascii="宋体" w:hAnsi="宋体" w:eastAsia="宋体" w:cs="宋体"/>
          <w:color w:val="000000"/>
          <w:sz w:val="21"/>
          <w:szCs w:val="21"/>
        </w:rPr>
        <w:t>具有既能缓解硫资源短缺，又能解决工业石膏和废硫酸环保难题的双重价值，当前经济效益显著，应加快技术推广，变“废”为宝，破“硫”之困。</w:t>
      </w:r>
    </w:p>
    <w:p w14:paraId="1289CBAB">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roman"/>
    <w:pitch w:val="default"/>
    <w:sig w:usb0="00000000" w:usb1="00000000" w:usb2="00000010" w:usb3="00000000" w:csb0="00040000" w:csb1="00000000"/>
  </w:font>
  <w:font w:name="NEU-BZ">
    <w:altName w:val="Times New Roman"/>
    <w:panose1 w:val="00000000000000000000"/>
    <w:charset w:val="00"/>
    <w:family w:val="roman"/>
    <w:pitch w:val="default"/>
    <w:sig w:usb0="00000000" w:usb1="00000000" w:usb2="00000000" w:usb3="00000000" w:csb0="00000000" w:csb1="00000000"/>
  </w:font>
  <w:font w:name="FZSSK--GBK1-00+ZJbBV6-19">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3D472D2"/>
    <w:rsid w:val="048748A1"/>
    <w:rsid w:val="04CC1D57"/>
    <w:rsid w:val="04DC643E"/>
    <w:rsid w:val="056106F1"/>
    <w:rsid w:val="05AE130F"/>
    <w:rsid w:val="05EF03F3"/>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8A515C"/>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7BD20FF"/>
    <w:rsid w:val="180933FC"/>
    <w:rsid w:val="185C6006"/>
    <w:rsid w:val="18616F2E"/>
    <w:rsid w:val="191221DB"/>
    <w:rsid w:val="19235F91"/>
    <w:rsid w:val="19800B64"/>
    <w:rsid w:val="19836A30"/>
    <w:rsid w:val="199944A6"/>
    <w:rsid w:val="19FD4A34"/>
    <w:rsid w:val="1A533F79"/>
    <w:rsid w:val="1A5A1E87"/>
    <w:rsid w:val="1AB86BAD"/>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5D3B08"/>
    <w:rsid w:val="29F55569"/>
    <w:rsid w:val="2A6D1762"/>
    <w:rsid w:val="2A9C2048"/>
    <w:rsid w:val="2AF37C49"/>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0F57F76"/>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B1F7D"/>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401527"/>
    <w:rsid w:val="41641264"/>
    <w:rsid w:val="41700BEB"/>
    <w:rsid w:val="426C3C56"/>
    <w:rsid w:val="42786A9F"/>
    <w:rsid w:val="42BC1743"/>
    <w:rsid w:val="42EE53FF"/>
    <w:rsid w:val="43940B0B"/>
    <w:rsid w:val="43E4263E"/>
    <w:rsid w:val="44CE0BF8"/>
    <w:rsid w:val="45554E75"/>
    <w:rsid w:val="459D60E3"/>
    <w:rsid w:val="45B70627"/>
    <w:rsid w:val="45CA5863"/>
    <w:rsid w:val="45E5444B"/>
    <w:rsid w:val="46362EF9"/>
    <w:rsid w:val="465515D1"/>
    <w:rsid w:val="468E4AE3"/>
    <w:rsid w:val="46C202E8"/>
    <w:rsid w:val="46F54E2D"/>
    <w:rsid w:val="46FD57C4"/>
    <w:rsid w:val="47925F0D"/>
    <w:rsid w:val="47A143DA"/>
    <w:rsid w:val="47E81E53"/>
    <w:rsid w:val="48111527"/>
    <w:rsid w:val="48A028AB"/>
    <w:rsid w:val="48B545A9"/>
    <w:rsid w:val="495C0DBE"/>
    <w:rsid w:val="49CB1BAA"/>
    <w:rsid w:val="4A070E34"/>
    <w:rsid w:val="4A4F4589"/>
    <w:rsid w:val="4AB60164"/>
    <w:rsid w:val="4B8E06C7"/>
    <w:rsid w:val="4C934BC0"/>
    <w:rsid w:val="4CFB09F8"/>
    <w:rsid w:val="4D057181"/>
    <w:rsid w:val="4D2910C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17051C"/>
    <w:rsid w:val="5A2A0227"/>
    <w:rsid w:val="5A7B0A82"/>
    <w:rsid w:val="5B0311A3"/>
    <w:rsid w:val="5BB5218E"/>
    <w:rsid w:val="5BFE5E0F"/>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BE68C6"/>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56331"/>
    <w:rsid w:val="7258197D"/>
    <w:rsid w:val="72C60FDD"/>
    <w:rsid w:val="72EB27F1"/>
    <w:rsid w:val="730241B0"/>
    <w:rsid w:val="731A1328"/>
    <w:rsid w:val="73587D13"/>
    <w:rsid w:val="73F13E37"/>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339</Words>
  <Characters>352</Characters>
  <Lines>35</Lines>
  <Paragraphs>9</Paragraphs>
  <TotalTime>2</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2026-06-09T09:24:10Z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