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7E9B0">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p>
    <w:p w14:paraId="70BFA491">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r>
        <w:rPr>
          <w:rFonts w:hint="eastAsia" w:ascii="隶书" w:hAnsi="隶书" w:eastAsia="隶书" w:cs="隶书"/>
          <w:lang w:val="en-US" w:eastAsia="zh-CN"/>
        </w:rPr>
        <w:t>面向废酸资源化利用的负压分离器新型防腐复合内衬技术开发与应用</w:t>
      </w:r>
    </w:p>
    <w:p w14:paraId="7C05C866">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赵桂东</w:t>
      </w:r>
    </w:p>
    <w:p w14:paraId="36472197">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江苏德复康环保科技有限公司</w:t>
      </w:r>
    </w:p>
    <w:p w14:paraId="3A2E0B9C">
      <w:pPr>
        <w:ind w:left="210" w:hanging="210" w:hangingChars="100"/>
        <w:rPr>
          <w:b/>
          <w:bCs/>
          <w:sz w:val="21"/>
          <w:szCs w:val="21"/>
        </w:rPr>
      </w:pPr>
    </w:p>
    <w:p w14:paraId="50F0D862">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bCs/>
          <w:sz w:val="21"/>
          <w:szCs w:val="21"/>
          <w:lang w:val="en-US" w:eastAsia="zh-CN"/>
        </w:rPr>
        <w:t>摘要：</w:t>
      </w:r>
      <w:r>
        <w:rPr>
          <w:rFonts w:hint="eastAsia" w:ascii="宋体" w:hAnsi="宋体" w:eastAsia="宋体" w:cs="宋体"/>
          <w:b w:val="0"/>
          <w:bCs w:val="0"/>
          <w:sz w:val="21"/>
          <w:szCs w:val="21"/>
          <w:lang w:val="en-US" w:eastAsia="zh-CN"/>
        </w:rPr>
        <w:t>针对2026年硫酸行业面临的硫资源紧缺及废酸再生需求，本文探讨了在负压、高温及含硫酸亚铁复杂工况下，蒸发分离器的防腐难题。结合工程实践，提出了一种基于石墨烯碳化硅与耐酸砖的复合内衬方案。</w:t>
      </w:r>
    </w:p>
    <w:p w14:paraId="5A291D5B">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bCs/>
          <w:sz w:val="21"/>
          <w:szCs w:val="21"/>
          <w:lang w:val="en-US" w:eastAsia="zh-CN"/>
        </w:rPr>
        <w:t>关键词：</w:t>
      </w:r>
      <w:r>
        <w:rPr>
          <w:rFonts w:hint="eastAsia" w:ascii="宋体" w:hAnsi="宋体" w:eastAsia="宋体" w:cs="宋体"/>
          <w:b w:val="0"/>
          <w:bCs w:val="0"/>
          <w:sz w:val="21"/>
          <w:szCs w:val="21"/>
          <w:lang w:val="en-US" w:eastAsia="zh-CN"/>
        </w:rPr>
        <w:t>废酸再生 负压分离 石墨烯碳化硅 复合内衬 耐腐蚀和高温</w:t>
      </w:r>
    </w:p>
    <w:p w14:paraId="6EF64D5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sz w:val="21"/>
          <w:szCs w:val="21"/>
          <w:lang w:val="en-US" w:eastAsia="zh-CN"/>
        </w:rPr>
      </w:pPr>
    </w:p>
    <w:p w14:paraId="7658131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1"/>
          <w:szCs w:val="21"/>
        </w:rPr>
      </w:pPr>
      <w:r>
        <w:rPr>
          <w:rFonts w:hint="eastAsia" w:ascii="宋体" w:hAnsi="宋体" w:eastAsia="宋体" w:cs="宋体"/>
          <w:b/>
          <w:bCs/>
          <w:sz w:val="21"/>
          <w:szCs w:val="21"/>
        </w:rPr>
        <w:t>1. 引言</w:t>
      </w:r>
    </w:p>
    <w:p w14:paraId="3250A59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随着2026年全球硫资源供应进入结构性偏紧的新周期，以及中东局势等地缘政治因素对进口硫磺的影响，我国硫酸行业正面临严峻的资源保障挑战。在此背景下，挖掘含硫废物（如废酸）的资源化利用价值，实现“变废为宝”，已成为行业转型升级的关键方向。</w:t>
      </w:r>
    </w:p>
    <w:p w14:paraId="724EC95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废酸再生工艺是含硫废物资源化的核心环节，而其中的蒸发分离器作为关键设备，其运行稳定性直接决定了系统的连续生产能力。然而，由于废酸组分复杂且常处于负压状态，设备内衬极易发生失效。本文结合某废酸处理项目的实际案例，探讨一种适用于负压环境的新型复合内衬技术的开发与应用。</w:t>
      </w:r>
    </w:p>
    <w:p w14:paraId="538FEC8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1"/>
          <w:szCs w:val="21"/>
        </w:rPr>
      </w:pPr>
      <w:r>
        <w:rPr>
          <w:rFonts w:hint="eastAsia" w:ascii="宋体" w:hAnsi="宋体" w:eastAsia="宋体" w:cs="宋体"/>
          <w:b/>
          <w:bCs/>
          <w:sz w:val="21"/>
          <w:szCs w:val="21"/>
        </w:rPr>
        <w:t>2. 工况分析与技术难点</w:t>
      </w:r>
    </w:p>
    <w:p w14:paraId="53718E5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本项目涉及的核心设备为一效蒸发分离器，其具体工况条件如下（参考设备外形条件图）：</w:t>
      </w:r>
    </w:p>
    <w:p w14:paraId="466EB29D">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714" w:hanging="357"/>
        <w:textAlignment w:val="auto"/>
        <w:rPr>
          <w:rFonts w:hint="eastAsia" w:ascii="宋体" w:hAnsi="宋体" w:eastAsia="宋体" w:cs="宋体"/>
          <w:sz w:val="21"/>
          <w:szCs w:val="21"/>
        </w:rPr>
      </w:pPr>
      <w:r>
        <w:rPr>
          <w:rFonts w:hint="eastAsia" w:ascii="宋体" w:hAnsi="宋体" w:eastAsia="宋体" w:cs="宋体"/>
          <w:sz w:val="21"/>
          <w:szCs w:val="21"/>
        </w:rPr>
        <w:t>介质成分： 物料溶液含有37%硫酸及3-5%硫酸亚铁。硫酸亚铁的存在增加了介质的氧化性与磨损性。</w:t>
      </w:r>
    </w:p>
    <w:p w14:paraId="1FC7196A">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714" w:hanging="357"/>
        <w:textAlignment w:val="auto"/>
        <w:rPr>
          <w:rFonts w:hint="eastAsia" w:ascii="宋体" w:hAnsi="宋体" w:eastAsia="宋体" w:cs="宋体"/>
          <w:sz w:val="21"/>
          <w:szCs w:val="21"/>
        </w:rPr>
      </w:pPr>
      <w:r>
        <w:rPr>
          <w:rFonts w:hint="eastAsia" w:ascii="宋体" w:hAnsi="宋体" w:eastAsia="宋体" w:cs="宋体"/>
          <w:sz w:val="21"/>
          <w:szCs w:val="21"/>
        </w:rPr>
        <w:t>温度条件： 工作温度为105℃，属于中高温腐蚀环境。</w:t>
      </w:r>
    </w:p>
    <w:p w14:paraId="3426ABF5">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714" w:hanging="357"/>
        <w:textAlignment w:val="auto"/>
        <w:rPr>
          <w:rFonts w:hint="eastAsia" w:ascii="宋体" w:hAnsi="宋体" w:eastAsia="宋体" w:cs="宋体"/>
          <w:sz w:val="21"/>
          <w:szCs w:val="21"/>
        </w:rPr>
      </w:pPr>
      <w:r>
        <w:rPr>
          <w:rFonts w:hint="eastAsia" w:ascii="宋体" w:hAnsi="宋体" w:eastAsia="宋体" w:cs="宋体"/>
          <w:sz w:val="21"/>
          <w:szCs w:val="21"/>
        </w:rPr>
        <w:t>压力条件： 工作压力为-0.06MPa，系统开机时需抽真空负压，设计压力范围为-0.1~0MPa。</w:t>
      </w:r>
    </w:p>
    <w:p w14:paraId="6B35960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1"/>
          <w:szCs w:val="21"/>
        </w:rPr>
      </w:pPr>
      <w:r>
        <w:rPr>
          <w:rFonts w:hint="eastAsia" w:ascii="宋体" w:hAnsi="宋体" w:eastAsia="宋体" w:cs="宋体"/>
          <w:b/>
          <w:bCs/>
          <w:sz w:val="21"/>
          <w:szCs w:val="21"/>
        </w:rPr>
        <w:t>3. 新型内衬材料体系的设计与选型</w:t>
      </w:r>
    </w:p>
    <w:p w14:paraId="68E3EF9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针对上述难点，本项目摒弃了单一的玻璃钢&amp;橡胶衬里+石墨砖方案，开发了以“石墨烯碳化硅+防垢耐磨耐温耐酸砖”为核心的多层复合防护体系。</w:t>
      </w:r>
    </w:p>
    <w:p w14:paraId="0B6B676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1"/>
          <w:szCs w:val="21"/>
        </w:rPr>
      </w:pPr>
      <w:r>
        <w:rPr>
          <w:rFonts w:hint="eastAsia" w:ascii="宋体" w:hAnsi="宋体" w:eastAsia="宋体" w:cs="宋体"/>
          <w:b/>
          <w:bCs/>
          <w:sz w:val="21"/>
          <w:szCs w:val="21"/>
        </w:rPr>
        <w:t>3.1 传统方案的不足分析</w:t>
      </w:r>
    </w:p>
    <w:p w14:paraId="326A6AF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3.1.1橡胶衬里：</w:t>
      </w:r>
    </w:p>
    <w:p w14:paraId="3796D821">
      <w:pPr>
        <w:keepNext w:val="0"/>
        <w:keepLines w:val="0"/>
        <w:pageBreakBefore w:val="0"/>
        <w:widowControl w:val="0"/>
        <w:numPr>
          <w:ilvl w:val="0"/>
          <w:numId w:val="2"/>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负压剥离风险： 橡胶衬里依靠粘结剂与钢基体结合。在-0.06MPa的持续负压环境下，若介质温度波动产生热应力，或局部出现微小渗漏，渗入界面的酸性气体会形成高压气泡，导致橡胶层迅速鼓包、剥离甚至脱落。</w:t>
      </w:r>
    </w:p>
    <w:p w14:paraId="30EE45A0">
      <w:pPr>
        <w:keepNext w:val="0"/>
        <w:keepLines w:val="0"/>
        <w:pageBreakBefore w:val="0"/>
        <w:widowControl w:val="0"/>
        <w:numPr>
          <w:ilvl w:val="0"/>
          <w:numId w:val="2"/>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耐温与耐磨性差： 通常硬橡胶长期耐受温度通常在100℃以下，本项目105℃的工况已接近其极限，易发生老化硬化。</w:t>
      </w:r>
    </w:p>
    <w:p w14:paraId="3FF1EA9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3.1.2玻璃钢结构：</w:t>
      </w:r>
    </w:p>
    <w:p w14:paraId="3EC13FB4">
      <w:pPr>
        <w:keepNext w:val="0"/>
        <w:keepLines w:val="0"/>
        <w:pageBreakBefore w:val="0"/>
        <w:widowControl w:val="0"/>
        <w:numPr>
          <w:ilvl w:val="0"/>
          <w:numId w:val="2"/>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抗渗透性瓶颈： 虽然玻璃钢树脂+毡+布具有较好的抗渗性，但在高真空负压下，介质分子仍可能通过树脂固化收缩产生的微裂纹渗透。</w:t>
      </w:r>
    </w:p>
    <w:p w14:paraId="16B5B39C">
      <w:pPr>
        <w:keepNext w:val="0"/>
        <w:keepLines w:val="0"/>
        <w:pageBreakBefore w:val="0"/>
        <w:widowControl w:val="0"/>
        <w:numPr>
          <w:ilvl w:val="0"/>
          <w:numId w:val="2"/>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刚性不足与热冲击： 纯玻璃钢结构，热容量小，面对开停车时的温度剧变，易产生热疲劳裂纹。且其硬度有限，难以抵抗硫酸亚铁结晶的机械刮擦。</w:t>
      </w:r>
    </w:p>
    <w:p w14:paraId="62ECD7F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1"/>
          <w:szCs w:val="21"/>
        </w:rPr>
      </w:pPr>
      <w:r>
        <w:rPr>
          <w:rFonts w:hint="eastAsia" w:ascii="宋体" w:hAnsi="宋体" w:eastAsia="宋体" w:cs="宋体"/>
          <w:b/>
          <w:bCs/>
          <w:sz w:val="21"/>
          <w:szCs w:val="21"/>
        </w:rPr>
        <w:t>3.2 新型石墨烯复合内衬的突破</w:t>
      </w:r>
    </w:p>
    <w:p w14:paraId="33274D1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本应用采用“高温底涂 +石墨烯碳化硅+耐酸砖”的多重防护体系，针对性地解决了上述痛点：</w:t>
      </w:r>
    </w:p>
    <w:p w14:paraId="05C65EE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3.2.1极致的抗负压渗透能力：</w:t>
      </w:r>
    </w:p>
    <w:p w14:paraId="26347A93">
      <w:pPr>
        <w:keepNext w:val="0"/>
        <w:keepLines w:val="0"/>
        <w:pageBreakBefore w:val="0"/>
        <w:widowControl w:val="0"/>
        <w:numPr>
          <w:ilvl w:val="0"/>
          <w:numId w:val="2"/>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石墨烯的层叠穿网效应：利用层叠穿网，构建了极其致密的“迷宫式”屏障，大幅延长了腐蚀介质的渗透路径，有效抵御-0.06MPa负压下的气体渗透。</w:t>
      </w:r>
    </w:p>
    <w:p w14:paraId="464F1006">
      <w:pPr>
        <w:keepNext w:val="0"/>
        <w:keepLines w:val="0"/>
        <w:pageBreakBefore w:val="0"/>
        <w:widowControl w:val="0"/>
        <w:numPr>
          <w:ilvl w:val="0"/>
          <w:numId w:val="2"/>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刚柔并济的结构：防垢耐酸砖作为主防护层，不仅提供了强大的物理阻隔，其巨大的热容量还能缓冲温度波动，保护内部的胶泥层不因热胀冷缩而开裂。</w:t>
      </w:r>
    </w:p>
    <w:p w14:paraId="62269FF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3.2.2卓越的耐磨与耐腐蚀协同：</w:t>
      </w:r>
    </w:p>
    <w:p w14:paraId="6890DBC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zh-CN"/>
        </w:rPr>
      </w:pPr>
      <w:r>
        <w:rPr>
          <w:rFonts w:hint="eastAsia" w:ascii="宋体" w:hAnsi="宋体" w:eastAsia="宋体" w:cs="宋体"/>
          <w:sz w:val="21"/>
          <w:szCs w:val="21"/>
          <w:lang w:val="zh-CN"/>
        </w:rPr>
        <w:t>石墨烯碳化硅具有极高的硬度，能有效抵抗硫酸亚铁颗粒的冲刷磨损。</w:t>
      </w:r>
    </w:p>
    <w:p w14:paraId="61A73BA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zh-CN"/>
        </w:rPr>
        <w:t>防垢耐酸砖本身对37%硫酸及亚铁盐具有优异的化学惰性（参考如图所示耐蚀表），确保了在105℃环境下的长期稳定性。</w:t>
      </w:r>
      <w:bookmarkStart w:id="0" w:name="_GoBack"/>
      <w:bookmarkEnd w:id="0"/>
    </w:p>
    <w:p w14:paraId="12B583B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drawing>
          <wp:inline distT="0" distB="0" distL="114300" distR="114300">
            <wp:extent cx="3227070" cy="3536315"/>
            <wp:effectExtent l="0" t="0" r="11430" b="6985"/>
            <wp:docPr id="207106516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065161" name="图片 1"/>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3227070" cy="3536315"/>
                    </a:xfrm>
                    <a:prstGeom prst="rect">
                      <a:avLst/>
                    </a:prstGeom>
                  </pic:spPr>
                </pic:pic>
              </a:graphicData>
            </a:graphic>
          </wp:inline>
        </w:drawing>
      </w:r>
    </w:p>
    <w:p w14:paraId="3193032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1"/>
          <w:szCs w:val="21"/>
        </w:rPr>
      </w:pPr>
      <w:r>
        <w:rPr>
          <w:rFonts w:hint="eastAsia" w:ascii="宋体" w:hAnsi="宋体" w:eastAsia="宋体" w:cs="宋体"/>
          <w:b/>
          <w:bCs/>
          <w:sz w:val="21"/>
          <w:szCs w:val="21"/>
        </w:rPr>
        <w:t>4. 施工工艺与质量控制</w:t>
      </w:r>
    </w:p>
    <w:p w14:paraId="6FEC3997">
      <w:pPr>
        <w:keepNext w:val="0"/>
        <w:keepLines w:val="0"/>
        <w:pageBreakBefore w:val="0"/>
        <w:widowControl w:val="0"/>
        <w:kinsoku/>
        <w:wordWrap/>
        <w:overflowPunct/>
        <w:topLinePunct w:val="0"/>
        <w:autoSpaceDE/>
        <w:autoSpaceDN/>
        <w:bidi w:val="0"/>
        <w:adjustRightInd/>
        <w:snapToGrid/>
        <w:spacing w:line="400" w:lineRule="exact"/>
        <w:ind w:firstLine="630" w:firstLineChars="300"/>
        <w:textAlignment w:val="auto"/>
        <w:rPr>
          <w:rFonts w:hint="eastAsia" w:ascii="宋体" w:hAnsi="宋体" w:eastAsia="宋体" w:cs="宋体"/>
          <w:sz w:val="21"/>
          <w:szCs w:val="21"/>
        </w:rPr>
      </w:pPr>
      <w:r>
        <w:rPr>
          <w:rFonts w:hint="eastAsia" w:ascii="宋体" w:hAnsi="宋体" w:eastAsia="宋体" w:cs="宋体"/>
          <w:sz w:val="21"/>
          <w:szCs w:val="21"/>
        </w:rPr>
        <w:t>为确保内衬在负压环境下的可靠性，施工过程严格控制，步骤如下：</w:t>
      </w:r>
    </w:p>
    <w:p w14:paraId="546A5AED">
      <w:pPr>
        <w:keepNext w:val="0"/>
        <w:keepLines w:val="0"/>
        <w:pageBreakBefore w:val="0"/>
        <w:widowControl w:val="0"/>
        <w:numPr>
          <w:ilvl w:val="0"/>
          <w:numId w:val="3"/>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基体处理： 对Q235外壳进行打磨、挂网、清洗及找平，确保表面无油污、无锈蚀，达到Sa2.5级标准，粗糙度Rz=70μm，以保证底涂附着力。</w:t>
      </w:r>
    </w:p>
    <w:p w14:paraId="0F2F26B8">
      <w:pPr>
        <w:keepNext w:val="0"/>
        <w:keepLines w:val="0"/>
        <w:pageBreakBefore w:val="0"/>
        <w:widowControl w:val="0"/>
        <w:numPr>
          <w:ilvl w:val="0"/>
          <w:numId w:val="3"/>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底层涂装： 涂刷高温底涂，封闭金属表面毛细孔。</w:t>
      </w:r>
    </w:p>
    <w:p w14:paraId="1EED148C">
      <w:pPr>
        <w:keepNext w:val="0"/>
        <w:keepLines w:val="0"/>
        <w:pageBreakBefore w:val="0"/>
        <w:widowControl w:val="0"/>
        <w:numPr>
          <w:ilvl w:val="0"/>
          <w:numId w:val="3"/>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增强层施工： 涂抹3mm厚的石墨烯碳化硅中涂，压实排气，消除内部缺陷。</w:t>
      </w:r>
    </w:p>
    <w:p w14:paraId="0839FF14">
      <w:pPr>
        <w:keepNext w:val="0"/>
        <w:keepLines w:val="0"/>
        <w:pageBreakBefore w:val="0"/>
        <w:widowControl w:val="0"/>
        <w:numPr>
          <w:ilvl w:val="0"/>
          <w:numId w:val="3"/>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面层防护： 刮涂1mm厚的石墨烯碳化硅面涂，形成致密的防腐耐磨层。</w:t>
      </w:r>
    </w:p>
    <w:p w14:paraId="33FB48EE">
      <w:pPr>
        <w:keepNext w:val="0"/>
        <w:keepLines w:val="0"/>
        <w:pageBreakBefore w:val="0"/>
        <w:widowControl w:val="0"/>
        <w:numPr>
          <w:ilvl w:val="0"/>
          <w:numId w:val="3"/>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砌筑耐酸砖：砖缝采用专用耐酸胶泥勾缝，确保整体密封性和粘结力。</w:t>
      </w:r>
    </w:p>
    <w:p w14:paraId="4A29A1CF">
      <w:pPr>
        <w:keepNext w:val="0"/>
        <w:keepLines w:val="0"/>
        <w:pageBreakBefore w:val="0"/>
        <w:widowControl w:val="0"/>
        <w:numPr>
          <w:ilvl w:val="0"/>
          <w:numId w:val="3"/>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脚手架搭设与养护： 全程规范搭设脚手架，施工后需进行充分的固化养护，并进行电火花检测，确保无针孔泄漏。</w:t>
      </w:r>
    </w:p>
    <w:p w14:paraId="3A3169C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1"/>
          <w:szCs w:val="21"/>
        </w:rPr>
      </w:pPr>
      <w:r>
        <w:rPr>
          <w:rFonts w:hint="eastAsia" w:ascii="宋体" w:hAnsi="宋体" w:eastAsia="宋体" w:cs="宋体"/>
          <w:b/>
          <w:bCs/>
          <w:sz w:val="21"/>
          <w:szCs w:val="21"/>
        </w:rPr>
        <w:t>5. 应用效果与行业意义</w:t>
      </w:r>
    </w:p>
    <w:p w14:paraId="14B2C5A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该新型内衬体系在某废酸再生装置一效蒸发分离器上应用后，经历了多次开停车及长期连续运行的考验。监测数据显示，设备内壁温度分布均匀，未出现局部过热导致的防腐层失效；在-0.06MPa负压工况下，未发现介质渗透现象。</w:t>
      </w:r>
    </w:p>
    <w:p w14:paraId="5CC9A86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1"/>
          <w:szCs w:val="21"/>
        </w:rPr>
      </w:pPr>
      <w:r>
        <w:rPr>
          <w:rFonts w:hint="eastAsia" w:ascii="宋体" w:hAnsi="宋体" w:eastAsia="宋体" w:cs="宋体"/>
          <w:b/>
          <w:bCs/>
          <w:sz w:val="21"/>
          <w:szCs w:val="21"/>
        </w:rPr>
        <w:t>5.1经济效益与行业响应：延长周期，降本增效</w:t>
      </w:r>
    </w:p>
    <w:p w14:paraId="3F4E423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1"/>
          <w:szCs w:val="21"/>
        </w:rPr>
      </w:pPr>
      <w:r>
        <w:rPr>
          <w:rFonts w:hint="eastAsia" w:ascii="宋体" w:hAnsi="宋体" w:eastAsia="宋体" w:cs="宋体"/>
          <w:b/>
          <w:bCs/>
          <w:sz w:val="21"/>
          <w:szCs w:val="21"/>
        </w:rPr>
        <w:t>5.1.1延长检修周期，降低全生命周期成本</w:t>
      </w:r>
    </w:p>
    <w:p w14:paraId="1B01C2C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传统橡胶或玻璃钢方案在该工况下，往往需要每年甚至每半年进行一次停机检修，修补鼓包或更换衬里，不仅维修费用高昂，更造成了巨大的停产损失。</w:t>
      </w:r>
    </w:p>
    <w:p w14:paraId="384E681C">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应用新型石墨烯复合内衬后，凭借其在负压和磨损环境下的卓越表现，预计可将设备的大修周期从1年延长至3-5年以上。这不仅大幅降低了年均维护成本，更重要的是保障了废酸再生系统的连续稳定运行，提高了企业的生产效率。</w:t>
      </w:r>
    </w:p>
    <w:p w14:paraId="32FCBBE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1"/>
          <w:szCs w:val="21"/>
        </w:rPr>
      </w:pPr>
      <w:r>
        <w:rPr>
          <w:rFonts w:hint="eastAsia" w:ascii="宋体" w:hAnsi="宋体" w:eastAsia="宋体" w:cs="宋体"/>
          <w:b/>
          <w:bCs/>
          <w:sz w:val="21"/>
          <w:szCs w:val="21"/>
        </w:rPr>
        <w:t>5.2响应“节能减排”号召，助力绿色发展</w:t>
      </w:r>
    </w:p>
    <w:p w14:paraId="2954E4B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这一成功应用契合了2026年硫酸行业年会的主题精神：</w:t>
      </w:r>
    </w:p>
    <w:p w14:paraId="38D72CE7">
      <w:pPr>
        <w:keepNext w:val="0"/>
        <w:keepLines w:val="0"/>
        <w:pageBreakBefore w:val="0"/>
        <w:widowControl w:val="0"/>
        <w:numPr>
          <w:ilvl w:val="0"/>
          <w:numId w:val="4"/>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保障供应链安全： 通过提升废酸处理设备寿命，保障了含硫废物资源化利用通道的畅通，间接缓解了对外部硫资源的依赖。</w:t>
      </w:r>
    </w:p>
    <w:p w14:paraId="31E26D64">
      <w:pPr>
        <w:keepNext w:val="0"/>
        <w:keepLines w:val="0"/>
        <w:pageBreakBefore w:val="0"/>
        <w:widowControl w:val="0"/>
        <w:numPr>
          <w:ilvl w:val="0"/>
          <w:numId w:val="4"/>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推动高端化发展： 石墨烯等新材料的应用，标志着防腐技术从传统的“被动防御”向“高性能主动防护”转型，提升了装备的技术附加值。</w:t>
      </w:r>
    </w:p>
    <w:p w14:paraId="568B5624">
      <w:pPr>
        <w:keepNext w:val="0"/>
        <w:keepLines w:val="0"/>
        <w:pageBreakBefore w:val="0"/>
        <w:widowControl w:val="0"/>
        <w:numPr>
          <w:ilvl w:val="0"/>
          <w:numId w:val="4"/>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助力绿色低碳： 减少了因设备腐蚀泄漏导致的环境污染风险，同时也降低了频繁维修带来的能源消耗和固废产生。</w:t>
      </w:r>
    </w:p>
    <w:p w14:paraId="2345ECE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1"/>
          <w:szCs w:val="21"/>
        </w:rPr>
      </w:pPr>
      <w:r>
        <w:rPr>
          <w:rFonts w:hint="eastAsia" w:ascii="宋体" w:hAnsi="宋体" w:eastAsia="宋体" w:cs="宋体"/>
          <w:b/>
          <w:bCs/>
          <w:sz w:val="21"/>
          <w:szCs w:val="21"/>
        </w:rPr>
        <w:t>6. 结论与推广价值</w:t>
      </w:r>
    </w:p>
    <w:p w14:paraId="4DB909D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综上所述，针对负压、高温、含固颗粒的废硫酸分离器工况，新型石墨烯碳化硅复合内衬技术克服了传统材料的短板，提供了一种安全、长效的解决方案。</w:t>
      </w:r>
    </w:p>
    <w:p w14:paraId="218DD19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该技术的成功应用，不仅为同类废酸处理设备的防腐设计提供了新的思路，更具有广泛的行业推广价值：</w:t>
      </w:r>
    </w:p>
    <w:p w14:paraId="27342E9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 xml:space="preserve">1 </w:t>
      </w:r>
      <w:r>
        <w:rPr>
          <w:rFonts w:hint="eastAsia" w:ascii="宋体" w:hAnsi="宋体" w:eastAsia="宋体" w:cs="宋体"/>
          <w:sz w:val="21"/>
          <w:szCs w:val="21"/>
        </w:rPr>
        <w:t>技术示范：为硫酸行业解决“卡脖子”的设备腐蚀难题提供了实证案例。</w:t>
      </w:r>
    </w:p>
    <w:p w14:paraId="07B0A9A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 xml:space="preserve">2 </w:t>
      </w:r>
      <w:r>
        <w:rPr>
          <w:rFonts w:hint="eastAsia" w:ascii="宋体" w:hAnsi="宋体" w:eastAsia="宋体" w:cs="宋体"/>
          <w:sz w:val="21"/>
          <w:szCs w:val="21"/>
        </w:rPr>
        <w:t>资源保障：通过提升废酸处理设备的可靠性，间接增强了我国硫资源的循环利用能力，契合2026年行业年会关于“含硫废物资源化利用”的核心议题。</w:t>
      </w:r>
    </w:p>
    <w:p w14:paraId="4CA05BB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 xml:space="preserve">3 </w:t>
      </w:r>
      <w:r>
        <w:rPr>
          <w:rFonts w:hint="eastAsia" w:ascii="宋体" w:hAnsi="宋体" w:eastAsia="宋体" w:cs="宋体"/>
          <w:sz w:val="21"/>
          <w:szCs w:val="21"/>
        </w:rPr>
        <w:t>产业升级：推动了防腐材料向高性能、功能化方向升级，助力硫酸行业实现高质量可持续发展。</w:t>
      </w:r>
    </w:p>
    <w:p w14:paraId="396B719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rPr>
      </w:pPr>
    </w:p>
    <w:p w14:paraId="017FABE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rPr>
      </w:pPr>
      <w:r>
        <w:rPr>
          <w:rFonts w:hint="eastAsia" w:ascii="宋体" w:hAnsi="宋体" w:eastAsia="宋体" w:cs="宋体"/>
          <w:b/>
          <w:bCs/>
        </w:rPr>
        <w:t>参考文献</w:t>
      </w:r>
    </w:p>
    <w:p w14:paraId="2AC2E69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rPr>
      </w:pPr>
      <w:r>
        <w:rPr>
          <w:rFonts w:hint="eastAsia" w:ascii="宋体" w:hAnsi="宋体" w:eastAsia="宋体" w:cs="宋体"/>
        </w:rPr>
        <w:t>[1] 钛白粉厂废酸分离器设备外形条件图及工艺参数表. 2026。</w:t>
      </w:r>
    </w:p>
    <w:p w14:paraId="5457DD2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rPr>
      </w:pPr>
      <w:r>
        <w:rPr>
          <w:rFonts w:hint="eastAsia" w:ascii="宋体" w:hAnsi="宋体" w:eastAsia="宋体" w:cs="宋体"/>
        </w:rPr>
        <w:t>[2] SICvcon系列 黑金膏3# V料 FINEFIX 技术资料。</w:t>
      </w:r>
    </w:p>
    <w:p w14:paraId="64FC88F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p>
    <w:sectPr>
      <w:pgSz w:w="11906" w:h="16838"/>
      <w:pgMar w:top="1814"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隶书">
    <w:panose1 w:val="0201050906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0A798C"/>
    <w:multiLevelType w:val="multilevel"/>
    <w:tmpl w:val="100A798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118C62CB"/>
    <w:multiLevelType w:val="multilevel"/>
    <w:tmpl w:val="118C62C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2A1A609B"/>
    <w:multiLevelType w:val="multilevel"/>
    <w:tmpl w:val="2A1A609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375D2483"/>
    <w:multiLevelType w:val="multilevel"/>
    <w:tmpl w:val="375D248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5ZmMwZTNkY2FjMjU1Y2Y4ZTlkNzhjNmI4MDEyNjcifQ=="/>
  </w:docVars>
  <w:rsids>
    <w:rsidRoot w:val="00DD4CC1"/>
    <w:rsid w:val="00036B5E"/>
    <w:rsid w:val="00047FC0"/>
    <w:rsid w:val="00060599"/>
    <w:rsid w:val="0008730F"/>
    <w:rsid w:val="000A4D30"/>
    <w:rsid w:val="001570A5"/>
    <w:rsid w:val="001653DA"/>
    <w:rsid w:val="00170655"/>
    <w:rsid w:val="001A64C4"/>
    <w:rsid w:val="001F16B8"/>
    <w:rsid w:val="001F268C"/>
    <w:rsid w:val="00205F95"/>
    <w:rsid w:val="00223CAE"/>
    <w:rsid w:val="00252BF1"/>
    <w:rsid w:val="00264F57"/>
    <w:rsid w:val="002A2FE8"/>
    <w:rsid w:val="002A6E7F"/>
    <w:rsid w:val="002D3AD9"/>
    <w:rsid w:val="0032324D"/>
    <w:rsid w:val="00326DED"/>
    <w:rsid w:val="00452666"/>
    <w:rsid w:val="0046021A"/>
    <w:rsid w:val="00472F07"/>
    <w:rsid w:val="00495E28"/>
    <w:rsid w:val="004A7308"/>
    <w:rsid w:val="004B658B"/>
    <w:rsid w:val="004E5974"/>
    <w:rsid w:val="004E639D"/>
    <w:rsid w:val="0052555F"/>
    <w:rsid w:val="00550EFD"/>
    <w:rsid w:val="005A641B"/>
    <w:rsid w:val="005B2031"/>
    <w:rsid w:val="006054C1"/>
    <w:rsid w:val="006278D9"/>
    <w:rsid w:val="006525A5"/>
    <w:rsid w:val="006B4EF3"/>
    <w:rsid w:val="006B523C"/>
    <w:rsid w:val="006C7D50"/>
    <w:rsid w:val="00704818"/>
    <w:rsid w:val="00735E72"/>
    <w:rsid w:val="00756BF6"/>
    <w:rsid w:val="007958E0"/>
    <w:rsid w:val="007A04D9"/>
    <w:rsid w:val="007C2153"/>
    <w:rsid w:val="007D0764"/>
    <w:rsid w:val="007F00BC"/>
    <w:rsid w:val="00844F2C"/>
    <w:rsid w:val="00852987"/>
    <w:rsid w:val="0087425D"/>
    <w:rsid w:val="00874940"/>
    <w:rsid w:val="009168ED"/>
    <w:rsid w:val="0093495B"/>
    <w:rsid w:val="0094356F"/>
    <w:rsid w:val="009819FE"/>
    <w:rsid w:val="00987F1F"/>
    <w:rsid w:val="00A0752B"/>
    <w:rsid w:val="00A1502F"/>
    <w:rsid w:val="00A3470B"/>
    <w:rsid w:val="00A633AE"/>
    <w:rsid w:val="00A81B9E"/>
    <w:rsid w:val="00AA011A"/>
    <w:rsid w:val="00AD6D59"/>
    <w:rsid w:val="00B05911"/>
    <w:rsid w:val="00B226D2"/>
    <w:rsid w:val="00B86F3C"/>
    <w:rsid w:val="00BD25C3"/>
    <w:rsid w:val="00BF5402"/>
    <w:rsid w:val="00C31229"/>
    <w:rsid w:val="00C76433"/>
    <w:rsid w:val="00CF58F8"/>
    <w:rsid w:val="00D203A8"/>
    <w:rsid w:val="00D36A6E"/>
    <w:rsid w:val="00D829F0"/>
    <w:rsid w:val="00DD4CC1"/>
    <w:rsid w:val="00DE0390"/>
    <w:rsid w:val="00DF0139"/>
    <w:rsid w:val="00E52C97"/>
    <w:rsid w:val="00E67BF2"/>
    <w:rsid w:val="00EC1DD6"/>
    <w:rsid w:val="00ED67A0"/>
    <w:rsid w:val="00F153FF"/>
    <w:rsid w:val="00F22786"/>
    <w:rsid w:val="00F834FB"/>
    <w:rsid w:val="00F9257D"/>
    <w:rsid w:val="00FB3EEC"/>
    <w:rsid w:val="00FD2258"/>
    <w:rsid w:val="01520363"/>
    <w:rsid w:val="017165B7"/>
    <w:rsid w:val="01C963F3"/>
    <w:rsid w:val="01DE1C5C"/>
    <w:rsid w:val="02203B3A"/>
    <w:rsid w:val="02B86B51"/>
    <w:rsid w:val="03304250"/>
    <w:rsid w:val="0374238F"/>
    <w:rsid w:val="03A5079A"/>
    <w:rsid w:val="03C50E3C"/>
    <w:rsid w:val="03C527A5"/>
    <w:rsid w:val="048748A1"/>
    <w:rsid w:val="04911E88"/>
    <w:rsid w:val="04CC1D57"/>
    <w:rsid w:val="04DC643E"/>
    <w:rsid w:val="051F632A"/>
    <w:rsid w:val="052D6C99"/>
    <w:rsid w:val="056106F1"/>
    <w:rsid w:val="05760640"/>
    <w:rsid w:val="05AE130F"/>
    <w:rsid w:val="05F9301F"/>
    <w:rsid w:val="05FB3670"/>
    <w:rsid w:val="06112117"/>
    <w:rsid w:val="062077BC"/>
    <w:rsid w:val="065F10D4"/>
    <w:rsid w:val="0730481F"/>
    <w:rsid w:val="076E5F7E"/>
    <w:rsid w:val="07B471FE"/>
    <w:rsid w:val="07C05BA3"/>
    <w:rsid w:val="07E3246F"/>
    <w:rsid w:val="07F7358F"/>
    <w:rsid w:val="08564759"/>
    <w:rsid w:val="08BA0844"/>
    <w:rsid w:val="091A7E4E"/>
    <w:rsid w:val="09931095"/>
    <w:rsid w:val="09F00295"/>
    <w:rsid w:val="0A4B20AA"/>
    <w:rsid w:val="0AEE6ECB"/>
    <w:rsid w:val="0AFF2E86"/>
    <w:rsid w:val="0B664CB3"/>
    <w:rsid w:val="0C0E77A3"/>
    <w:rsid w:val="0C2B45A8"/>
    <w:rsid w:val="0C580AA0"/>
    <w:rsid w:val="0C8E44C1"/>
    <w:rsid w:val="0CDE6ACB"/>
    <w:rsid w:val="0CE82491"/>
    <w:rsid w:val="0CF56428"/>
    <w:rsid w:val="0D525F6F"/>
    <w:rsid w:val="0D731909"/>
    <w:rsid w:val="0DA11FD2"/>
    <w:rsid w:val="0DBE2B84"/>
    <w:rsid w:val="0E470192"/>
    <w:rsid w:val="0E5352AC"/>
    <w:rsid w:val="0E792F4F"/>
    <w:rsid w:val="0EC8358F"/>
    <w:rsid w:val="0F543075"/>
    <w:rsid w:val="0FEE51C5"/>
    <w:rsid w:val="0FEF171B"/>
    <w:rsid w:val="0FF00FEF"/>
    <w:rsid w:val="0FF705D0"/>
    <w:rsid w:val="102313C5"/>
    <w:rsid w:val="103C5A23"/>
    <w:rsid w:val="10523A58"/>
    <w:rsid w:val="10667503"/>
    <w:rsid w:val="108035FE"/>
    <w:rsid w:val="108F6A5A"/>
    <w:rsid w:val="10B85FB1"/>
    <w:rsid w:val="10BB15FD"/>
    <w:rsid w:val="10D34B99"/>
    <w:rsid w:val="111156C1"/>
    <w:rsid w:val="111B6540"/>
    <w:rsid w:val="11407D54"/>
    <w:rsid w:val="123F1DBA"/>
    <w:rsid w:val="12CF1390"/>
    <w:rsid w:val="12DB7D35"/>
    <w:rsid w:val="12E60488"/>
    <w:rsid w:val="13001868"/>
    <w:rsid w:val="132A2A6A"/>
    <w:rsid w:val="13CB5FFB"/>
    <w:rsid w:val="13F5774E"/>
    <w:rsid w:val="142B6A9A"/>
    <w:rsid w:val="144D6AC7"/>
    <w:rsid w:val="145D3907"/>
    <w:rsid w:val="148A7C64"/>
    <w:rsid w:val="14B4083D"/>
    <w:rsid w:val="156C2EC6"/>
    <w:rsid w:val="15C56B00"/>
    <w:rsid w:val="16132CB9"/>
    <w:rsid w:val="163B334B"/>
    <w:rsid w:val="16B20DAC"/>
    <w:rsid w:val="16B25250"/>
    <w:rsid w:val="16B8213B"/>
    <w:rsid w:val="16D2144F"/>
    <w:rsid w:val="17836BED"/>
    <w:rsid w:val="178C5AA1"/>
    <w:rsid w:val="17AD77C6"/>
    <w:rsid w:val="180933FC"/>
    <w:rsid w:val="185C6006"/>
    <w:rsid w:val="18616F2E"/>
    <w:rsid w:val="191221DB"/>
    <w:rsid w:val="19235F91"/>
    <w:rsid w:val="19800B64"/>
    <w:rsid w:val="19836A30"/>
    <w:rsid w:val="199944A6"/>
    <w:rsid w:val="19FD4A34"/>
    <w:rsid w:val="1A533F79"/>
    <w:rsid w:val="1A5A1E87"/>
    <w:rsid w:val="1B2F179A"/>
    <w:rsid w:val="1B6F3710"/>
    <w:rsid w:val="1C250273"/>
    <w:rsid w:val="1D01483C"/>
    <w:rsid w:val="1D5D57EA"/>
    <w:rsid w:val="1E171E3D"/>
    <w:rsid w:val="1EBA2EF4"/>
    <w:rsid w:val="1EC41FC5"/>
    <w:rsid w:val="1EFE3E02"/>
    <w:rsid w:val="1F78690B"/>
    <w:rsid w:val="1FA40E26"/>
    <w:rsid w:val="20181E55"/>
    <w:rsid w:val="20200F8C"/>
    <w:rsid w:val="204B20BB"/>
    <w:rsid w:val="204F1D62"/>
    <w:rsid w:val="205C7FDB"/>
    <w:rsid w:val="20CA763A"/>
    <w:rsid w:val="21294361"/>
    <w:rsid w:val="21661758"/>
    <w:rsid w:val="227635D6"/>
    <w:rsid w:val="22BA5BB9"/>
    <w:rsid w:val="230D784D"/>
    <w:rsid w:val="23B95F13"/>
    <w:rsid w:val="24174945"/>
    <w:rsid w:val="241C01AD"/>
    <w:rsid w:val="24212C83"/>
    <w:rsid w:val="244020ED"/>
    <w:rsid w:val="248B32E5"/>
    <w:rsid w:val="24B17D3C"/>
    <w:rsid w:val="24EE1B49"/>
    <w:rsid w:val="25276E09"/>
    <w:rsid w:val="25867FD4"/>
    <w:rsid w:val="259C77F7"/>
    <w:rsid w:val="262A3A04"/>
    <w:rsid w:val="269C7383"/>
    <w:rsid w:val="26B66697"/>
    <w:rsid w:val="273D46C2"/>
    <w:rsid w:val="27435A51"/>
    <w:rsid w:val="27466F3A"/>
    <w:rsid w:val="276F4A98"/>
    <w:rsid w:val="283B6E9A"/>
    <w:rsid w:val="28414686"/>
    <w:rsid w:val="287C746C"/>
    <w:rsid w:val="288D3427"/>
    <w:rsid w:val="28C3509B"/>
    <w:rsid w:val="28D44D60"/>
    <w:rsid w:val="29D90CFE"/>
    <w:rsid w:val="29F55569"/>
    <w:rsid w:val="2A6D1762"/>
    <w:rsid w:val="2A9C2048"/>
    <w:rsid w:val="2AF37C49"/>
    <w:rsid w:val="2C1A3224"/>
    <w:rsid w:val="2C4361FF"/>
    <w:rsid w:val="2C5F332D"/>
    <w:rsid w:val="2CDC497D"/>
    <w:rsid w:val="2D452523"/>
    <w:rsid w:val="2D922713"/>
    <w:rsid w:val="2DA03BFD"/>
    <w:rsid w:val="2DA336ED"/>
    <w:rsid w:val="2DD45655"/>
    <w:rsid w:val="2E7221A8"/>
    <w:rsid w:val="2EC67693"/>
    <w:rsid w:val="2EE30245"/>
    <w:rsid w:val="2F087CAC"/>
    <w:rsid w:val="2F0E4B96"/>
    <w:rsid w:val="2F1A353B"/>
    <w:rsid w:val="2F1F6DA3"/>
    <w:rsid w:val="2F397E65"/>
    <w:rsid w:val="2F620882"/>
    <w:rsid w:val="2F633134"/>
    <w:rsid w:val="2F882B9B"/>
    <w:rsid w:val="2FA63021"/>
    <w:rsid w:val="2FA86D99"/>
    <w:rsid w:val="312F3756"/>
    <w:rsid w:val="31496359"/>
    <w:rsid w:val="315757C3"/>
    <w:rsid w:val="315E0057"/>
    <w:rsid w:val="318D4498"/>
    <w:rsid w:val="3199108F"/>
    <w:rsid w:val="319F16AA"/>
    <w:rsid w:val="31CC4FC0"/>
    <w:rsid w:val="31F167D5"/>
    <w:rsid w:val="3216448E"/>
    <w:rsid w:val="321D581C"/>
    <w:rsid w:val="323963CE"/>
    <w:rsid w:val="3273368E"/>
    <w:rsid w:val="32963820"/>
    <w:rsid w:val="32E20814"/>
    <w:rsid w:val="337771AE"/>
    <w:rsid w:val="33F94067"/>
    <w:rsid w:val="34480B4A"/>
    <w:rsid w:val="34821AD6"/>
    <w:rsid w:val="35A52FD0"/>
    <w:rsid w:val="35D501BC"/>
    <w:rsid w:val="36407D2B"/>
    <w:rsid w:val="36BE3BE8"/>
    <w:rsid w:val="36DA26A7"/>
    <w:rsid w:val="36DB5CA6"/>
    <w:rsid w:val="37227431"/>
    <w:rsid w:val="3756532C"/>
    <w:rsid w:val="37B01725"/>
    <w:rsid w:val="38061044"/>
    <w:rsid w:val="381C3783"/>
    <w:rsid w:val="389E342F"/>
    <w:rsid w:val="38C5276A"/>
    <w:rsid w:val="39783C80"/>
    <w:rsid w:val="399551B1"/>
    <w:rsid w:val="39D619B3"/>
    <w:rsid w:val="3A445910"/>
    <w:rsid w:val="3A557B1D"/>
    <w:rsid w:val="3A726921"/>
    <w:rsid w:val="3A765FE2"/>
    <w:rsid w:val="3B653D90"/>
    <w:rsid w:val="3B7D732B"/>
    <w:rsid w:val="3BAE3989"/>
    <w:rsid w:val="3BCC3E0F"/>
    <w:rsid w:val="3BD66A3C"/>
    <w:rsid w:val="3C424796"/>
    <w:rsid w:val="3CC044ED"/>
    <w:rsid w:val="3CC25530"/>
    <w:rsid w:val="3CC52D38"/>
    <w:rsid w:val="3CD13DD3"/>
    <w:rsid w:val="3D053A7C"/>
    <w:rsid w:val="3D0715A3"/>
    <w:rsid w:val="3DA212CB"/>
    <w:rsid w:val="3DBB238D"/>
    <w:rsid w:val="3DBD6105"/>
    <w:rsid w:val="3E4405D4"/>
    <w:rsid w:val="3E9C5D1B"/>
    <w:rsid w:val="3F375A43"/>
    <w:rsid w:val="3FA4757D"/>
    <w:rsid w:val="3FB6105E"/>
    <w:rsid w:val="3FE444E6"/>
    <w:rsid w:val="40583EC3"/>
    <w:rsid w:val="40642868"/>
    <w:rsid w:val="407A652F"/>
    <w:rsid w:val="40923879"/>
    <w:rsid w:val="40A84E4B"/>
    <w:rsid w:val="40F40090"/>
    <w:rsid w:val="410F592B"/>
    <w:rsid w:val="41126768"/>
    <w:rsid w:val="411424E0"/>
    <w:rsid w:val="41641264"/>
    <w:rsid w:val="41700BEB"/>
    <w:rsid w:val="426C3C56"/>
    <w:rsid w:val="42786A9F"/>
    <w:rsid w:val="42905B96"/>
    <w:rsid w:val="42BC1743"/>
    <w:rsid w:val="42EE53FF"/>
    <w:rsid w:val="43B2366C"/>
    <w:rsid w:val="43E4263E"/>
    <w:rsid w:val="45554E75"/>
    <w:rsid w:val="459D60E3"/>
    <w:rsid w:val="45B70627"/>
    <w:rsid w:val="45CA5863"/>
    <w:rsid w:val="45E5444B"/>
    <w:rsid w:val="46362EF9"/>
    <w:rsid w:val="465515D1"/>
    <w:rsid w:val="468E4AE3"/>
    <w:rsid w:val="46F54E2D"/>
    <w:rsid w:val="46FD57C4"/>
    <w:rsid w:val="47925F0D"/>
    <w:rsid w:val="47A143DA"/>
    <w:rsid w:val="47E81E53"/>
    <w:rsid w:val="48A028AB"/>
    <w:rsid w:val="48B545A9"/>
    <w:rsid w:val="495C0DBE"/>
    <w:rsid w:val="49CB1BAA"/>
    <w:rsid w:val="4A070E34"/>
    <w:rsid w:val="4A4F4589"/>
    <w:rsid w:val="4AB60164"/>
    <w:rsid w:val="4B8E06C7"/>
    <w:rsid w:val="4BD74836"/>
    <w:rsid w:val="4C934BC0"/>
    <w:rsid w:val="4CFB09F8"/>
    <w:rsid w:val="4D057181"/>
    <w:rsid w:val="4D447CA9"/>
    <w:rsid w:val="4D5123C6"/>
    <w:rsid w:val="4D6B792C"/>
    <w:rsid w:val="4DA16EA9"/>
    <w:rsid w:val="4DDA060D"/>
    <w:rsid w:val="4DED1912"/>
    <w:rsid w:val="4E257ADB"/>
    <w:rsid w:val="4E353A96"/>
    <w:rsid w:val="4EAD187E"/>
    <w:rsid w:val="4EB175C0"/>
    <w:rsid w:val="4EB62E28"/>
    <w:rsid w:val="4F0911AA"/>
    <w:rsid w:val="4F78309C"/>
    <w:rsid w:val="4F7E394E"/>
    <w:rsid w:val="50A20D13"/>
    <w:rsid w:val="50AD3DB7"/>
    <w:rsid w:val="50AF7B2F"/>
    <w:rsid w:val="50B02F71"/>
    <w:rsid w:val="50C26CF2"/>
    <w:rsid w:val="50EC0D83"/>
    <w:rsid w:val="50FE0CB7"/>
    <w:rsid w:val="512D188F"/>
    <w:rsid w:val="51363DAD"/>
    <w:rsid w:val="513B5867"/>
    <w:rsid w:val="5144673C"/>
    <w:rsid w:val="519D207E"/>
    <w:rsid w:val="51EC090F"/>
    <w:rsid w:val="51FB00AC"/>
    <w:rsid w:val="52E57838"/>
    <w:rsid w:val="542B3971"/>
    <w:rsid w:val="54335EE7"/>
    <w:rsid w:val="5463310B"/>
    <w:rsid w:val="54AF45A2"/>
    <w:rsid w:val="54C142D5"/>
    <w:rsid w:val="55254864"/>
    <w:rsid w:val="553C395C"/>
    <w:rsid w:val="55BA1450"/>
    <w:rsid w:val="56037691"/>
    <w:rsid w:val="56083D8A"/>
    <w:rsid w:val="56135E24"/>
    <w:rsid w:val="564017AC"/>
    <w:rsid w:val="567B0721"/>
    <w:rsid w:val="56F97D56"/>
    <w:rsid w:val="57081D47"/>
    <w:rsid w:val="57E97DCB"/>
    <w:rsid w:val="57EF1159"/>
    <w:rsid w:val="583059FA"/>
    <w:rsid w:val="5847689F"/>
    <w:rsid w:val="58532B2C"/>
    <w:rsid w:val="58984204"/>
    <w:rsid w:val="58C47EF0"/>
    <w:rsid w:val="59285798"/>
    <w:rsid w:val="596F60AE"/>
    <w:rsid w:val="5A2A0227"/>
    <w:rsid w:val="5A7B0A82"/>
    <w:rsid w:val="5B0311A3"/>
    <w:rsid w:val="5BB5218E"/>
    <w:rsid w:val="5BFE5E0F"/>
    <w:rsid w:val="5CAA564F"/>
    <w:rsid w:val="5E361890"/>
    <w:rsid w:val="5EDA046D"/>
    <w:rsid w:val="5EE237C6"/>
    <w:rsid w:val="5EFF7ED4"/>
    <w:rsid w:val="5F7679C4"/>
    <w:rsid w:val="5F7F2DC3"/>
    <w:rsid w:val="5FBF1411"/>
    <w:rsid w:val="601A09BC"/>
    <w:rsid w:val="60395667"/>
    <w:rsid w:val="60A24FBB"/>
    <w:rsid w:val="60AA0313"/>
    <w:rsid w:val="610D33E8"/>
    <w:rsid w:val="615E35D8"/>
    <w:rsid w:val="619568CD"/>
    <w:rsid w:val="61E67129"/>
    <w:rsid w:val="621A5025"/>
    <w:rsid w:val="62CC27C3"/>
    <w:rsid w:val="635A7DCF"/>
    <w:rsid w:val="637D586B"/>
    <w:rsid w:val="63872EA4"/>
    <w:rsid w:val="63F26259"/>
    <w:rsid w:val="64061D04"/>
    <w:rsid w:val="640A365A"/>
    <w:rsid w:val="640E2967"/>
    <w:rsid w:val="64754794"/>
    <w:rsid w:val="64FD7B2B"/>
    <w:rsid w:val="657B402C"/>
    <w:rsid w:val="65C07C91"/>
    <w:rsid w:val="66CA526B"/>
    <w:rsid w:val="67C12792"/>
    <w:rsid w:val="67CC0B6F"/>
    <w:rsid w:val="67DD0FCE"/>
    <w:rsid w:val="67E265E5"/>
    <w:rsid w:val="687436E1"/>
    <w:rsid w:val="687A681D"/>
    <w:rsid w:val="68D73C6F"/>
    <w:rsid w:val="690B56C7"/>
    <w:rsid w:val="696A4D66"/>
    <w:rsid w:val="69867965"/>
    <w:rsid w:val="699456BD"/>
    <w:rsid w:val="6A4E3ABD"/>
    <w:rsid w:val="6A9A31A7"/>
    <w:rsid w:val="6AD06BC8"/>
    <w:rsid w:val="6B3929BF"/>
    <w:rsid w:val="6B3D425E"/>
    <w:rsid w:val="6B431148"/>
    <w:rsid w:val="6B4A24D7"/>
    <w:rsid w:val="6B56531F"/>
    <w:rsid w:val="6B575C91"/>
    <w:rsid w:val="6BB8040C"/>
    <w:rsid w:val="6C0C3C30"/>
    <w:rsid w:val="6C5C6966"/>
    <w:rsid w:val="6C6E5E1A"/>
    <w:rsid w:val="6C8E2897"/>
    <w:rsid w:val="6CDF30F3"/>
    <w:rsid w:val="6D282CEC"/>
    <w:rsid w:val="6D921E65"/>
    <w:rsid w:val="6DF606F4"/>
    <w:rsid w:val="6E267136"/>
    <w:rsid w:val="6E2D67FA"/>
    <w:rsid w:val="6E6E0BD2"/>
    <w:rsid w:val="6E91041D"/>
    <w:rsid w:val="6ECB392F"/>
    <w:rsid w:val="6F142DED"/>
    <w:rsid w:val="6F562B93"/>
    <w:rsid w:val="6F8F0E00"/>
    <w:rsid w:val="6FA348AB"/>
    <w:rsid w:val="6FBB39A3"/>
    <w:rsid w:val="6FD23894"/>
    <w:rsid w:val="6FE23626"/>
    <w:rsid w:val="70383246"/>
    <w:rsid w:val="703D260A"/>
    <w:rsid w:val="7060279C"/>
    <w:rsid w:val="70626FA0"/>
    <w:rsid w:val="70756EB2"/>
    <w:rsid w:val="71A60683"/>
    <w:rsid w:val="7258197D"/>
    <w:rsid w:val="72C60FDD"/>
    <w:rsid w:val="72EB27F1"/>
    <w:rsid w:val="730241B0"/>
    <w:rsid w:val="731A1328"/>
    <w:rsid w:val="73587D13"/>
    <w:rsid w:val="743B50B2"/>
    <w:rsid w:val="74BF5CE3"/>
    <w:rsid w:val="750977D2"/>
    <w:rsid w:val="75263FB5"/>
    <w:rsid w:val="75693EA1"/>
    <w:rsid w:val="75B25848"/>
    <w:rsid w:val="766528BB"/>
    <w:rsid w:val="768F268A"/>
    <w:rsid w:val="76C92E49"/>
    <w:rsid w:val="77617526"/>
    <w:rsid w:val="777A05E8"/>
    <w:rsid w:val="781A1483"/>
    <w:rsid w:val="781F0851"/>
    <w:rsid w:val="7820118F"/>
    <w:rsid w:val="782A7918"/>
    <w:rsid w:val="782F3180"/>
    <w:rsid w:val="78B00E0E"/>
    <w:rsid w:val="78C94F9D"/>
    <w:rsid w:val="78FD502C"/>
    <w:rsid w:val="796450AB"/>
    <w:rsid w:val="79C03C81"/>
    <w:rsid w:val="79EB30D7"/>
    <w:rsid w:val="7A293F0A"/>
    <w:rsid w:val="7A5E24AA"/>
    <w:rsid w:val="7ACB4CB6"/>
    <w:rsid w:val="7B02692A"/>
    <w:rsid w:val="7B486307"/>
    <w:rsid w:val="7B5B603A"/>
    <w:rsid w:val="7B5C744A"/>
    <w:rsid w:val="7BA55C3B"/>
    <w:rsid w:val="7BD858DD"/>
    <w:rsid w:val="7BE9361F"/>
    <w:rsid w:val="7C6B49A3"/>
    <w:rsid w:val="7C765821"/>
    <w:rsid w:val="7C856E44"/>
    <w:rsid w:val="7CD24A22"/>
    <w:rsid w:val="7D366D5F"/>
    <w:rsid w:val="7DD722F0"/>
    <w:rsid w:val="7E32210A"/>
    <w:rsid w:val="7EB10D93"/>
    <w:rsid w:val="7EC87E8B"/>
    <w:rsid w:val="7EF70770"/>
    <w:rsid w:val="7F052E8D"/>
    <w:rsid w:val="7F270942"/>
    <w:rsid w:val="7F413799"/>
    <w:rsid w:val="7F480FCB"/>
    <w:rsid w:val="7F4D0390"/>
    <w:rsid w:val="7F5D6825"/>
    <w:rsid w:val="7F671451"/>
    <w:rsid w:val="7F674918"/>
    <w:rsid w:val="7F912972"/>
    <w:rsid w:val="7FB83A5B"/>
    <w:rsid w:val="7FBA3C77"/>
    <w:rsid w:val="7FEC7BA9"/>
    <w:rsid w:val="7FF64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0"/>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24"/>
    <w:autoRedefine/>
    <w:unhideWhenUsed/>
    <w:qFormat/>
    <w:uiPriority w:val="9"/>
    <w:pPr>
      <w:keepNext/>
      <w:keepLines/>
      <w:widowControl/>
      <w:adjustRightInd w:val="0"/>
      <w:snapToGrid w:val="0"/>
      <w:spacing w:line="360" w:lineRule="auto"/>
      <w:jc w:val="left"/>
      <w:outlineLvl w:val="1"/>
    </w:pPr>
    <w:rPr>
      <w:rFonts w:ascii="宋体" w:hAnsi="宋体" w:eastAsia="宋体" w:cs="宋体"/>
      <w:b/>
      <w:bCs/>
      <w:kern w:val="0"/>
      <w:sz w:val="28"/>
      <w:szCs w:val="28"/>
    </w:rPr>
  </w:style>
  <w:style w:type="paragraph" w:styleId="4">
    <w:name w:val="heading 3"/>
    <w:basedOn w:val="1"/>
    <w:next w:val="1"/>
    <w:link w:val="25"/>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6"/>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7"/>
    <w:basedOn w:val="1"/>
    <w:next w:val="1"/>
    <w:unhideWhenUsed/>
    <w:qFormat/>
    <w:uiPriority w:val="0"/>
    <w:pPr>
      <w:keepNext/>
      <w:keepLines/>
      <w:spacing w:before="260" w:after="120" w:line="320" w:lineRule="auto"/>
      <w:outlineLvl w:val="6"/>
    </w:pPr>
    <w:rPr>
      <w:rFonts w:ascii="Times New Roman" w:hAnsi="Times New Roman" w:eastAsia="楷体" w:cstheme="minorBidi"/>
      <w:b/>
      <w:bCs/>
      <w:sz w:val="24"/>
      <w:szCs w:val="24"/>
    </w:rPr>
  </w:style>
  <w:style w:type="character" w:default="1" w:styleId="19">
    <w:name w:val="Default Paragraph Font"/>
    <w:autoRedefine/>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7">
    <w:name w:val="Body Text"/>
    <w:basedOn w:val="1"/>
    <w:autoRedefine/>
    <w:qFormat/>
    <w:uiPriority w:val="0"/>
    <w:pPr>
      <w:spacing w:after="120" w:afterLines="0" w:afterAutospacing="0"/>
    </w:pPr>
  </w:style>
  <w:style w:type="paragraph" w:styleId="8">
    <w:name w:val="Body Text Indent"/>
    <w:basedOn w:val="1"/>
    <w:next w:val="9"/>
    <w:qFormat/>
    <w:uiPriority w:val="0"/>
    <w:pPr>
      <w:spacing w:after="120" w:afterLines="0" w:afterAutospacing="0"/>
      <w:ind w:left="420" w:leftChars="200"/>
    </w:pPr>
  </w:style>
  <w:style w:type="paragraph" w:customStyle="1" w:styleId="9">
    <w:name w:val="样式 正文文本缩进 + 行距: 1.5 倍行距"/>
    <w:basedOn w:val="1"/>
    <w:qFormat/>
    <w:uiPriority w:val="0"/>
    <w:pPr>
      <w:spacing w:after="120"/>
      <w:ind w:left="90" w:leftChars="32" w:firstLine="560"/>
    </w:pPr>
    <w:rPr>
      <w:rFonts w:cs="宋体"/>
    </w:rPr>
  </w:style>
  <w:style w:type="paragraph" w:styleId="10">
    <w:name w:val="footer"/>
    <w:basedOn w:val="1"/>
    <w:link w:val="29"/>
    <w:autoRedefine/>
    <w:unhideWhenUsed/>
    <w:qFormat/>
    <w:uiPriority w:val="99"/>
    <w:pPr>
      <w:tabs>
        <w:tab w:val="center" w:pos="4153"/>
        <w:tab w:val="right" w:pos="8306"/>
      </w:tabs>
      <w:snapToGrid w:val="0"/>
      <w:jc w:val="left"/>
    </w:pPr>
    <w:rPr>
      <w:sz w:val="18"/>
      <w:szCs w:val="18"/>
    </w:rPr>
  </w:style>
  <w:style w:type="paragraph" w:styleId="11">
    <w:name w:val="header"/>
    <w:basedOn w:val="1"/>
    <w:link w:val="2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link w:val="31"/>
    <w:autoRedefine/>
    <w:qFormat/>
    <w:uiPriority w:val="0"/>
    <w:pPr>
      <w:spacing w:line="400" w:lineRule="exact"/>
      <w:jc w:val="center"/>
    </w:pPr>
    <w:rPr>
      <w:rFonts w:ascii="Calibri" w:hAnsi="Calibri" w:eastAsia="楷体" w:cs="Times New Roman"/>
      <w:b/>
      <w:bCs/>
      <w:kern w:val="28"/>
      <w:szCs w:val="32"/>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5"/>
    <w:next w:val="1"/>
    <w:link w:val="27"/>
    <w:qFormat/>
    <w:uiPriority w:val="10"/>
    <w:pPr>
      <w:adjustRightInd w:val="0"/>
      <w:snapToGrid w:val="0"/>
      <w:spacing w:before="0" w:after="0" w:line="360" w:lineRule="auto"/>
      <w:jc w:val="center"/>
    </w:pPr>
    <w:rPr>
      <w:rFonts w:ascii="黑体" w:hAnsi="黑体" w:eastAsia="黑体" w:cs="黑体"/>
      <w:sz w:val="24"/>
      <w:szCs w:val="24"/>
    </w:rPr>
  </w:style>
  <w:style w:type="paragraph" w:styleId="15">
    <w:name w:val="Body Text First Indent"/>
    <w:basedOn w:val="7"/>
    <w:autoRedefine/>
    <w:qFormat/>
    <w:uiPriority w:val="0"/>
    <w:pPr>
      <w:ind w:firstLine="420" w:firstLineChars="100"/>
    </w:pPr>
  </w:style>
  <w:style w:type="paragraph" w:styleId="16">
    <w:name w:val="Body Text First Indent 2"/>
    <w:basedOn w:val="8"/>
    <w:next w:val="1"/>
    <w:qFormat/>
    <w:uiPriority w:val="0"/>
    <w:pPr>
      <w:ind w:firstLine="420" w:firstLineChars="200"/>
    </w:pPr>
  </w:style>
  <w:style w:type="table" w:styleId="18">
    <w:name w:val="Table Grid"/>
    <w:basedOn w:val="17"/>
    <w:autoRedefine/>
    <w:qFormat/>
    <w:uiPriority w:val="59"/>
    <w:rPr>
      <w:rFonts w:ascii="Calibri" w:hAnsi="Calibri" w:eastAsia="微软雅黑"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paragraph" w:customStyle="1" w:styleId="22">
    <w:name w:val="0正文"/>
    <w:basedOn w:val="1"/>
    <w:qFormat/>
    <w:uiPriority w:val="0"/>
    <w:pPr>
      <w:ind w:firstLine="480" w:firstLineChars="200"/>
    </w:pPr>
  </w:style>
  <w:style w:type="character" w:customStyle="1" w:styleId="23">
    <w:name w:val="标题 2 字符"/>
    <w:basedOn w:val="19"/>
    <w:autoRedefine/>
    <w:semiHidden/>
    <w:qFormat/>
    <w:uiPriority w:val="9"/>
    <w:rPr>
      <w:rFonts w:asciiTheme="majorHAnsi" w:hAnsiTheme="majorHAnsi" w:eastAsiaTheme="majorEastAsia" w:cstheme="majorBidi"/>
      <w:b/>
      <w:bCs/>
      <w:sz w:val="32"/>
      <w:szCs w:val="32"/>
    </w:rPr>
  </w:style>
  <w:style w:type="character" w:customStyle="1" w:styleId="24">
    <w:name w:val="标题 2 字符1"/>
    <w:link w:val="3"/>
    <w:autoRedefine/>
    <w:qFormat/>
    <w:uiPriority w:val="9"/>
    <w:rPr>
      <w:rFonts w:ascii="宋体" w:hAnsi="宋体" w:eastAsia="宋体" w:cs="宋体"/>
      <w:b/>
      <w:bCs/>
      <w:kern w:val="0"/>
      <w:sz w:val="28"/>
      <w:szCs w:val="28"/>
    </w:rPr>
  </w:style>
  <w:style w:type="character" w:customStyle="1" w:styleId="25">
    <w:name w:val="标题 3 字符"/>
    <w:basedOn w:val="19"/>
    <w:link w:val="4"/>
    <w:autoRedefine/>
    <w:semiHidden/>
    <w:qFormat/>
    <w:uiPriority w:val="9"/>
    <w:rPr>
      <w:b/>
      <w:bCs/>
      <w:sz w:val="32"/>
      <w:szCs w:val="32"/>
    </w:rPr>
  </w:style>
  <w:style w:type="character" w:customStyle="1" w:styleId="26">
    <w:name w:val="标题 4 字符"/>
    <w:basedOn w:val="19"/>
    <w:link w:val="5"/>
    <w:autoRedefine/>
    <w:semiHidden/>
    <w:qFormat/>
    <w:uiPriority w:val="9"/>
    <w:rPr>
      <w:rFonts w:asciiTheme="majorHAnsi" w:hAnsiTheme="majorHAnsi" w:eastAsiaTheme="majorEastAsia" w:cstheme="majorBidi"/>
      <w:b/>
      <w:bCs/>
      <w:sz w:val="28"/>
      <w:szCs w:val="28"/>
    </w:rPr>
  </w:style>
  <w:style w:type="character" w:customStyle="1" w:styleId="27">
    <w:name w:val="标题 字符"/>
    <w:basedOn w:val="19"/>
    <w:link w:val="14"/>
    <w:autoRedefine/>
    <w:qFormat/>
    <w:uiPriority w:val="10"/>
    <w:rPr>
      <w:rFonts w:ascii="黑体" w:hAnsi="黑体" w:eastAsia="黑体" w:cs="黑体"/>
      <w:b/>
      <w:bCs/>
      <w:sz w:val="24"/>
      <w:szCs w:val="24"/>
    </w:rPr>
  </w:style>
  <w:style w:type="character" w:customStyle="1" w:styleId="28">
    <w:name w:val="页眉 字符"/>
    <w:basedOn w:val="19"/>
    <w:link w:val="11"/>
    <w:autoRedefine/>
    <w:qFormat/>
    <w:uiPriority w:val="99"/>
    <w:rPr>
      <w:sz w:val="18"/>
      <w:szCs w:val="18"/>
    </w:rPr>
  </w:style>
  <w:style w:type="character" w:customStyle="1" w:styleId="29">
    <w:name w:val="页脚 字符"/>
    <w:basedOn w:val="19"/>
    <w:link w:val="10"/>
    <w:autoRedefine/>
    <w:qFormat/>
    <w:uiPriority w:val="99"/>
    <w:rPr>
      <w:sz w:val="18"/>
      <w:szCs w:val="18"/>
    </w:rPr>
  </w:style>
  <w:style w:type="character" w:customStyle="1" w:styleId="30">
    <w:name w:val="标题 1 字符"/>
    <w:basedOn w:val="19"/>
    <w:link w:val="2"/>
    <w:autoRedefine/>
    <w:qFormat/>
    <w:uiPriority w:val="0"/>
    <w:rPr>
      <w:rFonts w:ascii="Calibri" w:hAnsi="Calibri" w:eastAsia="宋体" w:cs="Times New Roman"/>
      <w:b/>
      <w:bCs/>
      <w:kern w:val="44"/>
      <w:sz w:val="44"/>
      <w:szCs w:val="44"/>
    </w:rPr>
  </w:style>
  <w:style w:type="character" w:customStyle="1" w:styleId="31">
    <w:name w:val="副标题 字符"/>
    <w:basedOn w:val="19"/>
    <w:link w:val="12"/>
    <w:autoRedefine/>
    <w:qFormat/>
    <w:uiPriority w:val="0"/>
    <w:rPr>
      <w:rFonts w:ascii="Calibri" w:hAnsi="Calibri" w:eastAsia="楷体" w:cs="Times New Roman"/>
      <w:b/>
      <w:bCs/>
      <w:kern w:val="28"/>
      <w:szCs w:val="32"/>
    </w:rPr>
  </w:style>
  <w:style w:type="paragraph" w:styleId="32">
    <w:name w:val="List Paragraph"/>
    <w:basedOn w:val="1"/>
    <w:autoRedefine/>
    <w:qFormat/>
    <w:uiPriority w:val="34"/>
    <w:pPr>
      <w:ind w:firstLine="420" w:firstLineChars="200"/>
    </w:pPr>
  </w:style>
  <w:style w:type="paragraph" w:customStyle="1" w:styleId="33">
    <w:name w:val="普通(网站)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4">
    <w:name w:val="普通(网站) Char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5">
    <w:name w:val="+正文"/>
    <w:basedOn w:val="1"/>
    <w:qFormat/>
    <w:uiPriority w:val="99"/>
    <w:pPr>
      <w:spacing w:line="360" w:lineRule="auto"/>
      <w:ind w:firstLine="200" w:firstLineChars="200"/>
    </w:pPr>
    <w:rPr>
      <w:rFonts w:ascii="Times New Roman" w:hAnsi="Times New Roman" w:cs="Times New Roman"/>
      <w:sz w:val="24"/>
      <w:szCs w:val="24"/>
    </w:rPr>
  </w:style>
  <w:style w:type="paragraph" w:customStyle="1" w:styleId="36">
    <w:name w:val="表格内容"/>
    <w:basedOn w:val="1"/>
    <w:qFormat/>
    <w:uiPriority w:val="99"/>
    <w:pPr>
      <w:widowControl/>
      <w:overflowPunct w:val="0"/>
      <w:autoSpaceDE w:val="0"/>
      <w:autoSpaceDN w:val="0"/>
      <w:adjustRightInd w:val="0"/>
      <w:jc w:val="center"/>
      <w:textAlignment w:val="baseline"/>
    </w:pPr>
    <w:rPr>
      <w:rFonts w:ascii="Times New Roman" w:hAnsi="Times New Roman" w:cs="Times New Roman"/>
      <w:kern w:val="0"/>
    </w:rPr>
  </w:style>
  <w:style w:type="paragraph" w:customStyle="1" w:styleId="37">
    <w:name w:val="表格内容-居中"/>
    <w:basedOn w:val="1"/>
    <w:qFormat/>
    <w:uiPriority w:val="99"/>
    <w:pPr>
      <w:widowControl/>
      <w:overflowPunct w:val="0"/>
      <w:autoSpaceDE w:val="0"/>
      <w:autoSpaceDN w:val="0"/>
      <w:adjustRightInd w:val="0"/>
      <w:spacing w:before="40" w:after="40" w:line="300" w:lineRule="exact"/>
      <w:jc w:val="center"/>
      <w:textAlignment w:val="baseline"/>
    </w:pPr>
    <w:rPr>
      <w:rFonts w:ascii="Times New Roman" w:hAnsi="Times New Roman" w:cs="Times New Roman"/>
      <w:kern w:val="0"/>
      <w:sz w:val="24"/>
      <w:szCs w:val="24"/>
    </w:rPr>
  </w:style>
  <w:style w:type="character" w:customStyle="1" w:styleId="38">
    <w:name w:val="font31"/>
    <w:basedOn w:val="19"/>
    <w:qFormat/>
    <w:uiPriority w:val="0"/>
    <w:rPr>
      <w:rFonts w:hint="eastAsia" w:ascii="华文楷体" w:hAnsi="华文楷体" w:eastAsia="华文楷体" w:cs="华文楷体"/>
      <w:color w:val="000000"/>
      <w:sz w:val="22"/>
      <w:szCs w:val="22"/>
      <w:u w:val="none"/>
      <w:vertAlign w:val="subscript"/>
    </w:rPr>
  </w:style>
  <w:style w:type="character" w:customStyle="1" w:styleId="39">
    <w:name w:val="font21"/>
    <w:basedOn w:val="19"/>
    <w:qFormat/>
    <w:uiPriority w:val="0"/>
    <w:rPr>
      <w:rFonts w:hint="eastAsia" w:ascii="华文楷体" w:hAnsi="华文楷体" w:eastAsia="华文楷体" w:cs="华文楷体"/>
      <w:color w:val="000000"/>
      <w:sz w:val="22"/>
      <w:szCs w:val="22"/>
      <w:u w:val="none"/>
    </w:rPr>
  </w:style>
  <w:style w:type="character" w:customStyle="1" w:styleId="40">
    <w:name w:val="font41"/>
    <w:basedOn w:val="19"/>
    <w:qFormat/>
    <w:uiPriority w:val="0"/>
    <w:rPr>
      <w:rFonts w:hint="eastAsia" w:ascii="华文楷体" w:hAnsi="华文楷体" w:eastAsia="华文楷体" w:cs="华文楷体"/>
      <w:color w:val="000000"/>
      <w:sz w:val="22"/>
      <w:szCs w:val="22"/>
      <w:u w:val="none"/>
      <w:vertAlign w:val="superscript"/>
    </w:rPr>
  </w:style>
  <w:style w:type="character" w:customStyle="1" w:styleId="41">
    <w:name w:val="font11"/>
    <w:basedOn w:val="19"/>
    <w:qFormat/>
    <w:uiPriority w:val="0"/>
    <w:rPr>
      <w:rFonts w:hint="eastAsia" w:ascii="华文楷体" w:hAnsi="华文楷体" w:eastAsia="华文楷体" w:cs="华文楷体"/>
      <w:color w:val="000000"/>
      <w:sz w:val="22"/>
      <w:szCs w:val="22"/>
      <w:u w:val="none"/>
    </w:rPr>
  </w:style>
  <w:style w:type="paragraph" w:customStyle="1" w:styleId="42">
    <w:name w:val="EndNote Bibliography"/>
    <w:basedOn w:val="1"/>
    <w:autoRedefine/>
    <w:qFormat/>
    <w:uiPriority w:val="0"/>
    <w:pPr>
      <w:ind w:firstLine="200" w:firstLineChars="200"/>
      <w:jc w:val="left"/>
    </w:pPr>
    <w:rPr>
      <w:sz w:val="20"/>
    </w:rPr>
  </w:style>
  <w:style w:type="paragraph" w:customStyle="1" w:styleId="43">
    <w:name w:val="列出段落1"/>
    <w:basedOn w:val="1"/>
    <w:qFormat/>
    <w:uiPriority w:val="34"/>
    <w:pPr>
      <w:ind w:firstLine="420" w:firstLineChars="200"/>
    </w:pPr>
  </w:style>
  <w:style w:type="paragraph" w:customStyle="1" w:styleId="44">
    <w:name w:val="正文文本1"/>
    <w:basedOn w:val="1"/>
    <w:qFormat/>
    <w:uiPriority w:val="0"/>
    <w:pPr>
      <w:shd w:val="clear" w:color="auto" w:fill="FFFFFF"/>
      <w:spacing w:line="610" w:lineRule="exact"/>
      <w:jc w:val="center"/>
    </w:pPr>
    <w:rPr>
      <w:rFonts w:ascii="宋体" w:hAnsi="宋体" w:eastAsia="宋体" w:cs="宋体"/>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2950</Words>
  <Characters>2975</Characters>
  <Lines>35</Lines>
  <Paragraphs>9</Paragraphs>
  <TotalTime>0</TotalTime>
  <ScaleCrop>false</ScaleCrop>
  <LinksUpToDate>false</LinksUpToDate>
  <CharactersWithSpaces>2987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2022-09-27T07:43:00Z</dcterms:created>
  <dc:creator>Liao KangCheng</dc:creator>
  <cp:lastModifiedBy>白海丹</cp:lastModifiedBy>
  <dcterms:modified xsi:type="dcterms:W3CDTF">2026-06-11T08:40:18Z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012170A0420347A89154D3512890171D_12</vt:lpwstr>
  </property>
  <property fmtid="{D5CDD505-2E9C-101B-9397-08002B2CF9AE}" pid="4" name="KSOTemplateDocerSaveRecord">
    <vt:lpwstr>eyJoZGlkIjoiYjVlOTE0MGRkN2E0MWU0MDEyNjJkNTdlYmU3ZGQ5YzUiLCJ1c2VySWQiOiI0NDQ3MDkxMjgifQ==</vt:lpwstr>
  </property>
</Properties>
</file>