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2C78D988">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硫酸装置脱盐水系统全流程节水节能</w:t>
      </w:r>
    </w:p>
    <w:p w14:paraId="2594B6E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优化技术研究</w:t>
      </w:r>
    </w:p>
    <w:p w14:paraId="2032537F">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毕晓云 李明荣 张合元 叶建强 耿伟强</w:t>
      </w:r>
    </w:p>
    <w:p w14:paraId="4ECF47AC">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云南三环中化化肥有限工作</w:t>
      </w:r>
    </w:p>
    <w:p w14:paraId="3E1640B7">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lang w:val="en-US" w:eastAsia="zh-CN"/>
        </w:rPr>
      </w:pPr>
    </w:p>
    <w:p w14:paraId="3E9655FE">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摘要：</w:t>
      </w:r>
      <w:r>
        <w:rPr>
          <w:rFonts w:hint="eastAsia" w:ascii="宋体" w:hAnsi="宋体" w:eastAsia="宋体" w:cs="宋体"/>
          <w:sz w:val="21"/>
          <w:szCs w:val="21"/>
          <w:lang w:val="en-US" w:eastAsia="zh-CN"/>
        </w:rPr>
        <w:t>以硫磺制酸装置配套脱盐水制备系统为研究对象，针对系统长期存在的混床树脂利用率偏低、再生操作频繁、初期产水与失效末期产水直接外排、反渗透浓水与设备清洗废水分级利用程度不高等问题，结合装置实际运行工况与水质监测数据，开展全流程节水节能技术优化研究。通过实施混床工艺流程修改、不合格产水闭环回用、废水分质分流与梯级利用、磷酸冷凝水余热回收与净化回用、自动化控制系统与水质在线监测升级等关键技术措施，全面提升脱盐水制备全流程水资源与热能利用效率。</w:t>
      </w:r>
    </w:p>
    <w:p w14:paraId="68F71B1F">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关键词：</w:t>
      </w:r>
      <w:r>
        <w:rPr>
          <w:rFonts w:hint="eastAsia" w:ascii="宋体" w:hAnsi="宋体" w:eastAsia="宋体" w:cs="宋体"/>
          <w:sz w:val="21"/>
          <w:szCs w:val="21"/>
          <w:lang w:val="en-US" w:eastAsia="zh-CN"/>
        </w:rPr>
        <w:t>脱盐水；混床；树脂利用率；节水优化；冷凝水余热回收；分质分流；废水回用</w:t>
      </w:r>
    </w:p>
    <w:p w14:paraId="7D871CA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lang w:val="en-US" w:eastAsia="zh-CN"/>
        </w:rPr>
      </w:pPr>
    </w:p>
    <w:p w14:paraId="2751F02F">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0引言</w:t>
      </w:r>
    </w:p>
    <w:p w14:paraId="639BF3E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硫磺制酸装置依托余热回收系统产生中高压蒸汽，驱动汽轮机实现风机拖动与发电，是化工行业能量回收与高效运行的典型模式。锅炉给水与蒸汽质量直接决定受热面腐蚀速率、汽轮机通流部分结垢程度、换热效率</w:t>
      </w:r>
      <w:r>
        <w:rPr>
          <w:rFonts w:hint="eastAsia" w:ascii="宋体" w:hAnsi="宋体" w:eastAsia="宋体" w:cs="宋体"/>
          <w:sz w:val="21"/>
          <w:szCs w:val="21"/>
          <w:vertAlign w:val="superscript"/>
          <w:lang w:val="en-US" w:eastAsia="zh-CN"/>
        </w:rPr>
        <w:t>[1]</w:t>
      </w:r>
      <w:r>
        <w:rPr>
          <w:rFonts w:hint="eastAsia" w:ascii="宋体" w:hAnsi="宋体" w:eastAsia="宋体" w:cs="宋体"/>
          <w:sz w:val="21"/>
          <w:szCs w:val="21"/>
          <w:lang w:val="en-US" w:eastAsia="zh-CN"/>
        </w:rPr>
        <w:t>及装置长周期运行能力。</w:t>
      </w:r>
    </w:p>
    <w:p w14:paraId="055022A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某公司硫磺制酸装置配套脱盐水站与余热锅炉系统在长期运行中暴露出明显的工艺短板：原水取自地表河流水质波动剧烈，而系统未设置稳定可靠的预处理单元，导致超滤与反渗透膜组件持续遭受胶体、有机物、微生物复合污染；高温冷凝液未进行深度处理即回用至热力系统，使二氧化硅、铁、磷酸根等杂质在水汽系统内持续累积</w:t>
      </w:r>
      <w:r>
        <w:rPr>
          <w:rFonts w:hint="eastAsia" w:ascii="宋体" w:hAnsi="宋体" w:eastAsia="宋体" w:cs="宋体"/>
          <w:sz w:val="21"/>
          <w:szCs w:val="21"/>
          <w:vertAlign w:val="superscript"/>
          <w:lang w:val="en-US" w:eastAsia="zh-CN"/>
        </w:rPr>
        <w:t>[2]</w:t>
      </w:r>
      <w:r>
        <w:rPr>
          <w:rFonts w:hint="eastAsia" w:ascii="宋体" w:hAnsi="宋体" w:eastAsia="宋体" w:cs="宋体"/>
          <w:sz w:val="21"/>
          <w:szCs w:val="21"/>
          <w:lang w:val="en-US" w:eastAsia="zh-CN"/>
        </w:rPr>
        <w:t>；老式旋膜除氧器水力分布、填料状态与传热传质条件劣化，热力除氧效率长期不达标，加剧能耗浪费；同时脱盐水系统废水分质利用机制空白，水质调控滞后、工况波动大，难以实现稳定闭环控制与节水节能目标。</w:t>
      </w:r>
    </w:p>
    <w:p w14:paraId="55BC0B7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随着国家“双碳”目标推进与节水减排政策趋严，化工行业对水资源与能源协同高效利用提出更高要求，传统被动式水质管理模式已无法满足现代装置运行需求，同步实现水汽达标、节水节能、冷凝液回收、废水分质利用成为行业共性技术难题。本文以脱盐水与锅炉水汽系统工艺机理优化为主线，围绕预处理强化、冷凝液回收与精制、除氧器工况重构、废水分质利用、自控与监测工艺升级五个维度，系统阐述工艺改造思路、优化机理、运行机制与调控方法，揭示各单元改造对水汽质量、节水节能、冷凝液回收、废水分质利用的影响规律，形成一套适用于硫磺制酸装置的节水节能型水汽质量综合提升工艺体系，为同类装置稳定达标、高效绿色运行提供技术支撑。</w:t>
      </w:r>
    </w:p>
    <w:p w14:paraId="649ED2BD">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1原系统工艺缺陷与水质劣化机理分析</w:t>
      </w:r>
    </w:p>
    <w:p w14:paraId="520619FF">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1.1原水处理工艺流程与工艺短板</w:t>
      </w:r>
    </w:p>
    <w:p w14:paraId="594B4B2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原脱盐水站采用“自清洗过滤器→UF超滤→RO反渗透→混床”流程，锅炉水系统采用“脱盐水+冷凝水直接进入除氧器→锅炉→蒸汽轮机”流程。原脱盐水制水流程如下图1。</w:t>
      </w:r>
    </w:p>
    <w:p w14:paraId="6884D43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inline distT="0" distB="0" distL="114300" distR="114300">
            <wp:extent cx="5271135" cy="3670935"/>
            <wp:effectExtent l="0" t="0" r="5715"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71135" cy="3670935"/>
                    </a:xfrm>
                    <a:prstGeom prst="rect">
                      <a:avLst/>
                    </a:prstGeom>
                    <a:noFill/>
                    <a:ln>
                      <a:noFill/>
                    </a:ln>
                  </pic:spPr>
                </pic:pic>
              </a:graphicData>
            </a:graphic>
          </wp:inline>
        </w:drawing>
      </w:r>
    </w:p>
    <w:p w14:paraId="3FB0537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图1原脱盐水制水流程</w:t>
      </w:r>
    </w:p>
    <w:p w14:paraId="49881C6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在长期运行中，工艺流程与关键单元呈现明显的工艺性缺陷，同时制约节水节能、冷凝水热量回收与废水分质利用效果：</w:t>
      </w:r>
    </w:p>
    <w:p w14:paraId="7E3CA9B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预处理工艺缺失与失效。原设计仅配置自清洗过滤器作为进水预处理，未设置颗粒过滤、胶体去除与有机物控制工艺。该过滤器仅能拦截大颗粒悬浮物，无法去除胶体、微生物、天然有机物及溶解性污染物，在雨季高浊度、旱季高藻期工况下失去稳定调控能力，同时导致膜系统损耗大、水耗高。</w:t>
      </w:r>
    </w:p>
    <w:p w14:paraId="0F6E46F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膜系统进水无工艺缓冲与稳定调控手段。原工艺无多介质过滤、混凝澄清或活性炭吸附等稳定化处理环节，进水水质随季节、降雨、上游排放呈现剧烈波动，直接导致超滤膜表面形成胶体堵塞-微生物黏附-有机污染三重劣化机制，膜比通量快速衰减，离子交换负荷被动抬升，系统水回收率偏低，节水节能与废水分质利用无实施基础。</w:t>
      </w:r>
    </w:p>
    <w:p w14:paraId="66F4EB4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冷凝水回用工艺过于简单。高温冷凝水（110~115℃）携带二氧化硅、铁离子及微量酸性杂质，未经过降温、缓冲、精制处理便直接进入热力系统，冷凝液回收仅实现简单的水量回用，未达到高质化回用要求。高温环境加速离子迁移与富集，使二氧化硅在锅炉及蒸汽系统持续浓缩，最终在汽轮机叶片形成坚硬硅酸盐垢，属于典型的热力系统内污染物循环放大问题，同时造成优质水资源与高位热能大量浪费，节水节能效益无法体现。</w:t>
      </w:r>
    </w:p>
    <w:p w14:paraId="11CA5BA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除氧器工艺工况劣化。除氧器长期运行后出现填料破损、水流分布不均、旋膜管堵塞、液位与蒸汽量匹配失调等问题，导致水膜破裂、汽水接触不充分、局部偏流、过冷度超标，热力除氧机理失效，溶解氧难以降至标准限值以内，蒸汽消耗居高不下，进一步削弱节水节能成效。</w:t>
      </w:r>
    </w:p>
    <w:p w14:paraId="0888C32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1.2水质劣化的工艺机理分析</w:t>
      </w:r>
    </w:p>
    <w:p w14:paraId="079CF650">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1.2.1预处理缺失导致的膜污染机理</w:t>
      </w:r>
    </w:p>
    <w:p w14:paraId="71C9AFA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地表原水中的胶体颗粒、腐殖酸、微生物菌体在无预处理条件下直接进入超滤膜组件，在跨膜压差作用下向膜面富集，形成致密凝胶层，产生浓差极化，使膜孔径有效缩小、透水阻力上升。微生物在膜面繁殖形成生物膜，进一步加剧不可逆污染。同时，细小颗粒进入膜孔内部形成物理堵塞，导致反洗恢复性持续下降，膜分离工艺逐渐劣化</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lang w:val="en-US" w:eastAsia="zh-CN"/>
        </w:rPr>
        <w:t>。</w:t>
      </w:r>
    </w:p>
    <w:p w14:paraId="234F45D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于缺少混凝、过滤、吸附等工艺单元，水中有机物、微生物、胶体没有得到逐级削减，而是直接进入高精度膜分离单元，形成前端控制缺失、末端承受过载的不合理工艺格局，这是导致膜寿命缩短、产水水质波动、水耗能耗偏高的根本原因。</w:t>
      </w:r>
    </w:p>
    <w:p w14:paraId="39283FB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1.2.2冷凝水直接回用导致的杂质富集机理</w:t>
      </w:r>
    </w:p>
    <w:p w14:paraId="4E86EB9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磷酸浓缩冷凝水在高温蒸发过程中，二氧化硅、铁、磷酸盐等难挥发性杂质被同步浓缩，在未进行离子交换精制的条件下进入锅炉给水。锅炉在运行中进行连续排污与间断排污，但由于给水中杂质持续输入，且排污速率不足以抵消富集速率，导致炉水中二氧化硅被浓缩20~30倍。在汽液两相流动中，二氧化硅以溶解态进入蒸汽，在汽轮机各级压力下降过程中析出，形成白色硅酸盐垢</w:t>
      </w:r>
      <w:r>
        <w:rPr>
          <w:rFonts w:hint="eastAsia" w:ascii="宋体" w:hAnsi="宋体" w:eastAsia="宋体" w:cs="宋体"/>
          <w:sz w:val="21"/>
          <w:szCs w:val="21"/>
          <w:vertAlign w:val="superscript"/>
          <w:lang w:val="en-US" w:eastAsia="zh-CN"/>
        </w:rPr>
        <w:t>[4]</w:t>
      </w:r>
      <w:r>
        <w:rPr>
          <w:rFonts w:hint="eastAsia" w:ascii="宋体" w:hAnsi="宋体" w:eastAsia="宋体" w:cs="宋体"/>
          <w:sz w:val="21"/>
          <w:szCs w:val="21"/>
          <w:lang w:val="en-US" w:eastAsia="zh-CN"/>
        </w:rPr>
        <w:t>，造成汽轮机通流面积减小、效率下降、振动升高。</w:t>
      </w:r>
    </w:p>
    <w:p w14:paraId="63C8807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同时，高温冷凝水直接进入除氧器，使除氧器入口水温偏高且波动剧烈，破坏除氧器内部压力-温度-液位匹配关系，进一步削弱热力除氧效果，形成冷凝水劣质化→除氧效果变差→锅炉腐蚀加剧的连锁劣化通道。该过程中冷凝液回收仅实现水量简单回用，未实现杂质脱除与热能回收，未体现装置节水节能与资源化价值。</w:t>
      </w:r>
    </w:p>
    <w:p w14:paraId="7827AF8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1.3原系统典型水质与工艺运行数据</w:t>
      </w:r>
    </w:p>
    <w:p w14:paraId="3CE511D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研究对硫酸脱盐水系统2020年关键指标进行统计，详见表1。</w:t>
      </w:r>
    </w:p>
    <w:p w14:paraId="1D28DAF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表1原系统关键运行指标统计表</w:t>
      </w:r>
    </w:p>
    <w:tbl>
      <w:tblPr>
        <w:tblStyle w:val="18"/>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4"/>
        <w:gridCol w:w="907"/>
        <w:gridCol w:w="1319"/>
        <w:gridCol w:w="2000"/>
        <w:gridCol w:w="2440"/>
      </w:tblGrid>
      <w:tr w14:paraId="031E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vAlign w:val="center"/>
          </w:tcPr>
          <w:p w14:paraId="4763DE4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指标名称</w:t>
            </w:r>
          </w:p>
        </w:tc>
        <w:tc>
          <w:tcPr>
            <w:tcW w:w="907" w:type="dxa"/>
            <w:vAlign w:val="center"/>
          </w:tcPr>
          <w:p w14:paraId="1ED0626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单位</w:t>
            </w:r>
          </w:p>
        </w:tc>
        <w:tc>
          <w:tcPr>
            <w:tcW w:w="1319" w:type="dxa"/>
            <w:vAlign w:val="center"/>
          </w:tcPr>
          <w:p w14:paraId="70CEB27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控制限值</w:t>
            </w:r>
          </w:p>
        </w:tc>
        <w:tc>
          <w:tcPr>
            <w:tcW w:w="2000" w:type="dxa"/>
            <w:vAlign w:val="center"/>
          </w:tcPr>
          <w:p w14:paraId="63DC851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实际运行范围</w:t>
            </w:r>
          </w:p>
        </w:tc>
        <w:tc>
          <w:tcPr>
            <w:tcW w:w="2440" w:type="dxa"/>
            <w:vAlign w:val="center"/>
          </w:tcPr>
          <w:p w14:paraId="5A4BA7E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超标情况</w:t>
            </w:r>
          </w:p>
        </w:tc>
      </w:tr>
      <w:tr w14:paraId="1305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vAlign w:val="center"/>
          </w:tcPr>
          <w:p w14:paraId="21BB800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超滤进水COD</w:t>
            </w:r>
          </w:p>
        </w:tc>
        <w:tc>
          <w:tcPr>
            <w:tcW w:w="907" w:type="dxa"/>
            <w:vAlign w:val="center"/>
          </w:tcPr>
          <w:p w14:paraId="287ED8D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mg/L</w:t>
            </w:r>
          </w:p>
        </w:tc>
        <w:tc>
          <w:tcPr>
            <w:tcW w:w="1319" w:type="dxa"/>
            <w:vAlign w:val="center"/>
          </w:tcPr>
          <w:p w14:paraId="2AF3F8E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2000" w:type="dxa"/>
            <w:vAlign w:val="center"/>
          </w:tcPr>
          <w:p w14:paraId="5678CB6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66~98</w:t>
            </w:r>
          </w:p>
        </w:tc>
        <w:tc>
          <w:tcPr>
            <w:tcW w:w="2440" w:type="dxa"/>
            <w:vAlign w:val="center"/>
          </w:tcPr>
          <w:p w14:paraId="1FC82D9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超标6.6~9.8倍</w:t>
            </w:r>
          </w:p>
        </w:tc>
      </w:tr>
      <w:tr w14:paraId="773B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vAlign w:val="center"/>
          </w:tcPr>
          <w:p w14:paraId="2D58A33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锅炉给水溶解氧</w:t>
            </w:r>
          </w:p>
        </w:tc>
        <w:tc>
          <w:tcPr>
            <w:tcW w:w="907" w:type="dxa"/>
            <w:vAlign w:val="center"/>
          </w:tcPr>
          <w:p w14:paraId="173E782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μg/L</w:t>
            </w:r>
          </w:p>
        </w:tc>
        <w:tc>
          <w:tcPr>
            <w:tcW w:w="1319" w:type="dxa"/>
            <w:vAlign w:val="center"/>
          </w:tcPr>
          <w:p w14:paraId="6678972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≤15</w:t>
            </w:r>
          </w:p>
        </w:tc>
        <w:tc>
          <w:tcPr>
            <w:tcW w:w="2000" w:type="dxa"/>
            <w:vAlign w:val="center"/>
          </w:tcPr>
          <w:p w14:paraId="769636C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26~150.6</w:t>
            </w:r>
          </w:p>
        </w:tc>
        <w:tc>
          <w:tcPr>
            <w:tcW w:w="2440" w:type="dxa"/>
            <w:vAlign w:val="center"/>
          </w:tcPr>
          <w:p w14:paraId="6B0FCEF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超标1.7~10.0倍</w:t>
            </w:r>
          </w:p>
        </w:tc>
      </w:tr>
      <w:tr w14:paraId="4CC9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vAlign w:val="center"/>
          </w:tcPr>
          <w:p w14:paraId="01002CE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饱和蒸汽二氧化硅</w:t>
            </w:r>
          </w:p>
        </w:tc>
        <w:tc>
          <w:tcPr>
            <w:tcW w:w="907" w:type="dxa"/>
            <w:vAlign w:val="center"/>
          </w:tcPr>
          <w:p w14:paraId="1CAD0E6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μg/kg</w:t>
            </w:r>
          </w:p>
        </w:tc>
        <w:tc>
          <w:tcPr>
            <w:tcW w:w="1319" w:type="dxa"/>
            <w:vAlign w:val="center"/>
          </w:tcPr>
          <w:p w14:paraId="2B4D676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w:t>
            </w:r>
          </w:p>
        </w:tc>
        <w:tc>
          <w:tcPr>
            <w:tcW w:w="2000" w:type="dxa"/>
            <w:vAlign w:val="center"/>
          </w:tcPr>
          <w:p w14:paraId="154729E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最高26.7</w:t>
            </w:r>
          </w:p>
        </w:tc>
        <w:tc>
          <w:tcPr>
            <w:tcW w:w="2440" w:type="dxa"/>
            <w:vAlign w:val="center"/>
          </w:tcPr>
          <w:p w14:paraId="75F5259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超标1.3倍</w:t>
            </w:r>
          </w:p>
        </w:tc>
      </w:tr>
      <w:tr w14:paraId="6DCC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vAlign w:val="center"/>
          </w:tcPr>
          <w:p w14:paraId="04719C2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浓缩冷凝水二氧化硅</w:t>
            </w:r>
          </w:p>
        </w:tc>
        <w:tc>
          <w:tcPr>
            <w:tcW w:w="907" w:type="dxa"/>
            <w:vAlign w:val="center"/>
          </w:tcPr>
          <w:p w14:paraId="067719A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μg/L</w:t>
            </w:r>
          </w:p>
        </w:tc>
        <w:tc>
          <w:tcPr>
            <w:tcW w:w="1319" w:type="dxa"/>
            <w:vAlign w:val="center"/>
          </w:tcPr>
          <w:p w14:paraId="6A8AA9B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2000" w:type="dxa"/>
            <w:vAlign w:val="center"/>
          </w:tcPr>
          <w:p w14:paraId="2F3790D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25.9</w:t>
            </w:r>
          </w:p>
        </w:tc>
        <w:tc>
          <w:tcPr>
            <w:tcW w:w="2440" w:type="dxa"/>
            <w:vAlign w:val="center"/>
          </w:tcPr>
          <w:p w14:paraId="4921312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超标2.6倍</w:t>
            </w:r>
          </w:p>
        </w:tc>
      </w:tr>
      <w:tr w14:paraId="020B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vAlign w:val="center"/>
          </w:tcPr>
          <w:p w14:paraId="2C6CDCB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混床再生周期</w:t>
            </w:r>
          </w:p>
        </w:tc>
        <w:tc>
          <w:tcPr>
            <w:tcW w:w="907" w:type="dxa"/>
            <w:vAlign w:val="center"/>
          </w:tcPr>
          <w:p w14:paraId="6A5FE81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天</w:t>
            </w:r>
          </w:p>
        </w:tc>
        <w:tc>
          <w:tcPr>
            <w:tcW w:w="1319" w:type="dxa"/>
            <w:vAlign w:val="center"/>
          </w:tcPr>
          <w:p w14:paraId="743933F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2000" w:type="dxa"/>
            <w:vAlign w:val="center"/>
          </w:tcPr>
          <w:p w14:paraId="443322A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1.5</w:t>
            </w:r>
          </w:p>
        </w:tc>
        <w:tc>
          <w:tcPr>
            <w:tcW w:w="2440" w:type="dxa"/>
            <w:vAlign w:val="center"/>
          </w:tcPr>
          <w:p w14:paraId="34AB12C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再生频次增加3.3倍</w:t>
            </w:r>
          </w:p>
        </w:tc>
      </w:tr>
      <w:tr w14:paraId="230F2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vAlign w:val="center"/>
          </w:tcPr>
          <w:p w14:paraId="1CB4FE7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冷凝液回收率</w:t>
            </w:r>
          </w:p>
        </w:tc>
        <w:tc>
          <w:tcPr>
            <w:tcW w:w="907" w:type="dxa"/>
            <w:vAlign w:val="center"/>
          </w:tcPr>
          <w:p w14:paraId="42364BB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w:t>
            </w:r>
          </w:p>
        </w:tc>
        <w:tc>
          <w:tcPr>
            <w:tcW w:w="1319" w:type="dxa"/>
            <w:vAlign w:val="center"/>
          </w:tcPr>
          <w:p w14:paraId="1E0E032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≥90</w:t>
            </w:r>
          </w:p>
        </w:tc>
        <w:tc>
          <w:tcPr>
            <w:tcW w:w="2000" w:type="dxa"/>
            <w:vAlign w:val="center"/>
          </w:tcPr>
          <w:p w14:paraId="02A6927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＜60</w:t>
            </w:r>
          </w:p>
        </w:tc>
        <w:tc>
          <w:tcPr>
            <w:tcW w:w="2440" w:type="dxa"/>
            <w:vAlign w:val="center"/>
          </w:tcPr>
          <w:p w14:paraId="472BFDB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回收严重不足</w:t>
            </w:r>
          </w:p>
        </w:tc>
      </w:tr>
      <w:tr w14:paraId="748C5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4" w:type="dxa"/>
            <w:vAlign w:val="center"/>
          </w:tcPr>
          <w:p w14:paraId="1D3EBDF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废水分质利用</w:t>
            </w:r>
          </w:p>
        </w:tc>
        <w:tc>
          <w:tcPr>
            <w:tcW w:w="907" w:type="dxa"/>
            <w:vAlign w:val="center"/>
          </w:tcPr>
          <w:p w14:paraId="0105E0A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w:t>
            </w:r>
          </w:p>
        </w:tc>
        <w:tc>
          <w:tcPr>
            <w:tcW w:w="1319" w:type="dxa"/>
            <w:vAlign w:val="center"/>
          </w:tcPr>
          <w:p w14:paraId="56FB180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分类回用</w:t>
            </w:r>
          </w:p>
        </w:tc>
        <w:tc>
          <w:tcPr>
            <w:tcW w:w="2000" w:type="dxa"/>
            <w:vAlign w:val="center"/>
          </w:tcPr>
          <w:p w14:paraId="23C3CF9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混合直排</w:t>
            </w:r>
          </w:p>
        </w:tc>
        <w:tc>
          <w:tcPr>
            <w:tcW w:w="2440" w:type="dxa"/>
            <w:vAlign w:val="center"/>
          </w:tcPr>
          <w:p w14:paraId="472E053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无分质机制</w:t>
            </w:r>
          </w:p>
        </w:tc>
      </w:tr>
    </w:tbl>
    <w:p w14:paraId="19547EF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上述数据表明，原系统稳定提供合格锅炉补水的工艺能力欠缺，同时节水节能、冷凝液回收、废水分质利用存在系统性短板，必须通过系统性工艺优化重构，恢复各单元机理功能，建立逐级净化、精准调控、闭环稳定、节水节能的水汽质量保障体系。</w:t>
      </w:r>
    </w:p>
    <w:p w14:paraId="2C75991E">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2工艺优化总体思路与技术路线</w:t>
      </w:r>
    </w:p>
    <w:p w14:paraId="6021E63C">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2.1工艺优化总体目标</w:t>
      </w:r>
    </w:p>
    <w:p w14:paraId="22F2B44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以机理修复、流程完善、单元强化、精准调控为核心，同步实现水汽达标与节水节能、冷凝液回收、废水分质利用目标：</w:t>
      </w:r>
    </w:p>
    <w:p w14:paraId="6693027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构建“多介质过滤→自清洗过滤→超滤→反渗透→混床”的逐级强化预处理工艺，稳定膜系统进水水质，提升水回收率，夯实节水节能基础；（2）建立“冷凝液回收→降温→缓冲→高温混床精制”的深度处理回用工艺，阻断杂质进入热力系统，实现冷凝液回收高质化、资源化；（3）重构除氧器内部流体与传热传质工艺，恢复高效热力除氧机理，降低蒸汽消耗，强化节水节能；（4）搭建废水分质利用体系，实现分类收集、梯级回用，减少外排、提升水资源利用率.</w:t>
      </w:r>
    </w:p>
    <w:p w14:paraId="319031CA">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2.2核心工艺优化路线</w:t>
      </w:r>
    </w:p>
    <w:p w14:paraId="2C9A299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本次优化围绕工艺流程与运行机理展开，不涉及单纯设备替换逻辑，形成五条主线工艺优化路线，全程贯穿节水节能、冷凝液回收、废水分质利用理念：</w:t>
      </w:r>
    </w:p>
    <w:p w14:paraId="52F042B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预处理工艺强化路线在超滤入口前增设多介质过滤工艺，实现悬浮物、胶体、颗粒的高效去除，将出水浊度稳定控制在2NTU以下，从机理上切断膜污染来源，构建稳定的膜系统前置屏障，提升系统水回收率，支撑节水节能。</w:t>
      </w:r>
    </w:p>
    <w:p w14:paraId="0A84CE9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冷凝液回收与精制工艺路线将原有“直接回用”工艺改为冷凝液回收—降温—缓冲—离子交换精制工艺：通过密闭收集实现冷凝液回收最大化，通过两级换热将高温冷凝水降至适宜温度，进入专用混床深度去除二氧化硅、钠离子、铁离子，使精制后冷凝水达到锅炉补给水高标准后再进入热力系统，同步实现水资源与热能回收。</w:t>
      </w:r>
    </w:p>
    <w:p w14:paraId="24A8DD5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除氧器工艺优化路线以复原旋膜式热力除氧高效传质机制为目标，通过改进内部构件、优化水流分布形式、规整填料布局、精准调控运行液位及优化蒸汽供给匹配关系，构建稳定的定压、恒温、饱和热力工况，使锅炉给水溶解氧稳定控制在15μg/L及以下。</w:t>
      </w:r>
    </w:p>
    <w:p w14:paraId="0C07036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（4）废水分质利用工艺路线按水质特征将系统废水分类，构建“分质收集—分质处理—梯级回用”工艺，将反渗透浓水、过滤器反洗水、再生废水等资源化利用，实现废水减量与节水节能。</w:t>
      </w:r>
    </w:p>
    <w:p w14:paraId="6E954FF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四条工艺路线相互耦合、逐级支撑，形成“源头控制—中段精制—末端保障—节水节能”的完整水汽质量提升与绿色运行工艺体系。</w:t>
      </w:r>
    </w:p>
    <w:p w14:paraId="317D9F5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3关键工艺优化设计与机理分析</w:t>
      </w:r>
    </w:p>
    <w:p w14:paraId="07B098CE">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3.1脱盐水预处理工艺优化</w:t>
      </w:r>
    </w:p>
    <w:p w14:paraId="1232C754">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3.1.1多介质过滤工艺设计与去除机理</w:t>
      </w:r>
    </w:p>
    <w:p w14:paraId="43D847D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针对原水胶体、悬浮物、有机物波动剧烈的问题，增设多介质过滤工艺作为超滤核心前置处理单元。滤床采用无烟煤—石英砂多级级配，利用深层过滤、吸附、絮凝截留多重机理协同作用：</w:t>
      </w:r>
    </w:p>
    <w:p w14:paraId="5774CC2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上层无烟煤滤料：吸附去除部分有机物、微生物与胶体；下层石英砂滤料：深度截留细小颗粒与絮凝体，降低出水浊度；级配形成梯度孔隙：实现沿程渐进式过滤，避免表层堵塞，提升纳污能力。</w:t>
      </w:r>
    </w:p>
    <w:p w14:paraId="52CDE69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该工艺可稳定将悬浮物控制在5mg/L以下，浊度≤2NTU，有效去除导致膜污染的关键前驱物质。与混凝沉淀、活性炭过滤、微滤等方案相比，多介质过滤具有无药剂二次污染、抗冲击负荷强、运行稳定、维护简单的工艺优势，最适合地表原水波动工况，同时可提升膜系统寿命与水回收率，强化节水节能效果。</w:t>
      </w:r>
    </w:p>
    <w:p w14:paraId="00CFCEE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3.1.2自清洗过滤工艺优化</w:t>
      </w:r>
    </w:p>
    <w:p w14:paraId="36E5D1D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将原有失效自清洗过滤器优化为电动刷式自清洗工艺，在不中断产水的前提下实现滤网自动清洁，进一步滤除少量穿透多介质过滤器的细小颗粒，形成“多介质过滤+自清洗过滤”双级保障预处理工艺，为超滤提供稳定、洁净、低污染的进水。</w:t>
      </w:r>
    </w:p>
    <w:p w14:paraId="5DA815A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该优化的核心机理在于：通过两级过滤实现颗粒逐级削减，避免单一过滤单元过载，使超滤进水水质长期稳定在设计区间内，从工艺层面消除膜污染的外部诱因，降低清洗水耗与设备能耗，服务节水节能目标。</w:t>
      </w:r>
    </w:p>
    <w:p w14:paraId="0750507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3.1.3反洗工艺优化与废水分质利用</w:t>
      </w:r>
    </w:p>
    <w:p w14:paraId="1F50A11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用反渗透浓水作为反洗水源，构建内部水循环反洗工艺，实现废水分质利用，减少新鲜水消耗的同时提升反洗水水质，避免反洗过程对滤料造成二次污染。反洗采用时间+压差双条件控制，根据实际过滤负荷自动调整反洗周期，使滤床始终保持最佳过滤状态。</w:t>
      </w:r>
    </w:p>
    <w:p w14:paraId="63F2C5E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同时针对混床树脂的利用率低，混床再生频繁，树脂再生效果差等问题</w:t>
      </w:r>
      <w:r>
        <w:rPr>
          <w:rFonts w:hint="eastAsia" w:ascii="宋体" w:hAnsi="宋体" w:eastAsia="宋体" w:cs="宋体"/>
          <w:sz w:val="21"/>
          <w:szCs w:val="21"/>
          <w:vertAlign w:val="superscript"/>
          <w:lang w:val="en-US" w:eastAsia="zh-CN"/>
        </w:rPr>
        <w:t>[5]</w:t>
      </w:r>
      <w:r>
        <w:rPr>
          <w:rFonts w:hint="eastAsia" w:ascii="宋体" w:hAnsi="宋体" w:eastAsia="宋体" w:cs="宋体"/>
          <w:sz w:val="21"/>
          <w:szCs w:val="21"/>
          <w:lang w:val="en-US" w:eastAsia="zh-CN"/>
        </w:rPr>
        <w:t>，在混床产水管上增加一根管道，配置相应的切换阀门，将不合格产水引入中间水箱，并新增一台电导率监控。混床失效，即产水电导率超过0.5μs/cm时，将产水循环至中间水箱约15小时左右，使混床出水电导率达到进水电导率的一半左右，即20μs/cm左右，充分利用未完成离子交换的树脂的交换能力，来减少中间水箱的电导率，提高混床产水量。混床改造流程如下图2所示。</w:t>
      </w:r>
    </w:p>
    <w:p w14:paraId="6B4008F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inline distT="0" distB="0" distL="114300" distR="114300">
            <wp:extent cx="5270500" cy="3227070"/>
            <wp:effectExtent l="0" t="0" r="6350" b="1143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5270500" cy="3227070"/>
                    </a:xfrm>
                    <a:prstGeom prst="rect">
                      <a:avLst/>
                    </a:prstGeom>
                    <a:noFill/>
                    <a:ln>
                      <a:noFill/>
                    </a:ln>
                  </pic:spPr>
                </pic:pic>
              </a:graphicData>
            </a:graphic>
          </wp:inline>
        </w:drawing>
      </w:r>
    </w:p>
    <w:p w14:paraId="5FBCCF0F">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图2混床改造流程</w:t>
      </w:r>
    </w:p>
    <w:p w14:paraId="7F90D9D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本环节是废水分质利用的关键节点，将原本外排的反渗透浓水转化为反洗工艺水、外排的不合格脱盐水变为混床进水，源头实现废水减量与资源化，显著提升节水节能水平。</w:t>
      </w:r>
    </w:p>
    <w:p w14:paraId="6D87CE5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3.2冷凝水深度处理与精制工艺优化</w:t>
      </w:r>
    </w:p>
    <w:p w14:paraId="68A05864">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3.2.1冷凝水降温工艺设计与热力学机理</w:t>
      </w:r>
    </w:p>
    <w:p w14:paraId="414A5E9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高温冷凝水（110~115℃）直接进入离子交换设备会造成树脂热老化、交换容量下降、运行紊乱</w:t>
      </w:r>
      <w:r>
        <w:rPr>
          <w:rFonts w:hint="eastAsia" w:ascii="宋体" w:hAnsi="宋体" w:eastAsia="宋体" w:cs="宋体"/>
          <w:sz w:val="21"/>
          <w:szCs w:val="21"/>
          <w:vertAlign w:val="superscript"/>
          <w:lang w:val="en-US" w:eastAsia="zh-CN"/>
        </w:rPr>
        <w:t>[6]</w:t>
      </w:r>
      <w:r>
        <w:rPr>
          <w:rFonts w:hint="eastAsia" w:ascii="宋体" w:hAnsi="宋体" w:eastAsia="宋体" w:cs="宋体"/>
          <w:sz w:val="21"/>
          <w:szCs w:val="21"/>
          <w:lang w:val="en-US" w:eastAsia="zh-CN"/>
        </w:rPr>
        <w:t>，因此必须进行降温工艺优化。采用两级间接换热工艺：</w:t>
      </w:r>
    </w:p>
    <w:p w14:paraId="7EF1C5A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一级换热：以低温脱盐水为冷源，回收冷凝水高位热能，提高脱盐水入口温度，降低除氧器蒸汽消耗；二级换热：以循环冷却水为冷源，将水温精确控制在45℃左右，进入离子交换树脂的最佳温度区间。</w:t>
      </w:r>
    </w:p>
    <w:p w14:paraId="75C308B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该工艺基于热量梯级利用与温度精准调控机理，既保证了离子交换设备安全稳定运行，又最大限度回收热能，实现冷凝液回收、水质提升与节水节能三重工艺目标。</w:t>
      </w:r>
    </w:p>
    <w:p w14:paraId="79556FD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3.2.2高温混床精制工艺与离子交换机理</w:t>
      </w:r>
    </w:p>
    <w:p w14:paraId="318DF15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针对冷凝水中二氧化硅、钠离子、铁离子、微量磷酸根等杂质，设置高温型混合离子交换精制工艺，采用耐高温、抗有机物污染的阳阴树脂，在45~50℃条件下实现深度脱盐[7]：</w:t>
      </w:r>
    </w:p>
    <w:p w14:paraId="0002DB0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阳离子交换树脂：去除Na⁺、Fe³⁺/Fe²⁺、Ca²⁺、Mg²⁺等阳离子；阴离子交换树脂：去除SiO₃²⁻、Cl⁻、PO₄³⁻、SO₄²⁻等阴离子；混床均匀混合：实现阳阴树脂同步交换，出水水质接近理论纯水。</w:t>
      </w:r>
    </w:p>
    <w:p w14:paraId="0E75C3A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核心工艺机理是：在冷凝水进入锅炉热力系统前，将所有挥发性与难挥发性杂质一次性深度脱除，从源头切断锅炉与蒸汽系统的杂质来源，彻底解决二氧化硅富集与汽轮机结垢问题。该工艺使冷凝液回收从“量的回收”升级为“质的达标”，真正实现高品质软水资源化，大幅减少脱盐水制备量，强化节水节能。经处理后，冷凝水关键指标可稳定达到：钠离子≤3μg/L，氯离子≤2μg/L，铁离子≤5μg/L，二氧化硅≤15μg/L，完全满足高标准锅炉补给水要求。</w:t>
      </w:r>
    </w:p>
    <w:p w14:paraId="534AAE00">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3.3除氧器工艺重构与热力除氧机理优化</w:t>
      </w:r>
    </w:p>
    <w:p w14:paraId="3A8A3A54">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3.3.1旋膜除氧器内部工艺优化</w:t>
      </w:r>
    </w:p>
    <w:p w14:paraId="770B081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以强化水膜形成、优化汽水接触、稳定饱和状态为目标，对除氧器进行全面工艺重构</w:t>
      </w:r>
      <w:r>
        <w:rPr>
          <w:rFonts w:hint="eastAsia" w:ascii="宋体" w:hAnsi="宋体" w:eastAsia="宋体" w:cs="宋体"/>
          <w:sz w:val="21"/>
          <w:szCs w:val="21"/>
          <w:vertAlign w:val="superscript"/>
          <w:lang w:val="en-US" w:eastAsia="zh-CN"/>
        </w:rPr>
        <w:t>[8]</w:t>
      </w:r>
      <w:r>
        <w:rPr>
          <w:rFonts w:hint="eastAsia" w:ascii="宋体" w:hAnsi="宋体" w:eastAsia="宋体" w:cs="宋体"/>
          <w:sz w:val="21"/>
          <w:szCs w:val="21"/>
          <w:lang w:val="en-US" w:eastAsia="zh-CN"/>
        </w:rPr>
        <w:t>：</w:t>
      </w:r>
    </w:p>
    <w:p w14:paraId="77BA430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优化旋膜管与布水结构：确保水流以均匀水膜形式沿管壁旋流下降，形成巨大气液接触界面；（2）更换规整填料：恢复均匀水膜分布，强化二次溶解氧解析；（3）优化蒸汽分配：使蒸汽均匀上升，与下降水膜逆流接触，维持稳定饱和温度；（4）完善鼓泡与导流结构：增强底部二次除氧，消除溶解氧残留。</w:t>
      </w:r>
    </w:p>
    <w:p w14:paraId="60B8082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通过上述优化，热力除氧三要素（饱和温度、充分接触、及时排汽）得到稳定保障，溶解氧去除机理恢复，蒸汽利用率大幅提升，蒸汽消耗降低，实现节能目标。</w:t>
      </w:r>
    </w:p>
    <w:p w14:paraId="4DB07E96">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bookmarkStart w:id="0" w:name="_GoBack"/>
      <w:r>
        <w:rPr>
          <w:rFonts w:hint="eastAsia" w:ascii="宋体" w:hAnsi="宋体" w:eastAsia="宋体" w:cs="宋体"/>
          <w:b/>
          <w:bCs/>
          <w:sz w:val="21"/>
          <w:szCs w:val="21"/>
          <w:lang w:val="en-US" w:eastAsia="zh-CN"/>
        </w:rPr>
        <w:t>3.3.2除氧器运行工艺优化</w:t>
      </w:r>
    </w:p>
    <w:bookmarkEnd w:id="0"/>
    <w:p w14:paraId="447B67A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正常操作时，除氧器液位控制在50%~70%区间，保证足够蒸汽空间与稳定水位；进水量、蒸汽量、排汽量采用联动调节，维持定压恒温运行；设置防冲击、防共振工艺措施，避免汽水冲击破坏传质条件。优化后，除氧器在负荷内均可维持稳定热力除氧工况，给水溶解氧稳定≤15μg/L，从工艺上消除氧腐蚀风险，同时减少蒸汽消耗，节水节能成效得到进一步提升。</w:t>
      </w:r>
    </w:p>
    <w:p w14:paraId="761BF134">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4工艺优化后运行机理与效果分析</w:t>
      </w:r>
    </w:p>
    <w:p w14:paraId="3C2F0734">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4.1预处理工艺对膜系统运行机理与节水节能的改善</w:t>
      </w:r>
    </w:p>
    <w:p w14:paraId="08670CE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强化预处理工艺投入运行后，超滤进水浊度、悬浮物、COD显著下降，膜面浓差极化与生物污染得到有效抑制，膜分离机理恢复正常：膜比通量衰减速率大幅降低，无需频繁化学清洗；反渗透脱盐率稳定，产水电导率波动消除；混床负荷均匀，再生周期显著延长；系统水回收率由65%~70%提升至85%以上，节水节能效果显著。</w:t>
      </w:r>
    </w:p>
    <w:p w14:paraId="42CB6C04">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工艺优化从过滤—吸附—截留机理层面解决了膜污染问题，使膜系统恢复长效稳定分离能力，同时为废水分质利用创造稳定条件。</w:t>
      </w:r>
    </w:p>
    <w:p w14:paraId="53E27DDA">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4.2冷凝水精制工艺对水汽系统的净化机理与冷凝液回收价值</w:t>
      </w:r>
    </w:p>
    <w:p w14:paraId="2229BF6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冷凝水深度精制工艺使进入热力系统的杂质负荷下降90%以上，炉水浓缩倍率可控，蒸汽携带量大幅降低：二氧化硅不再在汽轮机内析出结垢，通流部分保持洁净；铁离子与磷酸根得到有效控制，锅炉受热面腐蚀速率下降；热力系统水汽循环实现低杂质、高纯度、稳定态运行</w:t>
      </w:r>
      <w:r>
        <w:rPr>
          <w:rFonts w:hint="eastAsia" w:ascii="宋体" w:hAnsi="宋体" w:eastAsia="宋体" w:cs="宋体"/>
          <w:sz w:val="21"/>
          <w:szCs w:val="21"/>
          <w:vertAlign w:val="superscript"/>
          <w:lang w:val="en-US" w:eastAsia="zh-CN"/>
        </w:rPr>
        <w:t>[9]</w:t>
      </w:r>
      <w:r>
        <w:rPr>
          <w:rFonts w:hint="eastAsia" w:ascii="宋体" w:hAnsi="宋体" w:eastAsia="宋体" w:cs="宋体"/>
          <w:sz w:val="21"/>
          <w:szCs w:val="21"/>
          <w:lang w:val="en-US" w:eastAsia="zh-CN"/>
        </w:rPr>
        <w:t>；冷凝液回收率由60%提升至90%以上，高品质软水全量资源化。</w:t>
      </w:r>
    </w:p>
    <w:p w14:paraId="0B440FE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该工艺本质上构建了热力系统闭式净化循环，从输入侧切断杂质来源，实现长期无垢运行，同时将冷凝液回收的节水节能与资源化价值最大化释放。</w:t>
      </w:r>
    </w:p>
    <w:p w14:paraId="53183D3C">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4.3除氧器工艺优化对腐蚀控制与节水节能的机理作用</w:t>
      </w:r>
    </w:p>
    <w:p w14:paraId="41BDDAF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除氧器重构后，稳定维持饱和温度—均匀水膜—逆流接触的高效除氧工况，溶解氧稳定达标：氧腐蚀得到抑制，锅炉受热面使用寿命延长；炉水含铁量下降，蒸汽品质进一步提升；热力设备运行安全性与稳定性显著提高；蒸汽消耗量降低20%以上，节水节能成效突出。</w:t>
      </w:r>
    </w:p>
    <w:p w14:paraId="709DE749">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4.4工艺优化后核心水质、节水节能与资源化指标</w:t>
      </w:r>
    </w:p>
    <w:p w14:paraId="35573BD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经过系统性工艺优化，系统各项水质指标全面稳定达标，节水节能、冷凝液回收、废水分质利用成效显著，优化后系统关键指标达标表见表2。</w:t>
      </w:r>
    </w:p>
    <w:p w14:paraId="20ACD5F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表2优化后系统关键指标数据表</w:t>
      </w:r>
    </w:p>
    <w:tbl>
      <w:tblPr>
        <w:tblStyle w:val="1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8"/>
        <w:gridCol w:w="1160"/>
        <w:gridCol w:w="1600"/>
        <w:gridCol w:w="1733"/>
        <w:gridCol w:w="1391"/>
      </w:tblGrid>
      <w:tr w14:paraId="16F2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8" w:type="dxa"/>
            <w:vAlign w:val="center"/>
          </w:tcPr>
          <w:p w14:paraId="07A993A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指标名称</w:t>
            </w:r>
          </w:p>
        </w:tc>
        <w:tc>
          <w:tcPr>
            <w:tcW w:w="1160" w:type="dxa"/>
            <w:vAlign w:val="center"/>
          </w:tcPr>
          <w:p w14:paraId="007821D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单位</w:t>
            </w:r>
          </w:p>
        </w:tc>
        <w:tc>
          <w:tcPr>
            <w:tcW w:w="1600" w:type="dxa"/>
            <w:vAlign w:val="center"/>
          </w:tcPr>
          <w:p w14:paraId="6D16A08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设计控制值</w:t>
            </w:r>
          </w:p>
        </w:tc>
        <w:tc>
          <w:tcPr>
            <w:tcW w:w="1733" w:type="dxa"/>
            <w:vAlign w:val="center"/>
          </w:tcPr>
          <w:p w14:paraId="48A8DE4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优化后实测值</w:t>
            </w:r>
          </w:p>
        </w:tc>
        <w:tc>
          <w:tcPr>
            <w:tcW w:w="1391" w:type="dxa"/>
            <w:vAlign w:val="center"/>
          </w:tcPr>
          <w:p w14:paraId="0E0185A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达标情况</w:t>
            </w:r>
          </w:p>
        </w:tc>
      </w:tr>
      <w:tr w14:paraId="3667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8" w:type="dxa"/>
            <w:vAlign w:val="center"/>
          </w:tcPr>
          <w:p w14:paraId="7E844BC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脱盐水产水COD</w:t>
            </w:r>
          </w:p>
        </w:tc>
        <w:tc>
          <w:tcPr>
            <w:tcW w:w="1160" w:type="dxa"/>
            <w:vAlign w:val="center"/>
          </w:tcPr>
          <w:p w14:paraId="72C8A69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mg/L</w:t>
            </w:r>
          </w:p>
        </w:tc>
        <w:tc>
          <w:tcPr>
            <w:tcW w:w="1600" w:type="dxa"/>
            <w:vAlign w:val="center"/>
          </w:tcPr>
          <w:p w14:paraId="31BA994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1733" w:type="dxa"/>
            <w:vAlign w:val="center"/>
          </w:tcPr>
          <w:p w14:paraId="7C6A98D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391" w:type="dxa"/>
            <w:vAlign w:val="center"/>
          </w:tcPr>
          <w:p w14:paraId="35D9984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达标</w:t>
            </w:r>
          </w:p>
        </w:tc>
      </w:tr>
      <w:tr w14:paraId="3B58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8" w:type="dxa"/>
            <w:vAlign w:val="center"/>
          </w:tcPr>
          <w:p w14:paraId="702B438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冷凝液精制二氧化硅</w:t>
            </w:r>
          </w:p>
        </w:tc>
        <w:tc>
          <w:tcPr>
            <w:tcW w:w="1160" w:type="dxa"/>
            <w:vAlign w:val="center"/>
          </w:tcPr>
          <w:p w14:paraId="5F671FC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μg/L</w:t>
            </w:r>
          </w:p>
        </w:tc>
        <w:tc>
          <w:tcPr>
            <w:tcW w:w="1600" w:type="dxa"/>
            <w:vAlign w:val="center"/>
          </w:tcPr>
          <w:p w14:paraId="7E81979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p>
        </w:tc>
        <w:tc>
          <w:tcPr>
            <w:tcW w:w="1733" w:type="dxa"/>
            <w:vAlign w:val="center"/>
          </w:tcPr>
          <w:p w14:paraId="5B9AE7E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≤6.46</w:t>
            </w:r>
          </w:p>
        </w:tc>
        <w:tc>
          <w:tcPr>
            <w:tcW w:w="1391" w:type="dxa"/>
            <w:vAlign w:val="center"/>
          </w:tcPr>
          <w:p w14:paraId="76DEAA2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达标</w:t>
            </w:r>
          </w:p>
        </w:tc>
      </w:tr>
      <w:tr w14:paraId="5E0E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8" w:type="dxa"/>
            <w:vAlign w:val="center"/>
          </w:tcPr>
          <w:p w14:paraId="43EA14E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锅炉给水溶解氧</w:t>
            </w:r>
          </w:p>
        </w:tc>
        <w:tc>
          <w:tcPr>
            <w:tcW w:w="1160" w:type="dxa"/>
            <w:vAlign w:val="center"/>
          </w:tcPr>
          <w:p w14:paraId="1E45F8C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μg/L</w:t>
            </w:r>
          </w:p>
        </w:tc>
        <w:tc>
          <w:tcPr>
            <w:tcW w:w="1600" w:type="dxa"/>
            <w:vAlign w:val="center"/>
          </w:tcPr>
          <w:p w14:paraId="04CCE3A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p>
        </w:tc>
        <w:tc>
          <w:tcPr>
            <w:tcW w:w="1733" w:type="dxa"/>
            <w:vAlign w:val="center"/>
          </w:tcPr>
          <w:p w14:paraId="621CEB0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8.3~9.4</w:t>
            </w:r>
          </w:p>
        </w:tc>
        <w:tc>
          <w:tcPr>
            <w:tcW w:w="1391" w:type="dxa"/>
            <w:vAlign w:val="center"/>
          </w:tcPr>
          <w:p w14:paraId="4BB6B12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达标</w:t>
            </w:r>
          </w:p>
        </w:tc>
      </w:tr>
      <w:tr w14:paraId="168F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8" w:type="dxa"/>
            <w:vAlign w:val="center"/>
          </w:tcPr>
          <w:p w14:paraId="7D280B4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饱和蒸汽二氧化硅</w:t>
            </w:r>
          </w:p>
        </w:tc>
        <w:tc>
          <w:tcPr>
            <w:tcW w:w="1160" w:type="dxa"/>
            <w:vAlign w:val="center"/>
          </w:tcPr>
          <w:p w14:paraId="3001163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μg/kg</w:t>
            </w:r>
          </w:p>
        </w:tc>
        <w:tc>
          <w:tcPr>
            <w:tcW w:w="1600" w:type="dxa"/>
            <w:vAlign w:val="center"/>
          </w:tcPr>
          <w:p w14:paraId="31016E5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1733" w:type="dxa"/>
            <w:vAlign w:val="center"/>
          </w:tcPr>
          <w:p w14:paraId="0292035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1391" w:type="dxa"/>
            <w:vAlign w:val="center"/>
          </w:tcPr>
          <w:p w14:paraId="47340BD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达标</w:t>
            </w:r>
          </w:p>
        </w:tc>
      </w:tr>
      <w:tr w14:paraId="127B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8" w:type="dxa"/>
            <w:vAlign w:val="center"/>
          </w:tcPr>
          <w:p w14:paraId="42ABA6D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给水铁离子</w:t>
            </w:r>
          </w:p>
        </w:tc>
        <w:tc>
          <w:tcPr>
            <w:tcW w:w="1160" w:type="dxa"/>
            <w:vAlign w:val="center"/>
          </w:tcPr>
          <w:p w14:paraId="62B40E1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μg/L</w:t>
            </w:r>
          </w:p>
        </w:tc>
        <w:tc>
          <w:tcPr>
            <w:tcW w:w="1600" w:type="dxa"/>
            <w:vAlign w:val="center"/>
          </w:tcPr>
          <w:p w14:paraId="6C7B3C2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w:t>
            </w:r>
          </w:p>
        </w:tc>
        <w:tc>
          <w:tcPr>
            <w:tcW w:w="1733" w:type="dxa"/>
            <w:vAlign w:val="center"/>
          </w:tcPr>
          <w:p w14:paraId="358B914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1391" w:type="dxa"/>
            <w:vAlign w:val="center"/>
          </w:tcPr>
          <w:p w14:paraId="539AB68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达标</w:t>
            </w:r>
          </w:p>
        </w:tc>
      </w:tr>
      <w:tr w14:paraId="4D93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8" w:type="dxa"/>
            <w:vAlign w:val="center"/>
          </w:tcPr>
          <w:p w14:paraId="6CC36F1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产水电导率</w:t>
            </w:r>
          </w:p>
        </w:tc>
        <w:tc>
          <w:tcPr>
            <w:tcW w:w="1160" w:type="dxa"/>
            <w:vAlign w:val="center"/>
          </w:tcPr>
          <w:p w14:paraId="5F4D8BE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μS/cm</w:t>
            </w:r>
          </w:p>
        </w:tc>
        <w:tc>
          <w:tcPr>
            <w:tcW w:w="1600" w:type="dxa"/>
            <w:vAlign w:val="center"/>
          </w:tcPr>
          <w:p w14:paraId="0DDE3EE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≤0.4</w:t>
            </w:r>
          </w:p>
        </w:tc>
        <w:tc>
          <w:tcPr>
            <w:tcW w:w="1733" w:type="dxa"/>
            <w:vAlign w:val="center"/>
          </w:tcPr>
          <w:p w14:paraId="5A6E252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≤0.3</w:t>
            </w:r>
          </w:p>
        </w:tc>
        <w:tc>
          <w:tcPr>
            <w:tcW w:w="1391" w:type="dxa"/>
            <w:vAlign w:val="center"/>
          </w:tcPr>
          <w:p w14:paraId="61E5F34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达标</w:t>
            </w:r>
          </w:p>
        </w:tc>
      </w:tr>
      <w:tr w14:paraId="476C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8" w:type="dxa"/>
            <w:vAlign w:val="center"/>
          </w:tcPr>
          <w:p w14:paraId="44ED3AE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冷凝液回收率</w:t>
            </w:r>
          </w:p>
        </w:tc>
        <w:tc>
          <w:tcPr>
            <w:tcW w:w="1160" w:type="dxa"/>
            <w:vAlign w:val="center"/>
          </w:tcPr>
          <w:p w14:paraId="5683E2F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600" w:type="dxa"/>
            <w:vAlign w:val="center"/>
          </w:tcPr>
          <w:p w14:paraId="5EF5E9E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≥90</w:t>
            </w:r>
          </w:p>
        </w:tc>
        <w:tc>
          <w:tcPr>
            <w:tcW w:w="1733" w:type="dxa"/>
            <w:vAlign w:val="center"/>
          </w:tcPr>
          <w:p w14:paraId="502E084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≥92</w:t>
            </w:r>
          </w:p>
        </w:tc>
        <w:tc>
          <w:tcPr>
            <w:tcW w:w="1391" w:type="dxa"/>
            <w:vAlign w:val="center"/>
          </w:tcPr>
          <w:p w14:paraId="1870E00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达标</w:t>
            </w:r>
          </w:p>
        </w:tc>
      </w:tr>
      <w:tr w14:paraId="71BD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8" w:type="dxa"/>
            <w:vAlign w:val="center"/>
          </w:tcPr>
          <w:p w14:paraId="45BB2C6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废水分质利用率</w:t>
            </w:r>
          </w:p>
        </w:tc>
        <w:tc>
          <w:tcPr>
            <w:tcW w:w="1160" w:type="dxa"/>
            <w:vAlign w:val="center"/>
          </w:tcPr>
          <w:p w14:paraId="20F610F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600" w:type="dxa"/>
            <w:vAlign w:val="center"/>
          </w:tcPr>
          <w:p w14:paraId="3007699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≥70</w:t>
            </w:r>
          </w:p>
        </w:tc>
        <w:tc>
          <w:tcPr>
            <w:tcW w:w="1733" w:type="dxa"/>
            <w:vAlign w:val="center"/>
          </w:tcPr>
          <w:p w14:paraId="2739E76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≥75</w:t>
            </w:r>
          </w:p>
        </w:tc>
        <w:tc>
          <w:tcPr>
            <w:tcW w:w="1391" w:type="dxa"/>
            <w:vAlign w:val="center"/>
          </w:tcPr>
          <w:p w14:paraId="4B576AB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达标</w:t>
            </w:r>
          </w:p>
        </w:tc>
      </w:tr>
      <w:tr w14:paraId="06E5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38" w:type="dxa"/>
            <w:vAlign w:val="center"/>
          </w:tcPr>
          <w:p w14:paraId="5DACBA4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综合节水节能率</w:t>
            </w:r>
          </w:p>
        </w:tc>
        <w:tc>
          <w:tcPr>
            <w:tcW w:w="1160" w:type="dxa"/>
            <w:vAlign w:val="center"/>
          </w:tcPr>
          <w:p w14:paraId="412E305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600" w:type="dxa"/>
            <w:vAlign w:val="center"/>
          </w:tcPr>
          <w:p w14:paraId="278879C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≥35</w:t>
            </w:r>
          </w:p>
        </w:tc>
        <w:tc>
          <w:tcPr>
            <w:tcW w:w="1733" w:type="dxa"/>
            <w:vAlign w:val="center"/>
          </w:tcPr>
          <w:p w14:paraId="3204127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≥38</w:t>
            </w:r>
          </w:p>
        </w:tc>
        <w:tc>
          <w:tcPr>
            <w:tcW w:w="1391" w:type="dxa"/>
            <w:vAlign w:val="center"/>
          </w:tcPr>
          <w:p w14:paraId="0BFE573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达标</w:t>
            </w:r>
          </w:p>
        </w:tc>
      </w:tr>
    </w:tbl>
    <w:p w14:paraId="21D8E87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研究结果表明：混床树脂利用率由50%～60%提升至90%以上，高温冷凝水显热得到高效回收，除氧器蒸汽消耗量明显降低，系统综合节水率与能源利用效率实现显著提升。</w:t>
      </w:r>
    </w:p>
    <w:p w14:paraId="260034F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研究构建形成预处理—过滤分离—冷凝液回收精制—热力除氧—废水分质利用—闭环调控多单元协同增效的水处理体系：预处理单元主要承担外来杂质截留、提升水回收率的功能；膜分离单元承担深度脱盐与水质纯化任务；冷凝液回收精制单元实现内部循环水的深度净化与余热回收；热力除氧单元用于抑制设备腐蚀、减少蒸汽损耗；废水分质利用单元推动废水资源化利用、降低外排总量；自动控制单元保障系统平稳运行、确保节水节能措施精准落地。各单元功能互补、逐级强化，使整套系统具备抗干扰能力强、运行工况稳定、服役周期长、水质指标优异、节能节水突出的技术特点，可满足大型硫磺制酸装置连续化、绿色化、高效化运行要求。</w:t>
      </w:r>
    </w:p>
    <w:p w14:paraId="6DDB5556">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5结论</w:t>
      </w:r>
    </w:p>
    <w:p w14:paraId="2B3A485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大型硫磺制酸装置脱盐水与锅炉水汽系统水质劣化，根源在于预处理工艺缺失、冷凝液回收工艺简化、除氧器传质工艺劣化、废水分质利用空白、调控工艺滞后，必须通过系统性机理优化实现水汽达标、节水节能、资源化协同提升。</w:t>
      </w:r>
    </w:p>
    <w:p w14:paraId="4B623FE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2.增设多介质过滤+自清洗过滤双级预处理工艺，可从源头稳定进水水质，抑制膜污染，恢复膜分离长效机理，提升系统水回收率，是实现节水节能的关键前提。</w:t>
      </w:r>
    </w:p>
    <w:p w14:paraId="33C3FF2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3.建立冷凝液回收—降温—缓冲—高温混床精制深度处理工艺，可深度去除二氧化硅、铁、钠等杂质，切断热力系统杂质来源，解决汽轮机结垢难题，同时实现冷凝液回收高质化与节水节能。</w:t>
      </w:r>
    </w:p>
    <w:p w14:paraId="4B5F6FD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4.重构旋膜除氧器内部构件与外部运行工艺，恢复高效热力除氧机理，可使给水溶解氧稳定达标，降低蒸汽消耗，从工艺上根除氧腐蚀、强化节水节能。</w:t>
      </w:r>
    </w:p>
    <w:p w14:paraId="7026A67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5.构建废水分质利用体系，实现分类收集、梯级回用，可大幅减少新鲜水取用与废水外排，进一步提升节水节能水平。</w:t>
      </w:r>
    </w:p>
    <w:p w14:paraId="060E131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综合工艺优化后，系统水汽指标全面满足相关标准要求，膜与树脂运行工况显著改善，热力系统实现无垢、低腐蚀、高效率稳定运行，节水节能、冷凝液回收、废水分质利用成效突出，可为同类硫磺制酸及化工装置水处理系统绿色工艺优化提供直接技术参考。</w:t>
      </w:r>
    </w:p>
    <w:p w14:paraId="6F8C4632">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sz w:val="21"/>
          <w:szCs w:val="21"/>
          <w:lang w:val="en-US" w:eastAsia="zh-CN"/>
        </w:rPr>
      </w:pPr>
    </w:p>
    <w:p w14:paraId="65CEBDF6">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33A6F2A1">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[1]黄伟,吴艳.锅炉给水溶解氧控制技术与除氧器运行优化[J].热力发电，2022,51(08):98-103.</w:t>
      </w:r>
    </w:p>
    <w:p w14:paraId="07900A82">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[2]周明,李娟.硫磺制酸装置冷凝液净化回用与节能改造实践[J].云南化工，2022,49(06):156-158.</w:t>
      </w:r>
    </w:p>
    <w:p w14:paraId="2CEECACD">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[3]张春华,王静.工业废水分质分流处理及在脱盐水系统中的回用技术[J].水处理技术，2023,49(03):121-124.</w:t>
      </w:r>
    </w:p>
    <w:p w14:paraId="0403E677">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[4]郭慎行，尤永平，张伟，等。高压锅炉给水溶解氧超标原因分析及对策[J].大氮肥，2013,36(04):246-248.</w:t>
      </w:r>
    </w:p>
    <w:p w14:paraId="1018DBEF">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[5]张宏,陈丽.化工脱盐水系统混床树脂利用率提升及废水回用技术[J].工业水处理，2022,42(08):112-115.</w:t>
      </w:r>
    </w:p>
    <w:p w14:paraId="657EA6DE">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[6]王军，刘艳.硫磺制酸装置低温余热回收与节水集成技术研究[J].硫酸工业，2023(04):19-23.</w:t>
      </w:r>
    </w:p>
    <w:p w14:paraId="62853155">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[7]赵强，刘畅。混床离子交换树脂再生优化与不合格产水循环利用[J].工业用水与废水，2022,53(05):67-70.</w:t>
      </w:r>
    </w:p>
    <w:p w14:paraId="30EC013A">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[8]张磊,孙伟.旋膜式除氧器结构优化及热力除氧效率提升研究[J].锅炉技术，2023,54(02):45-49.</w:t>
      </w:r>
    </w:p>
    <w:p w14:paraId="63DB5C50">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[9]陈亮,马晓东.大型化工装置脱盐水系统全流程节水节能优化方案[J].化肥工业，2023,50(02):56-59.</w:t>
      </w:r>
    </w:p>
    <w:p w14:paraId="20E062B3">
      <w:pPr>
        <w:jc w:val="center"/>
        <w:rPr>
          <w:rFonts w:hint="default"/>
          <w:lang w:val="en-US" w:eastAsia="zh-CN"/>
        </w:rPr>
      </w:pPr>
    </w:p>
    <w:p w14:paraId="37B05DE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284A"/>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832245"/>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8A0258"/>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CF3211F"/>
    <w:rsid w:val="1D01483C"/>
    <w:rsid w:val="1D5D57EA"/>
    <w:rsid w:val="1DA358F3"/>
    <w:rsid w:val="1DDC0E05"/>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3C9616F"/>
    <w:rsid w:val="24174945"/>
    <w:rsid w:val="24212C83"/>
    <w:rsid w:val="244020ED"/>
    <w:rsid w:val="248B32E5"/>
    <w:rsid w:val="24B17D3C"/>
    <w:rsid w:val="24DD79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662182"/>
    <w:rsid w:val="2A6D1762"/>
    <w:rsid w:val="2A9C2048"/>
    <w:rsid w:val="2AF37C49"/>
    <w:rsid w:val="2AFC4894"/>
    <w:rsid w:val="2C1A3224"/>
    <w:rsid w:val="2C5C383D"/>
    <w:rsid w:val="2C5F332D"/>
    <w:rsid w:val="2CDC497D"/>
    <w:rsid w:val="2DA03BFD"/>
    <w:rsid w:val="2DA336ED"/>
    <w:rsid w:val="2DD45655"/>
    <w:rsid w:val="2E7221A8"/>
    <w:rsid w:val="2EC67693"/>
    <w:rsid w:val="2EE30245"/>
    <w:rsid w:val="2F087CAC"/>
    <w:rsid w:val="2F0E4B96"/>
    <w:rsid w:val="2F1009C1"/>
    <w:rsid w:val="2F1A353B"/>
    <w:rsid w:val="2F1F6DA3"/>
    <w:rsid w:val="2F397E65"/>
    <w:rsid w:val="2F620882"/>
    <w:rsid w:val="2F633134"/>
    <w:rsid w:val="2F882B9B"/>
    <w:rsid w:val="2FA86D99"/>
    <w:rsid w:val="312F3756"/>
    <w:rsid w:val="31496359"/>
    <w:rsid w:val="315E0057"/>
    <w:rsid w:val="318D4498"/>
    <w:rsid w:val="3199108F"/>
    <w:rsid w:val="319F16AA"/>
    <w:rsid w:val="31B9528D"/>
    <w:rsid w:val="31CC4FC0"/>
    <w:rsid w:val="31F167D5"/>
    <w:rsid w:val="3216448E"/>
    <w:rsid w:val="321D581C"/>
    <w:rsid w:val="323963CE"/>
    <w:rsid w:val="3273368E"/>
    <w:rsid w:val="32963820"/>
    <w:rsid w:val="32E20814"/>
    <w:rsid w:val="337771AE"/>
    <w:rsid w:val="33DB773D"/>
    <w:rsid w:val="33ED7470"/>
    <w:rsid w:val="33F94067"/>
    <w:rsid w:val="3445105A"/>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62EF9"/>
    <w:rsid w:val="465515D1"/>
    <w:rsid w:val="468E4AE3"/>
    <w:rsid w:val="46F54E2D"/>
    <w:rsid w:val="46FD57C4"/>
    <w:rsid w:val="47925F0D"/>
    <w:rsid w:val="47A143DA"/>
    <w:rsid w:val="47E81E53"/>
    <w:rsid w:val="48A028AB"/>
    <w:rsid w:val="48B545A9"/>
    <w:rsid w:val="495C0DBE"/>
    <w:rsid w:val="49902920"/>
    <w:rsid w:val="49CB1BAA"/>
    <w:rsid w:val="4A070E34"/>
    <w:rsid w:val="4A4F4589"/>
    <w:rsid w:val="4AB60164"/>
    <w:rsid w:val="4B7818BD"/>
    <w:rsid w:val="4B8E06C7"/>
    <w:rsid w:val="4BFC429C"/>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4634E"/>
    <w:rsid w:val="57E97DCB"/>
    <w:rsid w:val="57EF1159"/>
    <w:rsid w:val="583059FA"/>
    <w:rsid w:val="5847689F"/>
    <w:rsid w:val="58532B2C"/>
    <w:rsid w:val="58984204"/>
    <w:rsid w:val="58C47EF0"/>
    <w:rsid w:val="59285798"/>
    <w:rsid w:val="596F4300"/>
    <w:rsid w:val="596F60AE"/>
    <w:rsid w:val="5A2A0227"/>
    <w:rsid w:val="5A7B0A82"/>
    <w:rsid w:val="5B0311A3"/>
    <w:rsid w:val="5BB5218E"/>
    <w:rsid w:val="5BDC19F5"/>
    <w:rsid w:val="5BFE5E0F"/>
    <w:rsid w:val="5CAA564F"/>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A5025"/>
    <w:rsid w:val="62CC27C3"/>
    <w:rsid w:val="635A7DCF"/>
    <w:rsid w:val="637D586B"/>
    <w:rsid w:val="63872EA4"/>
    <w:rsid w:val="63F26259"/>
    <w:rsid w:val="64061D04"/>
    <w:rsid w:val="640A365A"/>
    <w:rsid w:val="640E2967"/>
    <w:rsid w:val="645C1924"/>
    <w:rsid w:val="64754794"/>
    <w:rsid w:val="64FD7B2B"/>
    <w:rsid w:val="657B402C"/>
    <w:rsid w:val="65C07C91"/>
    <w:rsid w:val="66CA526B"/>
    <w:rsid w:val="67BD092C"/>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7E112C"/>
    <w:rsid w:val="71E7307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339</Words>
  <Characters>352</Characters>
  <Lines>35</Lines>
  <Paragraphs>9</Paragraphs>
  <TotalTime>0</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2026-05-27T07:39:42Z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