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7E9B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</w:p>
    <w:p w14:paraId="3C9C1A3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  <w:r>
        <w:rPr>
          <w:rFonts w:hint="eastAsia" w:ascii="隶书" w:hAnsi="隶书" w:eastAsia="隶书" w:cs="隶书"/>
          <w:lang w:val="en-US" w:eastAsia="zh-CN"/>
        </w:rPr>
        <w:t>硫酸装置排气筒SO</w:t>
      </w:r>
      <w:r>
        <w:rPr>
          <w:rFonts w:hint="eastAsia" w:ascii="隶书" w:hAnsi="隶书" w:eastAsia="隶书" w:cs="隶书"/>
          <w:vertAlign w:val="subscript"/>
          <w:lang w:val="en-US" w:eastAsia="zh-CN"/>
        </w:rPr>
        <w:t>2</w:t>
      </w:r>
      <w:r>
        <w:rPr>
          <w:rFonts w:hint="eastAsia" w:ascii="隶书" w:hAnsi="隶书" w:eastAsia="隶书" w:cs="隶书"/>
          <w:lang w:val="en-US" w:eastAsia="zh-CN"/>
        </w:rPr>
        <w:t>对硫酸雾的影响因素</w:t>
      </w:r>
    </w:p>
    <w:p w14:paraId="4ABA4E0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  <w:r>
        <w:rPr>
          <w:rFonts w:hint="eastAsia" w:ascii="隶书" w:hAnsi="隶书" w:eastAsia="隶书" w:cs="隶书"/>
          <w:lang w:val="en-US" w:eastAsia="zh-CN"/>
        </w:rPr>
        <w:t>分析研究</w:t>
      </w:r>
    </w:p>
    <w:p w14:paraId="4CD1313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李剑</w:t>
      </w:r>
    </w:p>
    <w:p w14:paraId="05F734B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云南三环中化化肥有限公司</w:t>
      </w:r>
    </w:p>
    <w:p w14:paraId="72102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0" w:name="OLE_LINK1"/>
    </w:p>
    <w:p w14:paraId="745D7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color w:val="000000"/>
          <w:kern w:val="0"/>
          <w:sz w:val="21"/>
          <w:szCs w:val="21"/>
          <w:lang w:bidi="he-IL"/>
        </w:rPr>
      </w:pPr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摘要：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he-IL"/>
        </w:rPr>
        <w:t>通过现场实验测定分析，判断HJ544-2016版《固定污染源废气硫酸雾的测定离子色谱法》标准中的吸收液对SO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he-IL"/>
        </w:rPr>
        <w:t>的吸收作用，验证吸收液吸收中SO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he-IL"/>
        </w:rPr>
        <w:t>氧化后造成硫酸雾测定量浓度升高，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val="en-US" w:eastAsia="zh-CN" w:bidi="he-IL"/>
        </w:rPr>
        <w:t>SO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val="en-US" w:eastAsia="zh-CN" w:bidi="he-IL"/>
        </w:rPr>
        <w:t>气体在通过NaOH吸收液后，SO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val="en-US" w:eastAsia="zh-CN" w:bidi="he-IL"/>
        </w:rPr>
        <w:t>基本全部被吸收，生成的SO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vertAlign w:val="subscript"/>
          <w:lang w:val="en-US" w:eastAsia="zh-CN" w:bidi="he-IL"/>
        </w:rPr>
        <w:t>3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vertAlign w:val="superscript"/>
          <w:lang w:val="en-US" w:eastAsia="zh-CN" w:bidi="he-IL"/>
        </w:rPr>
        <w:t>2-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val="en-US" w:eastAsia="zh-CN" w:bidi="he-IL"/>
        </w:rPr>
        <w:t>，在O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val="en-US" w:eastAsia="zh-CN" w:bidi="he-IL"/>
        </w:rPr>
        <w:t>作用下氧化成SO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vertAlign w:val="subscript"/>
          <w:lang w:val="en-US" w:eastAsia="zh-CN" w:bidi="he-IL"/>
        </w:rPr>
        <w:t>4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vertAlign w:val="superscript"/>
          <w:lang w:val="en-US" w:eastAsia="zh-CN" w:bidi="he-IL"/>
        </w:rPr>
        <w:t>2-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val="en-US" w:eastAsia="zh-CN" w:bidi="he-IL"/>
        </w:rPr>
        <w:t>，增加硫酸雾监测含量从而使分析结果升高，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he-IL"/>
        </w:rPr>
        <w:t>确定了影响硫酸雾排放量的因素。分析监测采样过程进一步梳理验证得出：其中滤筒阻留部分硫酸雾含量仅占10%左右，而SO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he-IL"/>
        </w:rPr>
        <w:t>被2只串联的Na0H吸收瓶吸收，吸收液中的亚硫酸盐转化为硫酸盐被作为硫酸雾体现，（包括：微细颗粒物附着的可溶性硫酸盐、穿透滤筒的硫酸小液滴和气相所含二氧化硫）含量占比高达90%左右。现场实验验证充分说明硫酸装置放空SO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he-IL"/>
        </w:rPr>
        <w:t>浓度对硫酸雾的测定浓度影响占主导作用，放空SO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he-IL"/>
        </w:rPr>
        <w:t>浓度控制，可使放空硫酸雾量降低，从而可以使排气筒硫酸雾达标排放。</w:t>
      </w:r>
      <w:bookmarkEnd w:id="0"/>
    </w:p>
    <w:p w14:paraId="23A5B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关键词：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he-IL"/>
        </w:rPr>
        <w:t>固定污染源废气 离子色谱法 硫酸雾 SO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he-IL"/>
        </w:rPr>
        <w:t xml:space="preserve"> 二氧化硫 SO₂ 亚硫酸根 SO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vertAlign w:val="subscript"/>
          <w:lang w:val="en-US" w:eastAsia="zh-CN" w:bidi="he-IL"/>
        </w:rPr>
        <w:t>3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vertAlign w:val="superscript"/>
          <w:lang w:val="en-US" w:eastAsia="zh-CN" w:bidi="he-IL"/>
        </w:rPr>
        <w:t>2−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he-IL"/>
        </w:rPr>
        <w:t xml:space="preserve"> 硫酸根 SO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vertAlign w:val="subscript"/>
          <w:lang w:val="en-US" w:eastAsia="zh-CN" w:bidi="he-IL"/>
        </w:rPr>
        <w:t>4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vertAlign w:val="superscript"/>
          <w:lang w:val="en-US" w:eastAsia="zh-CN" w:bidi="he-IL"/>
        </w:rPr>
        <w:t>2−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he-IL"/>
        </w:rPr>
        <w:t xml:space="preserve"> 滤筒 串联吸收瓶 达标排放 测定</w:t>
      </w:r>
    </w:p>
    <w:p w14:paraId="517FAE6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pacing w:beforeAutospacing="0" w:afterAutospacing="0" w:line="400" w:lineRule="exact"/>
        <w:ind w:left="0" w:right="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bookmarkStart w:id="1" w:name="_Toc1340"/>
      <w:bookmarkStart w:id="2" w:name="_Toc22663"/>
    </w:p>
    <w:p w14:paraId="2285C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引言</w:t>
      </w:r>
      <w:bookmarkEnd w:id="1"/>
      <w:bookmarkEnd w:id="2"/>
    </w:p>
    <w:p w14:paraId="55F3F1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20" w:firstLineChars="200"/>
        <w:textAlignment w:val="auto"/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</w:pP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当前在国家环保排放要求越来越严格的情况下,硫黄制酸装置尾气硫酸雾含量超标会给生产经营造成一定影响。当二氧化硫溶于水中，会形成</w:t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fldChar w:fldCharType="begin"/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instrText xml:space="preserve"> HYPERLINK "https://baike.baidu.com/item/%E4%BA%9A%E7%A1%AB%E9%85%B8/7613207?fromModule=lemma_inlink" \t "https://baike.baidu.com/item/%E4%BA%8C%E6%B0%A7%E5%8C%96%E7%A1%AB/_blank" </w:instrText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fldChar w:fldCharType="separate"/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亚硫酸</w:t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fldChar w:fldCharType="end"/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。亚硫酸进一步在PM2.5存在的条件下氧化，便会迅速高效生成</w:t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fldChar w:fldCharType="begin"/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instrText xml:space="preserve"> HYPERLINK "https://baike.baidu.com/item/%E7%A1%AB%E9%85%B8/114535?fromModule=lemma_inlink" \t "https://baike.baidu.com/item/%E4%BA%8C%E6%B0%A7%E5%8C%96%E7%A1%AB/_blank" </w:instrText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fldChar w:fldCharType="separate"/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硫酸</w:t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fldChar w:fldCharType="end"/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（酸雨的主要成分之一）。硫酸雾也叫</w:t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fldChar w:fldCharType="begin"/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instrText xml:space="preserve"> HYPERLINK "https://baike.baidu.com/item/%E9%85%B8%E9%9B%BE/0?fromModule=lemma_inlink" \t "https://baike.baidu.com/item/%E7%A1%AB%E9%85%B8%E9%9B%BE/_blank" </w:instrText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fldChar w:fldCharType="separate"/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酸雾</w:t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fldChar w:fldCharType="end"/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，通常指大量漂浮的</w:t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fldChar w:fldCharType="begin"/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instrText xml:space="preserve"> HYPERLINK "https://baike.baidu.com/item/%E7%A1%AB%E9%85%B8/0?fromModule=lemma_inlink" \t "https://baike.baidu.com/item/%E7%A1%AB%E9%85%B8%E9%9B%BE/_blank" </w:instrText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fldChar w:fldCharType="separate"/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硫酸</w:t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fldChar w:fldCharType="end"/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微粒形成的烟雾，产生过程中排放的含硫氧化物废气造成，是一种大气污染现象。大气中二氧化硫可被氧化成硫酸雾，它的危害作用比二氧化硫大10倍。我们可以通过HJ544-2016版《固定污染源废气硫酸雾的测定离子色谱法》新标准，监测硫酸雾测定量升高原因，从中确定影响硫酸雾排放量的因素，通过验证充分说明放空SO</w:t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vertAlign w:val="subscript"/>
          <w:lang w:val="en-US" w:eastAsia="zh-CN"/>
        </w:rPr>
        <w:t>2</w:t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浓度对硫酸雾的影响占主导。可通过降低生产装置SO</w:t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vertAlign w:val="subscript"/>
          <w:lang w:val="en-US" w:eastAsia="zh-CN"/>
        </w:rPr>
        <w:t>2</w:t>
      </w: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浓度排放，减少硫酸雾排放浓度的增高，从而达到要求合规排放硫酸雾。</w:t>
      </w:r>
    </w:p>
    <w:p w14:paraId="7227B0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3" w:name="_Toc15244"/>
      <w:bookmarkStart w:id="4" w:name="_Toc24981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1. 实验部分</w:t>
      </w:r>
      <w:bookmarkEnd w:id="3"/>
      <w:bookmarkEnd w:id="4"/>
    </w:p>
    <w:p w14:paraId="556FA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5" w:name="_Toc644"/>
      <w:bookmarkStart w:id="6" w:name="_Toc23992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1.1 实验药剂及仪器设备</w:t>
      </w:r>
      <w:bookmarkEnd w:id="5"/>
      <w:bookmarkEnd w:id="6"/>
    </w:p>
    <w:p w14:paraId="5B9BC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7" w:name="_Toc692"/>
      <w:bookmarkStart w:id="8" w:name="_Toc12724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1.1.1 实验药剂</w:t>
      </w:r>
      <w:bookmarkEnd w:id="7"/>
      <w:bookmarkEnd w:id="8"/>
    </w:p>
    <w:p w14:paraId="085645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Style w:val="45"/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甲醇：p(CHOH)=0.79 g/ml，氢氧化钠（NaOH）：优级纯，氢氧化钾（KOH)：优级纯（K2SO4)：基准试剂，硫酸钾(K2SO4)：基准试剂，吸收液：c(NaOH)=30mmol或c(KOH)=30 mmolL。，硫酸钾标准使用液：p(SO42）=1000 mg/L。；玻璃纤维滤筒等。</w:t>
      </w:r>
    </w:p>
    <w:p w14:paraId="55689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9" w:name="_Toc23366"/>
      <w:bookmarkStart w:id="10" w:name="_Toc8388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1.1.2 实验仪器设备</w:t>
      </w:r>
      <w:bookmarkEnd w:id="9"/>
      <w:bookmarkEnd w:id="10"/>
    </w:p>
    <w:p w14:paraId="4FF2F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Style w:val="45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Style w:val="45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烟尘采样器（崂应3072型）及配套设备，离子色谱仪（瑞士万通883），分析天平（sartoius-BS224S），超声波清洗器(SK2200H)，电热板，玻璃漏斗，烧杯，具塞磨口锥形瓶，比色管，冲击式吸收瓶等。</w:t>
      </w:r>
    </w:p>
    <w:p w14:paraId="3FECE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11" w:name="_Toc21500"/>
      <w:bookmarkStart w:id="12" w:name="_Toc11997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1.2 样品采集</w:t>
      </w:r>
      <w:bookmarkEnd w:id="11"/>
      <w:bookmarkEnd w:id="12"/>
    </w:p>
    <w:p w14:paraId="76239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有组织排放废气布点及采样应符合 GB/T 16157 中的相关规定。废气采样装置见下图 1-1。</w:t>
      </w:r>
    </w:p>
    <w:p w14:paraId="79C96F11">
      <w:pPr>
        <w:pageBreakBefore w:val="0"/>
        <w:kinsoku/>
        <w:wordWrap/>
        <w:overflowPunct/>
        <w:topLinePunct w:val="0"/>
        <w:bidi w:val="0"/>
        <w:spacing w:line="240" w:lineRule="auto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5758180" cy="1974215"/>
            <wp:effectExtent l="0" t="0" r="13970" b="698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8180" cy="197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548E0">
      <w:pPr>
        <w:pageBreakBefore w:val="0"/>
        <w:kinsoku/>
        <w:wordWrap/>
        <w:overflowPunct/>
        <w:topLinePunct w:val="0"/>
        <w:bidi w:val="0"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图1-1 废气采样装置</w:t>
      </w:r>
    </w:p>
    <w:p w14:paraId="225BEF52">
      <w:pPr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具体详见：HJ544-2016版《固定污染源废气硫酸雾的测定离子色谱法》标准。</w:t>
      </w:r>
    </w:p>
    <w:p w14:paraId="4DB3443D">
      <w:pPr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每次采集样品应至少带相同的两套全程序空白样品。将同批次滤筒以及相同装好吸收液的吸收瓶带至采样现场，不与采样器连接，采样结束后带回实验室待测。</w:t>
      </w:r>
    </w:p>
    <w:p w14:paraId="25DF8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13" w:name="_Toc13515"/>
      <w:bookmarkStart w:id="14" w:name="_Toc8525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1.3 样品运输和保存</w:t>
      </w:r>
      <w:bookmarkEnd w:id="13"/>
      <w:bookmarkEnd w:id="14"/>
    </w:p>
    <w:p w14:paraId="3C333704">
      <w:pPr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具体详见：HJ544-2016版《固定污染源废气硫酸雾的测定离子色谱法》标准。</w:t>
      </w:r>
    </w:p>
    <w:p w14:paraId="2A761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15" w:name="_Toc28480"/>
      <w:bookmarkStart w:id="16" w:name="_Toc31469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1.4 分析步骤</w:t>
      </w:r>
      <w:bookmarkEnd w:id="15"/>
      <w:bookmarkEnd w:id="16"/>
    </w:p>
    <w:p w14:paraId="6F5A96C1">
      <w:pPr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具体详见：HJ544-2016版《固定污染源废气硫酸雾的测定离子色谱法》标准。</w:t>
      </w:r>
    </w:p>
    <w:p w14:paraId="1D44E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17" w:name="_Toc24546"/>
      <w:bookmarkStart w:id="18" w:name="_Toc9990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1.5 结果计算与表示</w:t>
      </w:r>
      <w:bookmarkEnd w:id="17"/>
      <w:bookmarkEnd w:id="18"/>
    </w:p>
    <w:p w14:paraId="7C19B89D">
      <w:pPr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具体详见：HJ544-2016版《固定污染源废气硫酸雾的测定离子色谱法》标准。</w:t>
      </w:r>
    </w:p>
    <w:p w14:paraId="4F1C1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19" w:name="_Toc2174"/>
      <w:bookmarkStart w:id="20" w:name="_Toc16045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2.采样分析对比</w:t>
      </w:r>
      <w:bookmarkEnd w:id="19"/>
      <w:bookmarkEnd w:id="20"/>
    </w:p>
    <w:p w14:paraId="374C1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21" w:name="_Toc16722"/>
      <w:bookmarkStart w:id="22" w:name="_Toc7568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2.1 采样判断硫酸装置尾吸塔对硫酸雾</w:t>
      </w:r>
      <w:bookmarkEnd w:id="21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影响因素</w:t>
      </w:r>
      <w:bookmarkEnd w:id="22"/>
    </w:p>
    <w:p w14:paraId="18C23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23" w:name="_Toc25169"/>
      <w:bookmarkStart w:id="24" w:name="_Toc22607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2.1.1 采样分析硫酸装置尾吸塔对硫酸雾及SO2的吸收效果</w:t>
      </w:r>
      <w:bookmarkEnd w:id="23"/>
      <w:bookmarkEnd w:id="24"/>
    </w:p>
    <w:p w14:paraId="4F54D8EA">
      <w:pPr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对硫酸装置尾吸系统进口2#装置点采样、出口1#装置点采样3#装置点采样酸雾做分析，以判断硫酸装置尾吸塔对硫酸雾及SO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的吸收效果。用HJ544-2016版《固定污染源废气硫酸雾的测定离子色谱法》标准取样分析时将取样滤筒、吸收液分开分析其中的酸雾含量。取样数据如下表1-1。</w:t>
      </w:r>
    </w:p>
    <w:p w14:paraId="1B4CF846">
      <w:pPr>
        <w:pageBreakBefore w:val="0"/>
        <w:kinsoku/>
        <w:wordWrap/>
        <w:overflowPunct/>
        <w:topLinePunct w:val="0"/>
        <w:bidi w:val="0"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表1-1 </w:t>
      </w:r>
      <w:bookmarkStart w:id="25" w:name="_Toc667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 7月份检测数据</w:t>
      </w:r>
      <w:bookmarkEnd w:id="25"/>
    </w:p>
    <w:tbl>
      <w:tblPr>
        <w:tblStyle w:val="17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"/>
        <w:gridCol w:w="1336"/>
        <w:gridCol w:w="803"/>
        <w:gridCol w:w="1108"/>
        <w:gridCol w:w="1165"/>
        <w:gridCol w:w="1165"/>
        <w:gridCol w:w="932"/>
        <w:gridCol w:w="643"/>
        <w:gridCol w:w="664"/>
        <w:gridCol w:w="831"/>
      </w:tblGrid>
      <w:tr w14:paraId="4D467B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62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4A740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日期</w:t>
            </w:r>
          </w:p>
        </w:tc>
        <w:tc>
          <w:tcPr>
            <w:tcW w:w="133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AEC14B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样品名称</w:t>
            </w:r>
          </w:p>
        </w:tc>
        <w:tc>
          <w:tcPr>
            <w:tcW w:w="80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2A6D9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检测</w:t>
            </w:r>
          </w:p>
          <w:p w14:paraId="5AAA553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项目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021F2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滤筒mg/m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EECAD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吸收液mg/m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00E0E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检测结果mg/m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130AB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平均值mg/m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43" w:type="dxa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52F2DD4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硫酸装置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尾吸PH</w:t>
            </w:r>
          </w:p>
        </w:tc>
        <w:tc>
          <w:tcPr>
            <w:tcW w:w="664" w:type="dxa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081ED9C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硫酸装置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尾吸密度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kg/m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31" w:type="dxa"/>
            <w:tcBorders>
              <w:tl2br w:val="nil"/>
              <w:tr2bl w:val="nil"/>
            </w:tcBorders>
            <w:noWrap w:val="0"/>
            <w:vAlign w:val="center"/>
          </w:tcPr>
          <w:p w14:paraId="49143F0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硫酸装置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尾吸放空SO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mg/m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 w14:paraId="37CF10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5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1475A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7月</w:t>
            </w:r>
          </w:p>
        </w:tc>
        <w:tc>
          <w:tcPr>
            <w:tcW w:w="1336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84D68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硫酸装置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尾吸塔出口</w:t>
            </w:r>
          </w:p>
          <w:p w14:paraId="517194D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1#装置点采样</w:t>
            </w:r>
          </w:p>
        </w:tc>
        <w:tc>
          <w:tcPr>
            <w:tcW w:w="803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0309E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AC227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14.06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7C6A6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78.47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49FA3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92.53</w:t>
            </w:r>
          </w:p>
        </w:tc>
        <w:tc>
          <w:tcPr>
            <w:tcW w:w="932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AC87D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115</w:t>
            </w:r>
          </w:p>
        </w:tc>
        <w:tc>
          <w:tcPr>
            <w:tcW w:w="643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373CD1E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5.9</w:t>
            </w:r>
          </w:p>
        </w:tc>
        <w:tc>
          <w:tcPr>
            <w:tcW w:w="664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22DCF06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1129</w:t>
            </w:r>
          </w:p>
        </w:tc>
        <w:tc>
          <w:tcPr>
            <w:tcW w:w="83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3A6E9D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58</w:t>
            </w:r>
          </w:p>
        </w:tc>
      </w:tr>
      <w:tr w14:paraId="096EFE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96BEB6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0A5ACD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20CC4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 w14:paraId="72F4CE9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25.06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noWrap w:val="0"/>
            <w:vAlign w:val="center"/>
          </w:tcPr>
          <w:p w14:paraId="73390A8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96.04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noWrap w:val="0"/>
            <w:vAlign w:val="center"/>
          </w:tcPr>
          <w:p w14:paraId="5EE4A05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121.1</w:t>
            </w:r>
          </w:p>
        </w:tc>
        <w:tc>
          <w:tcPr>
            <w:tcW w:w="93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587781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278260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6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A429A7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3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729445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6CB13D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80C9DD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FEA7BC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E0C823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 w14:paraId="15886EA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25.96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noWrap w:val="0"/>
            <w:vAlign w:val="center"/>
          </w:tcPr>
          <w:p w14:paraId="3012E91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104.54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noWrap w:val="0"/>
            <w:vAlign w:val="center"/>
          </w:tcPr>
          <w:p w14:paraId="08252BC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130.5</w:t>
            </w:r>
          </w:p>
        </w:tc>
        <w:tc>
          <w:tcPr>
            <w:tcW w:w="93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9A6DE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A8A37F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6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9149CD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3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B5FC4E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3215F7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46A370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3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00BFEA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硫酸装置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尾吸一期进口</w:t>
            </w:r>
          </w:p>
          <w:p w14:paraId="697D872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2#装置点采样</w:t>
            </w:r>
          </w:p>
        </w:tc>
        <w:tc>
          <w:tcPr>
            <w:tcW w:w="80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24BC1C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 w14:paraId="6F01855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6.26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noWrap w:val="0"/>
            <w:vAlign w:val="center"/>
          </w:tcPr>
          <w:p w14:paraId="74BE77A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1567.39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noWrap w:val="0"/>
            <w:vAlign w:val="center"/>
          </w:tcPr>
          <w:p w14:paraId="637D222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1573.65</w:t>
            </w:r>
          </w:p>
        </w:tc>
        <w:tc>
          <w:tcPr>
            <w:tcW w:w="93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46A09C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1620</w:t>
            </w:r>
          </w:p>
        </w:tc>
        <w:tc>
          <w:tcPr>
            <w:tcW w:w="6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24B49C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6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6D2824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3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37D8D2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3AA57A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761CB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2198E3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B69716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 w14:paraId="1A8529E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11.37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noWrap w:val="0"/>
            <w:vAlign w:val="center"/>
          </w:tcPr>
          <w:p w14:paraId="3DE545E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1570.99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noWrap w:val="0"/>
            <w:vAlign w:val="center"/>
          </w:tcPr>
          <w:p w14:paraId="10152B0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1582.36</w:t>
            </w:r>
          </w:p>
        </w:tc>
        <w:tc>
          <w:tcPr>
            <w:tcW w:w="93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70861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88D375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6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8DB7F7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3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A89D2B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331C04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AB08B8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BA97E4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04EF48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 w14:paraId="0037BCC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4.59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noWrap w:val="0"/>
            <w:vAlign w:val="center"/>
          </w:tcPr>
          <w:p w14:paraId="4BE98BF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1698.16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noWrap w:val="0"/>
            <w:vAlign w:val="center"/>
          </w:tcPr>
          <w:p w14:paraId="5C67A96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1702.75</w:t>
            </w:r>
          </w:p>
        </w:tc>
        <w:tc>
          <w:tcPr>
            <w:tcW w:w="93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870668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95CB2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6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1F09D9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3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8C6BDE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455A20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040693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3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D2F160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硫酸装置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尾吸二期进口</w:t>
            </w:r>
          </w:p>
          <w:p w14:paraId="1A15BC6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3#装置点采样</w:t>
            </w:r>
          </w:p>
        </w:tc>
        <w:tc>
          <w:tcPr>
            <w:tcW w:w="80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159E1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 w14:paraId="3F9F826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5.52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noWrap w:val="0"/>
            <w:vAlign w:val="center"/>
          </w:tcPr>
          <w:p w14:paraId="61B8284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726.69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noWrap w:val="0"/>
            <w:vAlign w:val="center"/>
          </w:tcPr>
          <w:p w14:paraId="37F6748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732.21</w:t>
            </w:r>
          </w:p>
        </w:tc>
        <w:tc>
          <w:tcPr>
            <w:tcW w:w="93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13C870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704</w:t>
            </w:r>
          </w:p>
        </w:tc>
        <w:tc>
          <w:tcPr>
            <w:tcW w:w="6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752CD5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6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8193B5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3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E2B726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6D5129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5E4240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A81DC6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8873D7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 w14:paraId="6A6F789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3.04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noWrap w:val="0"/>
            <w:vAlign w:val="center"/>
          </w:tcPr>
          <w:p w14:paraId="6BCA610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695.34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noWrap w:val="0"/>
            <w:vAlign w:val="center"/>
          </w:tcPr>
          <w:p w14:paraId="0B117BC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698.38</w:t>
            </w:r>
          </w:p>
        </w:tc>
        <w:tc>
          <w:tcPr>
            <w:tcW w:w="93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A10D05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011310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6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375F28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3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D70902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59AA23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B3A3C7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6D6EE7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F57C24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 w14:paraId="4446EEE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3.56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noWrap w:val="0"/>
            <w:vAlign w:val="center"/>
          </w:tcPr>
          <w:p w14:paraId="6012C44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676.56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noWrap w:val="0"/>
            <w:vAlign w:val="center"/>
          </w:tcPr>
          <w:p w14:paraId="56C20D1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680.12</w:t>
            </w:r>
          </w:p>
        </w:tc>
        <w:tc>
          <w:tcPr>
            <w:tcW w:w="93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2FC378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15355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6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231F4D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3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647A62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</w:tbl>
    <w:p w14:paraId="67222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26" w:name="_Toc23259"/>
      <w:bookmarkStart w:id="27" w:name="_Toc14085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2.1.2 实验结果分析判断</w:t>
      </w:r>
      <w:bookmarkEnd w:id="26"/>
      <w:bookmarkEnd w:id="27"/>
    </w:p>
    <w:p w14:paraId="5B097476">
      <w:pPr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由上表1-1表明，滤筒阻留部分硫酸雾含量仅占10%左右，吸收液内的酸雾量占主导，约90%。硫酸装置尾吸塔对硫酸雾有较大的吸收作用。进一步明确了方向，并研究吸收液的成份，初步判断SO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气体在通过NaOH吸收液后，SO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基本全部被吸收，生成的SO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perscript"/>
          <w:lang w:val="en-US" w:eastAsia="zh-CN" w:bidi="he-IL"/>
        </w:rPr>
        <w:t>2-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，在O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作用下氧化成SO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perscript"/>
          <w:lang w:val="en-US" w:eastAsia="zh-CN" w:bidi="he-IL"/>
        </w:rPr>
        <w:t>2-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，增加硫酸雾监测含量使结果升高。</w:t>
      </w:r>
    </w:p>
    <w:p w14:paraId="058AA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28" w:name="_Toc7651"/>
      <w:bookmarkStart w:id="29" w:name="_Toc14961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2.2 硫酸装置排气筒尾气硫酸雾中其他含硫物质的研究</w:t>
      </w:r>
      <w:bookmarkEnd w:id="28"/>
      <w:bookmarkEnd w:id="29"/>
    </w:p>
    <w:p w14:paraId="5AB18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30" w:name="_Toc15843"/>
      <w:bookmarkStart w:id="31" w:name="_Toc11331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2.2.1 硫酸装置排气筒尾气中进行采样</w:t>
      </w:r>
      <w:bookmarkEnd w:id="30"/>
      <w:bookmarkEnd w:id="31"/>
    </w:p>
    <w:p w14:paraId="72C92A6F">
      <w:pPr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对硫酸装置排气筒尾气中H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、O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、N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、CO、CO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、H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S、SO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、CH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等进行检测，结果表明排气筒中H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、CO、H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S等未检出，CH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微量，主成分为O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、N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、SO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、SO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。滤筒和吸收液中氨氮含量监测结果如下表2-1。</w:t>
      </w:r>
    </w:p>
    <w:p w14:paraId="2BF007F1">
      <w:pPr>
        <w:pageBreakBefore w:val="0"/>
        <w:kinsoku/>
        <w:wordWrap/>
        <w:overflowPunct/>
        <w:topLinePunct w:val="0"/>
        <w:bidi w:val="0"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表2-1  监测数据</w:t>
      </w:r>
    </w:p>
    <w:tbl>
      <w:tblPr>
        <w:tblStyle w:val="17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  <w:gridCol w:w="991"/>
        <w:gridCol w:w="882"/>
        <w:gridCol w:w="933"/>
        <w:gridCol w:w="937"/>
        <w:gridCol w:w="1117"/>
        <w:gridCol w:w="1117"/>
        <w:gridCol w:w="887"/>
        <w:gridCol w:w="905"/>
        <w:gridCol w:w="913"/>
      </w:tblGrid>
      <w:tr w14:paraId="59051E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52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76E3C61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日期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F53590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监测项目</w:t>
            </w:r>
          </w:p>
        </w:tc>
        <w:tc>
          <w:tcPr>
            <w:tcW w:w="88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B5B8D3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排气筒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在线SO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浓度mg/m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9E7B14E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滤筒中氨-氮含量(mg)</w:t>
            </w:r>
          </w:p>
        </w:tc>
        <w:tc>
          <w:tcPr>
            <w:tcW w:w="9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5770CE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吸收液中氨-氮含量(mg)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7CFB0ADC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氨-氮折算为硫酸雾的测定结果（mg/m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）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3D282EC1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氨-氮折算为硫酸雾的测定平均（mg/m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）</w:t>
            </w: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6A96F595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样品中总硫酸雾平均值(mg/m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）</w:t>
            </w:r>
          </w:p>
        </w:tc>
        <w:tc>
          <w:tcPr>
            <w:tcW w:w="905" w:type="dxa"/>
            <w:tcBorders>
              <w:tl2br w:val="nil"/>
              <w:tr2bl w:val="nil"/>
            </w:tcBorders>
            <w:noWrap w:val="0"/>
            <w:vAlign w:val="center"/>
          </w:tcPr>
          <w:p w14:paraId="7E30166B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硫酸铵折算为硫酸雾占比%</w:t>
            </w:r>
          </w:p>
        </w:tc>
        <w:tc>
          <w:tcPr>
            <w:tcW w:w="913" w:type="dxa"/>
            <w:tcBorders>
              <w:tl2br w:val="nil"/>
              <w:tr2bl w:val="nil"/>
            </w:tcBorders>
            <w:noWrap w:val="0"/>
            <w:vAlign w:val="center"/>
          </w:tcPr>
          <w:p w14:paraId="646A915B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目测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排气筒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出口烟气外观</w:t>
            </w:r>
          </w:p>
        </w:tc>
      </w:tr>
      <w:tr w14:paraId="43D40D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3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3ED1A1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第一天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D67290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排气筒硫酸雾</w:t>
            </w:r>
          </w:p>
        </w:tc>
        <w:tc>
          <w:tcPr>
            <w:tcW w:w="882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103D86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296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A7E4FF6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0.07</w:t>
            </w:r>
          </w:p>
        </w:tc>
        <w:tc>
          <w:tcPr>
            <w:tcW w:w="9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1290EF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0.25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4D1543EB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2.51</w:t>
            </w:r>
          </w:p>
        </w:tc>
        <w:tc>
          <w:tcPr>
            <w:tcW w:w="1117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1BB34B73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2.48</w:t>
            </w:r>
          </w:p>
        </w:tc>
        <w:tc>
          <w:tcPr>
            <w:tcW w:w="887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2AA8576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277.2</w:t>
            </w:r>
          </w:p>
        </w:tc>
        <w:tc>
          <w:tcPr>
            <w:tcW w:w="905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9EE18D4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0.89</w:t>
            </w:r>
          </w:p>
        </w:tc>
        <w:tc>
          <w:tcPr>
            <w:tcW w:w="913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0F36EB2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白烟较小</w:t>
            </w:r>
          </w:p>
        </w:tc>
      </w:tr>
      <w:tr w14:paraId="2E0434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9682258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91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B0D0DA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B0F6B0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B4B2CC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0.10</w:t>
            </w:r>
          </w:p>
        </w:tc>
        <w:tc>
          <w:tcPr>
            <w:tcW w:w="9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CFA0F5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0.22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2325B69A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2.4</w:t>
            </w:r>
          </w:p>
        </w:tc>
        <w:tc>
          <w:tcPr>
            <w:tcW w:w="111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FEB161C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80A3493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878F8AC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1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AFFD314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6C66EF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8A08B3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91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132229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BF7658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CCA4CE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0.09</w:t>
            </w:r>
          </w:p>
        </w:tc>
        <w:tc>
          <w:tcPr>
            <w:tcW w:w="9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D5069E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0.24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37465195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2.52</w:t>
            </w:r>
          </w:p>
        </w:tc>
        <w:tc>
          <w:tcPr>
            <w:tcW w:w="111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82F2496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251F1C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1518B80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1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C65EB98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595940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23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476C61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第二天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DC539D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排气筒硫酸雾</w:t>
            </w:r>
          </w:p>
        </w:tc>
        <w:tc>
          <w:tcPr>
            <w:tcW w:w="882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0638BB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17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51FF85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0.15</w:t>
            </w:r>
          </w:p>
        </w:tc>
        <w:tc>
          <w:tcPr>
            <w:tcW w:w="9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E361F1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0.58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5F39242B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5.1</w:t>
            </w:r>
          </w:p>
        </w:tc>
        <w:tc>
          <w:tcPr>
            <w:tcW w:w="1117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174BE44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5.58</w:t>
            </w:r>
          </w:p>
        </w:tc>
        <w:tc>
          <w:tcPr>
            <w:tcW w:w="887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1DA8FAA3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30.2</w:t>
            </w:r>
          </w:p>
        </w:tc>
        <w:tc>
          <w:tcPr>
            <w:tcW w:w="905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5819F74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18.47</w:t>
            </w:r>
          </w:p>
        </w:tc>
        <w:tc>
          <w:tcPr>
            <w:tcW w:w="913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E2E9E3D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白烟较大</w:t>
            </w:r>
          </w:p>
        </w:tc>
      </w:tr>
      <w:tr w14:paraId="09815C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913AD74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91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9F4060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B78E2F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454431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0.21</w:t>
            </w:r>
          </w:p>
        </w:tc>
        <w:tc>
          <w:tcPr>
            <w:tcW w:w="9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FCA5BA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0.66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15B8F5C2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5.92</w:t>
            </w:r>
          </w:p>
        </w:tc>
        <w:tc>
          <w:tcPr>
            <w:tcW w:w="111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BFA9F7A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E8FD372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E1D0420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1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062418C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4E9F18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77AAD4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91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4023EB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2A9E56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9D0444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0.12</w:t>
            </w:r>
          </w:p>
        </w:tc>
        <w:tc>
          <w:tcPr>
            <w:tcW w:w="9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4A8A21F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0.72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32B52A02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5.71</w:t>
            </w:r>
          </w:p>
        </w:tc>
        <w:tc>
          <w:tcPr>
            <w:tcW w:w="111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5B705B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4188BFC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F9F93D7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1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DB1227F">
            <w:pPr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</w:tbl>
    <w:p w14:paraId="1C13D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32" w:name="_Toc8313"/>
      <w:bookmarkStart w:id="33" w:name="_Toc32078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2.2.2 实验结果分析判断</w:t>
      </w:r>
      <w:bookmarkEnd w:id="32"/>
      <w:bookmarkEnd w:id="33"/>
    </w:p>
    <w:p w14:paraId="55676000">
      <w:pPr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表2-1数据表明：（1）氨氮化合物可能以(NH₄)₂SO₄、(NH₄)₂SO₃等形式存在。（2）将氨氮全部以(NH₄)₂SO₄形式折算成硫酸雾在总硫酸雾中占比为0.89～18.47%，影响酸雾含量在2.4～5.92 mg/m3。（3）第二天分析监测氨-氮含量高，可能因烟囱在线SO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浓度低，烟囱溢出游离氨多。</w:t>
      </w:r>
    </w:p>
    <w:p w14:paraId="5365B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34" w:name="_Toc27908"/>
      <w:bookmarkStart w:id="35" w:name="_Toc4283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2.3 采样结果验证对比</w:t>
      </w:r>
      <w:bookmarkEnd w:id="34"/>
      <w:bookmarkEnd w:id="35"/>
    </w:p>
    <w:p w14:paraId="7EB54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36" w:name="_Toc14669"/>
      <w:bookmarkStart w:id="37" w:name="_Toc4505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2.3.1 采样验证SO2在吸收液中氧化对比结果</w:t>
      </w:r>
      <w:bookmarkEnd w:id="36"/>
      <w:bookmarkEnd w:id="37"/>
    </w:p>
    <w:p w14:paraId="06C63008">
      <w:pPr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为验证SO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在吸收液中氧化对结果的影响，进一步确认硫酸装置尾吸进、出口硫酸雾含量测试数据如表2-2。</w:t>
      </w:r>
    </w:p>
    <w:p w14:paraId="56681318">
      <w:pPr>
        <w:pageBreakBefore w:val="0"/>
        <w:kinsoku/>
        <w:wordWrap/>
        <w:overflowPunct/>
        <w:topLinePunct w:val="0"/>
        <w:bidi w:val="0"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表2-2  7～8月验证测试数据</w:t>
      </w:r>
    </w:p>
    <w:tbl>
      <w:tblPr>
        <w:tblStyle w:val="17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100"/>
        <w:gridCol w:w="1825"/>
        <w:gridCol w:w="1825"/>
        <w:gridCol w:w="1825"/>
        <w:gridCol w:w="1283"/>
      </w:tblGrid>
      <w:tr w14:paraId="667947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1414" w:type="dxa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4E9824D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日期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632FEBC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样品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6634A1B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硫酸装置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尾吸塔出口酸雾 (离子色谱)mg/m3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5B2E64A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硫酸装置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一期进口酸雾 (离子色谱)mg/m3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7A3FF69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硫酸装置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二期进口酸雾 (离子色谱)mg/m3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0F7F5AF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硫酸装置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尾吸放空SO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mg/m3</w:t>
            </w:r>
          </w:p>
        </w:tc>
      </w:tr>
      <w:tr w14:paraId="42C209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14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0C02193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07.25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39171B3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174910E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259.0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D9890A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460.3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518726F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348.9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180A1BE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296</w:t>
            </w:r>
          </w:p>
        </w:tc>
      </w:tr>
      <w:tr w14:paraId="79D51C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14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C09BC2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1C78A80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BB1329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252.7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880411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510.3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2A3F6B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409.6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5EB139A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296</w:t>
            </w:r>
          </w:p>
        </w:tc>
      </w:tr>
      <w:tr w14:paraId="4C9133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14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DC869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3032FE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127B243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319.8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0D6750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520.0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786F09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353.0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5FE372E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296</w:t>
            </w:r>
          </w:p>
        </w:tc>
      </w:tr>
      <w:tr w14:paraId="3271AF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14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0F9AB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146508E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平均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3D49D7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277.2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5468535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496.9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47E7F7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370.5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F86A0A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296</w:t>
            </w:r>
          </w:p>
        </w:tc>
      </w:tr>
      <w:tr w14:paraId="2055B52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14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DE3CB6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07.27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6F49A8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F3B961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51.7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992E77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254.3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291023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443.5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E580D9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17</w:t>
            </w:r>
          </w:p>
        </w:tc>
      </w:tr>
      <w:tr w14:paraId="2D99BD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14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2CC427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6F04A4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C86D79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17.8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319E8FD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567.5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016D30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476.0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EDD5C8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17</w:t>
            </w:r>
          </w:p>
        </w:tc>
      </w:tr>
      <w:tr w14:paraId="5EDF5C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14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64A73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3917100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A3CA54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21.2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A86B8D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590.4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5458CF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458.9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1128295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17</w:t>
            </w:r>
          </w:p>
        </w:tc>
      </w:tr>
      <w:tr w14:paraId="3264AC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14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E32555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F145F4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平均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1E0EC4A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30.2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3F6F34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470.7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36813B2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459.5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F01CAB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17</w:t>
            </w:r>
          </w:p>
        </w:tc>
      </w:tr>
      <w:tr w14:paraId="2551AE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14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D4CFDD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08.01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3192EF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7F9507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216.53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F0C7B4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774.02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0BA7B0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203.81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901FF6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183</w:t>
            </w:r>
          </w:p>
        </w:tc>
      </w:tr>
      <w:tr w14:paraId="133B6E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14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EB52FC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3EE63CE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D1C277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179.71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AA0CF7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739.41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1E7F693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230.91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4194F1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183</w:t>
            </w:r>
          </w:p>
        </w:tc>
      </w:tr>
      <w:tr w14:paraId="7ED698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14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49F736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A69EC1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5D0433B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138DC8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785.86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56385E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200.32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1251FDF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183</w:t>
            </w:r>
          </w:p>
        </w:tc>
      </w:tr>
      <w:tr w14:paraId="36D033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14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13EDA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33973E3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平均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CBFA1C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198.12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14D3DC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766.43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B5326B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211.68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7E48E8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183</w:t>
            </w:r>
          </w:p>
        </w:tc>
      </w:tr>
      <w:tr w14:paraId="723DF8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14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171D482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08.03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3FAAAA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5F7F92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68.68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63509E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332.39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29F36C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184.30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E85D94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36</w:t>
            </w:r>
          </w:p>
        </w:tc>
      </w:tr>
      <w:tr w14:paraId="43D7FA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14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BBEB3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E50456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37F7A0A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56.18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3B35D2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343.05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5720FE1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205.54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3B675E8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36</w:t>
            </w:r>
          </w:p>
        </w:tc>
      </w:tr>
      <w:tr w14:paraId="42F29D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14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3CD2B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F691A9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CEF37E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51.84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D6A8E5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463.97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5A03B02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223.69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BD94B7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36</w:t>
            </w:r>
          </w:p>
        </w:tc>
      </w:tr>
      <w:tr w14:paraId="3133CB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14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78085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37DE274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平均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E1B20F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58.90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6A2DB3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379.80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535D2A2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204.51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85FD5A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36</w:t>
            </w:r>
          </w:p>
        </w:tc>
      </w:tr>
      <w:tr w14:paraId="330702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14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D7C015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08.04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9F9FA2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F4AB19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59.15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614CFC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523.77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9F3DB6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152.49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1FC2019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45</w:t>
            </w:r>
          </w:p>
        </w:tc>
      </w:tr>
      <w:tr w14:paraId="63FC44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14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A31FE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1C80F9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343B0A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40.91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ECF2B4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433.21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5D45956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323.78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C49C15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45</w:t>
            </w:r>
          </w:p>
        </w:tc>
      </w:tr>
      <w:tr w14:paraId="6BF3D5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14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DA3FD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5B39724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11DBF72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45.80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E2AF4E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402.95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D5E878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303.28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D76EFE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45</w:t>
            </w:r>
          </w:p>
        </w:tc>
      </w:tr>
      <w:tr w14:paraId="273BE8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14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27CAB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6CEEA4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平均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BB5BF7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48.62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8B94FE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453.31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9C0CB8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259.85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34E7AE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45</w:t>
            </w:r>
          </w:p>
        </w:tc>
      </w:tr>
    </w:tbl>
    <w:p w14:paraId="002D9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38" w:name="_Toc3327"/>
      <w:bookmarkStart w:id="39" w:name="_Toc30309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2.3.2 实验结果分析判断</w:t>
      </w:r>
      <w:bookmarkEnd w:id="38"/>
      <w:bookmarkEnd w:id="39"/>
    </w:p>
    <w:p w14:paraId="2BC6A42C">
      <w:pPr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上表2-2数据表明，SO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放空值与硫酸雾测定结果有很大的相关性，如图1。进口较高，可能与进转化的SO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气体浓度高有关。</w:t>
      </w:r>
    </w:p>
    <w:p w14:paraId="087374F4">
      <w:pPr>
        <w:pageBreakBefore w:val="0"/>
        <w:kinsoku/>
        <w:wordWrap/>
        <w:overflowPunct/>
        <w:topLinePunct w:val="0"/>
        <w:bidi w:val="0"/>
        <w:spacing w:line="240" w:lineRule="auto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5338445" cy="2891790"/>
            <wp:effectExtent l="4445" t="4445" r="10160" b="18415"/>
            <wp:docPr id="3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43B5415">
      <w:pPr>
        <w:pageBreakBefore w:val="0"/>
        <w:kinsoku/>
        <w:wordWrap/>
        <w:overflowPunct/>
        <w:topLinePunct w:val="0"/>
        <w:bidi w:val="0"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图2-1  尾吸出口硫酸雾与放空SO</w:t>
      </w:r>
      <w:r>
        <w:rPr>
          <w:rFonts w:hint="eastAsia" w:ascii="宋体" w:hAnsi="宋体" w:eastAsia="宋体" w:cs="宋体"/>
          <w:b/>
          <w:bCs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关系</w:t>
      </w:r>
    </w:p>
    <w:p w14:paraId="55206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40" w:name="_Toc21116"/>
      <w:bookmarkStart w:id="41" w:name="_Toc29240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2.4 实验结果分析</w:t>
      </w:r>
      <w:bookmarkEnd w:id="40"/>
      <w:bookmarkEnd w:id="41"/>
    </w:p>
    <w:p w14:paraId="19434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42" w:name="_Toc1515"/>
      <w:bookmarkStart w:id="43" w:name="_Toc23196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2.4.1 实验分析滤筒与吸收液硫酸雾量关系</w:t>
      </w:r>
      <w:bookmarkEnd w:id="42"/>
      <w:bookmarkEnd w:id="43"/>
    </w:p>
    <w:p w14:paraId="6214A7EF">
      <w:pPr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进一步分析滤筒与吸收液硫酸雾量如下表2-3。</w:t>
      </w:r>
    </w:p>
    <w:p w14:paraId="36B749C9">
      <w:pPr>
        <w:pageBreakBefore w:val="0"/>
        <w:kinsoku/>
        <w:wordWrap/>
        <w:overflowPunct/>
        <w:topLinePunct w:val="0"/>
        <w:bidi w:val="0"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表2-3  滤筒与吸收液硫酸雾量</w:t>
      </w:r>
    </w:p>
    <w:tbl>
      <w:tblPr>
        <w:tblStyle w:val="17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970"/>
        <w:gridCol w:w="1137"/>
        <w:gridCol w:w="1137"/>
        <w:gridCol w:w="1137"/>
        <w:gridCol w:w="1137"/>
        <w:gridCol w:w="1257"/>
        <w:gridCol w:w="1222"/>
      </w:tblGrid>
      <w:tr w14:paraId="5B4D6F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5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1C0AE8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监测日期</w:t>
            </w:r>
          </w:p>
        </w:tc>
        <w:tc>
          <w:tcPr>
            <w:tcW w:w="97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5833F65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监测点位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1BA5B6E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监测项目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3DCA818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监测滤筒含量（mg）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7DD77B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监测吸收液含量（mg）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577B2A8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监测结果(mg/m3）</w:t>
            </w:r>
          </w:p>
        </w:tc>
        <w:tc>
          <w:tcPr>
            <w:tcW w:w="125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15ACF4F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平均值(mg/m3）</w:t>
            </w:r>
          </w:p>
        </w:tc>
        <w:tc>
          <w:tcPr>
            <w:tcW w:w="1222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16D244C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备注</w:t>
            </w:r>
          </w:p>
        </w:tc>
      </w:tr>
      <w:tr w14:paraId="0EB247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5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AAB225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7.27</w:t>
            </w:r>
          </w:p>
        </w:tc>
        <w:tc>
          <w:tcPr>
            <w:tcW w:w="970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1738F17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硫酸排气筒</w:t>
            </w:r>
          </w:p>
        </w:tc>
        <w:tc>
          <w:tcPr>
            <w:tcW w:w="1137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66F4AB0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90D9C6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3.15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C30154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22.17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A877C7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51.7</w:t>
            </w:r>
          </w:p>
        </w:tc>
        <w:tc>
          <w:tcPr>
            <w:tcW w:w="1257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3139737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30.2</w:t>
            </w:r>
          </w:p>
        </w:tc>
        <w:tc>
          <w:tcPr>
            <w:tcW w:w="1222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0215CD7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SO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浓度控制在0-50mg/m3（实际约20mg/m3）</w:t>
            </w:r>
          </w:p>
        </w:tc>
      </w:tr>
      <w:tr w14:paraId="6A4484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1593B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27E9E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442A1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5FBA52C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3.70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3A10427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5.28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C22EBE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17.8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C68B36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C60C30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424278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3F3BF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EE328C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41080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1F751BD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2.19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BDBB73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8.51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F657EC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21.2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9B9CA8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7B607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53E42F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98C8D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D31C17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一期进口</w:t>
            </w:r>
          </w:p>
        </w:tc>
        <w:tc>
          <w:tcPr>
            <w:tcW w:w="1137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5A33B06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3A9C631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3.59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3AEF5C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160.10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321F2A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254.3</w:t>
            </w:r>
          </w:p>
        </w:tc>
        <w:tc>
          <w:tcPr>
            <w:tcW w:w="1257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3F00DD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470.8</w:t>
            </w: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622E13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58E22E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FE95D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A2153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8C2B0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EA90FC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4.43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62E0AC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162.60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385D88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567.5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CB06A3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9BECB3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734D4E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D6E59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F4B6E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9C588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0CF18B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1.57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AA2596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171.80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23FFEE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590.4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0943CC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C74A51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3AD4EF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E4E83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5ADA04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二期进口</w:t>
            </w:r>
          </w:p>
        </w:tc>
        <w:tc>
          <w:tcPr>
            <w:tcW w:w="1137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2E2F04B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31C13A9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1.06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CDAFB1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130.80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66D40F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443.5</w:t>
            </w:r>
          </w:p>
        </w:tc>
        <w:tc>
          <w:tcPr>
            <w:tcW w:w="1257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5699773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459.4</w:t>
            </w: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E3C6F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47D76B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A4592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4DAAB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C043D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098B33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1.04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33B0F10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140.40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D3C3F0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476.0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3CB392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2F2245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48EFE7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F4554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E40D1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93C6D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552BE36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0.90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60449B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135.10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55FF6E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458.9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77EEC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3982C8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5CA241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5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E9DFD7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7.28</w:t>
            </w:r>
          </w:p>
        </w:tc>
        <w:tc>
          <w:tcPr>
            <w:tcW w:w="970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60E7B2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一期进口</w:t>
            </w:r>
          </w:p>
        </w:tc>
        <w:tc>
          <w:tcPr>
            <w:tcW w:w="1137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499DCEA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58BCDB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2.02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5D5C046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149.10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3D3EC1B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348.9</w:t>
            </w:r>
          </w:p>
        </w:tc>
        <w:tc>
          <w:tcPr>
            <w:tcW w:w="1257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1223F1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370.5</w:t>
            </w:r>
          </w:p>
        </w:tc>
        <w:tc>
          <w:tcPr>
            <w:tcW w:w="1222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3683021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SO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浓度控制在250-300mg/m3（实际约220mg/m3）</w:t>
            </w:r>
          </w:p>
        </w:tc>
      </w:tr>
      <w:tr w14:paraId="1F2F5C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807E4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7CDC37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92D808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588B85B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0.80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1B1347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129.30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39606F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409.6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DFBE1D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B1FA90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1ABB8B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F81ED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3BE70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EFF3AC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3DD57A3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1.01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B0A558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155.00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1199A32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353.0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3CD0B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A1168C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53C55E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4F184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93BB1E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二期进口</w:t>
            </w:r>
          </w:p>
        </w:tc>
        <w:tc>
          <w:tcPr>
            <w:tcW w:w="1137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0BC7E8A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E48708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1.13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5FCCF3F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134.20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9D6AF9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460.3</w:t>
            </w:r>
          </w:p>
        </w:tc>
        <w:tc>
          <w:tcPr>
            <w:tcW w:w="1257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7A5883B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496.9</w:t>
            </w: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18D1AD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0BD493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5662C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A1363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0CFAF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6BC0CC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6.40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F4D9D0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144.70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757F77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510.3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40F18D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48938D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377708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402A4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9DAF7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0A9BE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C1D27B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3.11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9727A3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150.30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CA2C51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520.0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B600C0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09084B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56C6B3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5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BB7C06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7.25</w:t>
            </w:r>
          </w:p>
        </w:tc>
        <w:tc>
          <w:tcPr>
            <w:tcW w:w="970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F265F6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硫酸排气筒</w:t>
            </w:r>
          </w:p>
        </w:tc>
        <w:tc>
          <w:tcPr>
            <w:tcW w:w="1137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47D905E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49F82D0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3.46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1BE88B8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111.20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51692B7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259.0</w:t>
            </w:r>
          </w:p>
        </w:tc>
        <w:tc>
          <w:tcPr>
            <w:tcW w:w="1257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1503A54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277.2</w:t>
            </w: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0A01AF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30BF8F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496AD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8688D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DA9367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AED1EC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4.20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5A1F1B1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108.40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3AF367B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252.7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AA6036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0BAAB0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6D365B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EE32F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012EA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E942A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0AD72C3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3.55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3719A3E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139.90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2C213B4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319.8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03D8B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99059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64CC0E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75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2C7CB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08.01</w:t>
            </w:r>
          </w:p>
        </w:tc>
        <w:tc>
          <w:tcPr>
            <w:tcW w:w="970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C6807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一期入口尾气</w:t>
            </w:r>
          </w:p>
        </w:tc>
        <w:tc>
          <w:tcPr>
            <w:tcW w:w="1137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73A4694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2C9B5A9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2.38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682AA2A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164.7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051310F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774.02</w:t>
            </w:r>
          </w:p>
        </w:tc>
        <w:tc>
          <w:tcPr>
            <w:tcW w:w="125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E3EB0C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766</w:t>
            </w:r>
          </w:p>
        </w:tc>
        <w:tc>
          <w:tcPr>
            <w:tcW w:w="122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091362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SO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浓度控制在183mg/m3</w:t>
            </w:r>
          </w:p>
        </w:tc>
      </w:tr>
      <w:tr w14:paraId="20EA44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B87744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C17814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089E91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1639112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1.46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688A9D6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189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01F72EB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739.41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DD9B80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7EE60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73E33D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5BE52D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AF3675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5D54B2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7FABAF5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1.98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19A2A33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201.6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46F986E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785.86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63563D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C961DF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2B9E54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9F58D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149AA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二期入口尾气</w:t>
            </w:r>
          </w:p>
        </w:tc>
        <w:tc>
          <w:tcPr>
            <w:tcW w:w="1137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4026CA6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168554E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2.05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03C3285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69.45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7B9BD1C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203.81</w:t>
            </w:r>
          </w:p>
        </w:tc>
        <w:tc>
          <w:tcPr>
            <w:tcW w:w="125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66B0A8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212</w:t>
            </w: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73F2A5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47473D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389BCC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68359F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AC0FF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121A4E3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1.85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0FFF149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71.9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1D99011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230.91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4CF5FB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3A54C4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29ADFE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4D5C66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4AC3BB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47953B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5DAB524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1.6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6ED0540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44.78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5AC5A5B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200.32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ADEDA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0AEFE5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4BCA42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29131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D38858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硫酸排气筒</w:t>
            </w:r>
          </w:p>
        </w:tc>
        <w:tc>
          <w:tcPr>
            <w:tcW w:w="113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CA983F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74CF437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21.6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5541E2A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33.2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6829E03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216.53</w:t>
            </w:r>
          </w:p>
        </w:tc>
        <w:tc>
          <w:tcPr>
            <w:tcW w:w="125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5B4C24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198</w:t>
            </w: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E40AE9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31CA43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DAE8B4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DF8DD9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A4B321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6DF9491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14.7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4F233F3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30.5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29D517A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179.71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AC74CE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A483FA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337B97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75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11092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08.03</w:t>
            </w:r>
          </w:p>
        </w:tc>
        <w:tc>
          <w:tcPr>
            <w:tcW w:w="970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869B7C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硫酸排气筒</w:t>
            </w:r>
          </w:p>
        </w:tc>
        <w:tc>
          <w:tcPr>
            <w:tcW w:w="113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7E6595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608552C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6.13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0E3140A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11.17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0F6E8EB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68.68</w:t>
            </w:r>
          </w:p>
        </w:tc>
        <w:tc>
          <w:tcPr>
            <w:tcW w:w="125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D08F60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59</w:t>
            </w:r>
          </w:p>
        </w:tc>
        <w:tc>
          <w:tcPr>
            <w:tcW w:w="122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AC13AE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SO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浓度控制在45mg/m3</w:t>
            </w:r>
          </w:p>
        </w:tc>
      </w:tr>
      <w:tr w14:paraId="24422C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118BDC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D4E8D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66938F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59F3EA9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3.7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5D167A2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10.53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2475E78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56.18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D52021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E53AA9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25C42D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029EB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15AA07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5763C6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5E54CD4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2.24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753F67D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10.92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0773E92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51.84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555A17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138FB8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75481B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B8D94B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08A4DE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一期入口尾气</w:t>
            </w:r>
          </w:p>
        </w:tc>
        <w:tc>
          <w:tcPr>
            <w:tcW w:w="113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4F5E01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759380E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0.91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4B41FE3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90.6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6827E1A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332.39</w:t>
            </w:r>
          </w:p>
        </w:tc>
        <w:tc>
          <w:tcPr>
            <w:tcW w:w="125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67B436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380</w:t>
            </w: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C1819F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6BB019C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C5E13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37B93A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0411F8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5A1D651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1.21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3CFE234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96.26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4C2CD72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343.05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19E5F8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36D0BB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42FA57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898778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5DACB8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1D3BE6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584000F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0.88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0D80106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133.4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79DA612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463.97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F9FB23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5A33AD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78DB4E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9881AD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9E5132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二期入口尾气</w:t>
            </w:r>
          </w:p>
        </w:tc>
        <w:tc>
          <w:tcPr>
            <w:tcW w:w="113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FBB460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51F835B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3.18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6FCC11F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45.43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2B82CAD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184.3</w:t>
            </w:r>
          </w:p>
        </w:tc>
        <w:tc>
          <w:tcPr>
            <w:tcW w:w="125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E90B81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205</w:t>
            </w: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BE10CB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24A562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508BB1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A47905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DB6B96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451C3DC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3.07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2E05357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52.53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7627925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205.54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932DBB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A8513E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239C5F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15C066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E19F1E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051F05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6A29102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2.46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5C72B0B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57.7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037FFDA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223.69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4CB3C6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93D321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5B4AD0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75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B2E5D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08.04</w:t>
            </w:r>
          </w:p>
        </w:tc>
        <w:tc>
          <w:tcPr>
            <w:tcW w:w="970" w:type="dxa"/>
            <w:vMerge w:val="restart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 w14:paraId="6A901E8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硫酸排气筒</w:t>
            </w:r>
          </w:p>
        </w:tc>
        <w:tc>
          <w:tcPr>
            <w:tcW w:w="113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4BA67B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6385583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2.73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1844D1E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12.42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3EEDB3D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59.15</w:t>
            </w:r>
          </w:p>
        </w:tc>
        <w:tc>
          <w:tcPr>
            <w:tcW w:w="125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5D73A3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49</w:t>
            </w:r>
          </w:p>
        </w:tc>
        <w:tc>
          <w:tcPr>
            <w:tcW w:w="122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BC7B5A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SO2浓度控制在36mg/m4</w:t>
            </w:r>
          </w:p>
        </w:tc>
      </w:tr>
      <w:tr w14:paraId="435B73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1F89D6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1026F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86B79A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59A31D7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1.88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0A8A6F8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8.57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1EC0175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40.91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62DCDF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AE5F3F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52F7F6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CD899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1A74AB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115F33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5EA11AB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2.05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0804A6E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9.64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56424D3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45.8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BC29EC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4D25DD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0921C9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9CBBA4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BCEE56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一期入口尾气</w:t>
            </w:r>
          </w:p>
        </w:tc>
        <w:tc>
          <w:tcPr>
            <w:tcW w:w="113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9332A4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7332C43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1.58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78DF3AC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116.2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2BF1722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523.77</w:t>
            </w:r>
          </w:p>
        </w:tc>
        <w:tc>
          <w:tcPr>
            <w:tcW w:w="125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C86C3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453</w:t>
            </w: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72E4D7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43FFF1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B2D6F1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BC3364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F620AD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29C87EC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1.23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778C8AD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96.06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04A00D2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433.21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78F581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01742D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3783DC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9D1F4B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3E9DD2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67B89A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548EFFB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1.4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75FD434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89.41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4FA84B3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402.95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8161B6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CF0106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5ED4A8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4B7DC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EA6DAD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二期入口尾气</w:t>
            </w:r>
          </w:p>
        </w:tc>
        <w:tc>
          <w:tcPr>
            <w:tcW w:w="113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CFE11E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7338790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1.48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23CA7E6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44.25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3AE8544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152.49</w:t>
            </w:r>
          </w:p>
        </w:tc>
        <w:tc>
          <w:tcPr>
            <w:tcW w:w="125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C32F4D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260</w:t>
            </w: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2248A3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03D6B7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FF5F23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A30602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2A5439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3F7A4EC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1.65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656BA89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77.85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7B3B56D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323.78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62A89D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B11AB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0A50E0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E6CCAD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564799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3279DB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67F2BA9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1.74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15B94B2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89.24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4ED9B40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303.28</w:t>
            </w:r>
          </w:p>
        </w:tc>
        <w:tc>
          <w:tcPr>
            <w:tcW w:w="12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97681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495452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</w:tbl>
    <w:p w14:paraId="798CB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56" w:name="_GoBack"/>
      <w:bookmarkEnd w:id="56"/>
      <w:bookmarkStart w:id="44" w:name="_Toc7962"/>
      <w:bookmarkStart w:id="45" w:name="_Toc28233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2.4.2 实验结果分析判断</w:t>
      </w:r>
      <w:bookmarkEnd w:id="44"/>
      <w:bookmarkEnd w:id="45"/>
    </w:p>
    <w:p w14:paraId="360D9EE0">
      <w:pPr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从表2-3数据表明：（1）吸收液中硫酸雾量占主导，而滤筒内硫酸雾含量较低，且差异较小。（2）放空SO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高时，尾吸塔出口对应吸的收液中硫酸雾量高，总的硫酸雾量较高。（3）硫酸装置一期、二期进口硫酸雾量较高。</w:t>
      </w:r>
    </w:p>
    <w:p w14:paraId="480C7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46" w:name="_Toc15236"/>
      <w:bookmarkStart w:id="47" w:name="_Toc27498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2.5</w:t>
      </w:r>
      <w:bookmarkEnd w:id="46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 xml:space="preserve"> 影响因素探究</w:t>
      </w:r>
      <w:bookmarkEnd w:id="47"/>
    </w:p>
    <w:p w14:paraId="4BA54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48" w:name="_Toc26387"/>
      <w:bookmarkStart w:id="49" w:name="_Toc12158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2.5.1 实验SO2对硫酸雾量的影响</w:t>
      </w:r>
      <w:bookmarkEnd w:id="48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因素</w:t>
      </w:r>
      <w:bookmarkEnd w:id="49"/>
    </w:p>
    <w:p w14:paraId="03BDBDAC">
      <w:pPr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为再验证吸收液中硫酸雾量占主导作用及SO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对硫酸雾量的影响，测试结果如下表2-4。</w:t>
      </w:r>
    </w:p>
    <w:p w14:paraId="243F70CF">
      <w:pPr>
        <w:pageBreakBefore w:val="0"/>
        <w:kinsoku/>
        <w:wordWrap/>
        <w:overflowPunct/>
        <w:topLinePunct w:val="0"/>
        <w:bidi w:val="0"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表2-4  滤筒与吸收液硫酸雾量</w:t>
      </w:r>
    </w:p>
    <w:tbl>
      <w:tblPr>
        <w:tblStyle w:val="17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909"/>
        <w:gridCol w:w="909"/>
        <w:gridCol w:w="1153"/>
        <w:gridCol w:w="1153"/>
        <w:gridCol w:w="1153"/>
        <w:gridCol w:w="1153"/>
        <w:gridCol w:w="1153"/>
        <w:gridCol w:w="779"/>
      </w:tblGrid>
      <w:tr w14:paraId="009C12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10" w:type="dxa"/>
            <w:tcBorders>
              <w:tl2br w:val="nil"/>
              <w:tr2bl w:val="nil"/>
            </w:tcBorders>
            <w:noWrap w:val="0"/>
            <w:vAlign w:val="center"/>
          </w:tcPr>
          <w:p w14:paraId="0101B25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监测日期</w:t>
            </w:r>
          </w:p>
        </w:tc>
        <w:tc>
          <w:tcPr>
            <w:tcW w:w="909" w:type="dxa"/>
            <w:tcBorders>
              <w:tl2br w:val="nil"/>
              <w:tr2bl w:val="nil"/>
            </w:tcBorders>
            <w:noWrap w:val="0"/>
            <w:vAlign w:val="center"/>
          </w:tcPr>
          <w:p w14:paraId="52E0AE6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  <w:t>监测点位</w:t>
            </w:r>
          </w:p>
        </w:tc>
        <w:tc>
          <w:tcPr>
            <w:tcW w:w="909" w:type="dxa"/>
            <w:tcBorders>
              <w:tl2br w:val="nil"/>
              <w:tr2bl w:val="nil"/>
            </w:tcBorders>
            <w:noWrap w:val="0"/>
            <w:vAlign w:val="center"/>
          </w:tcPr>
          <w:p w14:paraId="6C4F7CD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  <w:t>监测项目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17DD3E8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  <w:t>第一支吸收液含量（mg）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633ADF7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  <w:t>第二支吸收液含量（mg）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5D4A24E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  <w:t>监测滤筒含量（mg）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625D7D2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  <w:t>监测结果(mg/m3）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365BCBB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  <w:t>平均值(mg/m3）</w:t>
            </w:r>
          </w:p>
        </w:tc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 w14:paraId="4C5A879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备注</w:t>
            </w:r>
          </w:p>
        </w:tc>
      </w:tr>
      <w:tr w14:paraId="53E446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9D60BA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9.3</w:t>
            </w:r>
          </w:p>
        </w:tc>
        <w:tc>
          <w:tcPr>
            <w:tcW w:w="9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99DF5D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硫酸排气筒</w:t>
            </w:r>
          </w:p>
        </w:tc>
        <w:tc>
          <w:tcPr>
            <w:tcW w:w="9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6C2502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71A99E3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0.248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5EA2C57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0.106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3A0F6C5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1.52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65EACDF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9.11</w:t>
            </w:r>
          </w:p>
        </w:tc>
        <w:tc>
          <w:tcPr>
            <w:tcW w:w="115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014585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  <w:t>9.00</w:t>
            </w:r>
          </w:p>
        </w:tc>
        <w:tc>
          <w:tcPr>
            <w:tcW w:w="77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72C703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SO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浓度15mg/m3</w:t>
            </w:r>
          </w:p>
        </w:tc>
      </w:tr>
      <w:tr w14:paraId="211331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B72587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1575CD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58BBAA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31ADFFC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0.274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04DF9C5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0.069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62F654D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1.35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5C9FBB8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8.40</w:t>
            </w:r>
          </w:p>
        </w:tc>
        <w:tc>
          <w:tcPr>
            <w:tcW w:w="11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B6FD42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77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41816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5879D7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C5509D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2224F9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554CB2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3615333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0.233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522335F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0.083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16864CA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1.62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04C990B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9.49</w:t>
            </w:r>
          </w:p>
        </w:tc>
        <w:tc>
          <w:tcPr>
            <w:tcW w:w="11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EF9BA1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77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EB9096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1DA045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12BD0F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9.3</w:t>
            </w:r>
          </w:p>
        </w:tc>
        <w:tc>
          <w:tcPr>
            <w:tcW w:w="9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2611D4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硫酸排气筒</w:t>
            </w:r>
          </w:p>
        </w:tc>
        <w:tc>
          <w:tcPr>
            <w:tcW w:w="9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F96E36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7F4BE8A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0.293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59945ED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0.099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6D73512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1.84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61E36B0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10.90</w:t>
            </w:r>
          </w:p>
        </w:tc>
        <w:tc>
          <w:tcPr>
            <w:tcW w:w="115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995250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  <w:t>10.6</w:t>
            </w:r>
          </w:p>
        </w:tc>
        <w:tc>
          <w:tcPr>
            <w:tcW w:w="77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A958C3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SO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浓度3.5mg/m3</w:t>
            </w:r>
          </w:p>
        </w:tc>
      </w:tr>
      <w:tr w14:paraId="2BD1BE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765AFC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E401B9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7E6C4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36008F9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0.126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7156755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0.065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39CEDB4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1.66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1C47CDB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8.90</w:t>
            </w:r>
          </w:p>
        </w:tc>
        <w:tc>
          <w:tcPr>
            <w:tcW w:w="11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92FEB2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77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1CC2A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0BED8B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44122F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9FA11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8421DD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3E5E543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0.178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223C736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0.177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5B4A3CD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2.14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526D215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12.13</w:t>
            </w:r>
          </w:p>
        </w:tc>
        <w:tc>
          <w:tcPr>
            <w:tcW w:w="11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6220C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77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C9FE4E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104DC0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984B2F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9.4</w:t>
            </w:r>
          </w:p>
        </w:tc>
        <w:tc>
          <w:tcPr>
            <w:tcW w:w="9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E9514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硫酸排气筒</w:t>
            </w:r>
          </w:p>
        </w:tc>
        <w:tc>
          <w:tcPr>
            <w:tcW w:w="9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EDD33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4F747D7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0.130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3682693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0.123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4C24713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1.28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45905F3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7.57</w:t>
            </w:r>
          </w:p>
        </w:tc>
        <w:tc>
          <w:tcPr>
            <w:tcW w:w="115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53B718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  <w:t>8.48</w:t>
            </w:r>
          </w:p>
        </w:tc>
        <w:tc>
          <w:tcPr>
            <w:tcW w:w="77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BB2ECD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SO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浓度13mg/m3</w:t>
            </w:r>
          </w:p>
        </w:tc>
      </w:tr>
      <w:tr w14:paraId="47D655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F47C46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9D8E5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AC9FA8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03D4154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0.551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0F2F388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0.054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4F8FE29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0.99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29F8F09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7.67</w:t>
            </w:r>
          </w:p>
        </w:tc>
        <w:tc>
          <w:tcPr>
            <w:tcW w:w="11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5F4C80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77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18D32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224DAE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2CFB13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B708ED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1EF41F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5CE8196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0.723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7043480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0.012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55A3887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1.35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5E5A5B4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10.20</w:t>
            </w:r>
          </w:p>
        </w:tc>
        <w:tc>
          <w:tcPr>
            <w:tcW w:w="11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0AFD43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77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F32D68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7AFC08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94E957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9.5</w:t>
            </w:r>
          </w:p>
        </w:tc>
        <w:tc>
          <w:tcPr>
            <w:tcW w:w="9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24F2F7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硫酸排气筒</w:t>
            </w:r>
          </w:p>
        </w:tc>
        <w:tc>
          <w:tcPr>
            <w:tcW w:w="9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31B652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硫酸雾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247889A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0.175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5ABEA5D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0.232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36DEA5F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1.95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6FBA919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12.18</w:t>
            </w:r>
          </w:p>
        </w:tc>
        <w:tc>
          <w:tcPr>
            <w:tcW w:w="115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6A54A8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  <w:t>10.9</w:t>
            </w:r>
          </w:p>
        </w:tc>
        <w:tc>
          <w:tcPr>
            <w:tcW w:w="77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C32A7D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SO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浓度3mg/m3</w:t>
            </w:r>
          </w:p>
        </w:tc>
      </w:tr>
      <w:tr w14:paraId="291045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E99905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1C561B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CCE74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5B4EAB1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0.102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03C7529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0.024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6053377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1.77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768CE9E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9.68</w:t>
            </w:r>
          </w:p>
        </w:tc>
        <w:tc>
          <w:tcPr>
            <w:tcW w:w="11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0E796BD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77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65D097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1044F1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8B0657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F97BB4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67702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2AD8F95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0.065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004F2C9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0.021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41D2D22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2.05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428AB3F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10.76</w:t>
            </w:r>
          </w:p>
        </w:tc>
        <w:tc>
          <w:tcPr>
            <w:tcW w:w="11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188BA5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77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31205D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</w:tbl>
    <w:p w14:paraId="31981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50" w:name="_Toc30704"/>
      <w:bookmarkStart w:id="51" w:name="_Toc17675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2.5.2 实验结果分析判断</w:t>
      </w:r>
      <w:bookmarkEnd w:id="50"/>
      <w:bookmarkEnd w:id="51"/>
    </w:p>
    <w:p w14:paraId="0E389265">
      <w:pPr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调整措施表明:（1）将放空SO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浓度降低时，排气筒硫酸雾可以控制在国家标准范围（2）此次验证充分说明放空二氧化硫浓度对硫酸雾的影响占主导。（3）放空SO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浓度控制在15mg/m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perscript"/>
          <w:lang w:val="en-US" w:eastAsia="zh-CN" w:bidi="he-IL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以下时，第一、二支吸收液内的硫酸雾含量大幅降低，可使放空硫酸雾量达标。</w:t>
      </w:r>
    </w:p>
    <w:p w14:paraId="6CCFB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2.5.3 标准方法差异</w:t>
      </w:r>
    </w:p>
    <w:tbl>
      <w:tblPr>
        <w:tblStyle w:val="1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5"/>
        <w:gridCol w:w="2217"/>
        <w:gridCol w:w="2361"/>
        <w:gridCol w:w="2244"/>
      </w:tblGrid>
      <w:tr w14:paraId="79593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5" w:type="dxa"/>
            <w:noWrap w:val="0"/>
            <w:vAlign w:val="center"/>
          </w:tcPr>
          <w:p w14:paraId="17384199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方法标准及批准、实施时间</w:t>
            </w:r>
          </w:p>
        </w:tc>
        <w:tc>
          <w:tcPr>
            <w:tcW w:w="2217" w:type="dxa"/>
            <w:noWrap w:val="0"/>
            <w:vAlign w:val="center"/>
          </w:tcPr>
          <w:p w14:paraId="4BB42052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HJ544-2009（老标准）于2009年12月30日批准，2010年4月1日起实施</w:t>
            </w:r>
          </w:p>
        </w:tc>
        <w:tc>
          <w:tcPr>
            <w:tcW w:w="2361" w:type="dxa"/>
            <w:noWrap w:val="0"/>
            <w:vAlign w:val="center"/>
          </w:tcPr>
          <w:p w14:paraId="473705CC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HJ544-2016(新标准）于2016年3月30日批准，2016年5月1日起实施</w:t>
            </w:r>
          </w:p>
        </w:tc>
        <w:tc>
          <w:tcPr>
            <w:tcW w:w="2244" w:type="dxa"/>
            <w:noWrap w:val="0"/>
            <w:vAlign w:val="center"/>
          </w:tcPr>
          <w:p w14:paraId="1C8F323F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空气和废气监测分析方法（第四版增补版）硫酸雾-铬酸钡分光光度法</w:t>
            </w:r>
          </w:p>
        </w:tc>
      </w:tr>
      <w:tr w14:paraId="41C76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5" w:type="dxa"/>
            <w:noWrap w:val="0"/>
            <w:vAlign w:val="center"/>
          </w:tcPr>
          <w:p w14:paraId="453BA478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规范性引用文件</w:t>
            </w:r>
          </w:p>
        </w:tc>
        <w:tc>
          <w:tcPr>
            <w:tcW w:w="2217" w:type="dxa"/>
            <w:noWrap w:val="0"/>
            <w:vAlign w:val="center"/>
          </w:tcPr>
          <w:p w14:paraId="0BD561D3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相同（详见标准）</w:t>
            </w:r>
          </w:p>
        </w:tc>
        <w:tc>
          <w:tcPr>
            <w:tcW w:w="2361" w:type="dxa"/>
            <w:noWrap w:val="0"/>
            <w:vAlign w:val="center"/>
          </w:tcPr>
          <w:p w14:paraId="49A2966F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相同（详见标准）</w:t>
            </w:r>
          </w:p>
        </w:tc>
        <w:tc>
          <w:tcPr>
            <w:tcW w:w="2244" w:type="dxa"/>
            <w:noWrap w:val="0"/>
            <w:vAlign w:val="center"/>
          </w:tcPr>
          <w:p w14:paraId="16E31592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相同（详见标准）</w:t>
            </w:r>
          </w:p>
        </w:tc>
      </w:tr>
      <w:tr w14:paraId="237E5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5" w:type="dxa"/>
            <w:noWrap w:val="0"/>
            <w:vAlign w:val="center"/>
          </w:tcPr>
          <w:p w14:paraId="0F13E3D4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方法标准对硫酸雾定义</w:t>
            </w:r>
          </w:p>
        </w:tc>
        <w:tc>
          <w:tcPr>
            <w:tcW w:w="2217" w:type="dxa"/>
            <w:noWrap w:val="0"/>
            <w:vAlign w:val="center"/>
          </w:tcPr>
          <w:p w14:paraId="48DB675A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标准未做明确规定</w:t>
            </w:r>
          </w:p>
        </w:tc>
        <w:tc>
          <w:tcPr>
            <w:tcW w:w="2361" w:type="dxa"/>
            <w:noWrap w:val="0"/>
            <w:vAlign w:val="center"/>
          </w:tcPr>
          <w:p w14:paraId="2246549C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本标准测定硫酸雾包括硫酸小液滴、三氧化硫及颗粒物中可溶性硫酸盐</w:t>
            </w:r>
          </w:p>
        </w:tc>
        <w:tc>
          <w:tcPr>
            <w:tcW w:w="2244" w:type="dxa"/>
            <w:noWrap w:val="0"/>
            <w:vAlign w:val="center"/>
          </w:tcPr>
          <w:p w14:paraId="4645EC10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标准未做明确规定</w:t>
            </w:r>
          </w:p>
        </w:tc>
      </w:tr>
      <w:tr w14:paraId="66D23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5" w:type="dxa"/>
            <w:noWrap w:val="0"/>
            <w:vAlign w:val="center"/>
          </w:tcPr>
          <w:p w14:paraId="084749E2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方法原理</w:t>
            </w:r>
          </w:p>
        </w:tc>
        <w:tc>
          <w:tcPr>
            <w:tcW w:w="2217" w:type="dxa"/>
            <w:noWrap w:val="0"/>
            <w:vAlign w:val="center"/>
          </w:tcPr>
          <w:p w14:paraId="0FB27DC9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离子色谱法</w:t>
            </w:r>
          </w:p>
        </w:tc>
        <w:tc>
          <w:tcPr>
            <w:tcW w:w="2361" w:type="dxa"/>
            <w:noWrap w:val="0"/>
            <w:vAlign w:val="center"/>
          </w:tcPr>
          <w:p w14:paraId="7578349F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离子色谱法</w:t>
            </w:r>
          </w:p>
        </w:tc>
        <w:tc>
          <w:tcPr>
            <w:tcW w:w="2244" w:type="dxa"/>
            <w:noWrap w:val="0"/>
            <w:vAlign w:val="center"/>
          </w:tcPr>
          <w:p w14:paraId="34C1FB0B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铬酸钡分光光度法</w:t>
            </w:r>
          </w:p>
        </w:tc>
      </w:tr>
      <w:tr w14:paraId="283CF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5" w:type="dxa"/>
            <w:noWrap w:val="0"/>
            <w:vAlign w:val="center"/>
          </w:tcPr>
          <w:p w14:paraId="1B9E16D8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干扰和消除</w:t>
            </w:r>
          </w:p>
        </w:tc>
        <w:tc>
          <w:tcPr>
            <w:tcW w:w="2217" w:type="dxa"/>
            <w:noWrap w:val="0"/>
            <w:vAlign w:val="center"/>
          </w:tcPr>
          <w:p w14:paraId="650B44EC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相同（详见标准）</w:t>
            </w:r>
          </w:p>
        </w:tc>
        <w:tc>
          <w:tcPr>
            <w:tcW w:w="2361" w:type="dxa"/>
            <w:noWrap w:val="0"/>
            <w:vAlign w:val="center"/>
          </w:tcPr>
          <w:p w14:paraId="658533E0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相同（详见标准）</w:t>
            </w:r>
          </w:p>
        </w:tc>
        <w:tc>
          <w:tcPr>
            <w:tcW w:w="2244" w:type="dxa"/>
            <w:noWrap w:val="0"/>
            <w:vAlign w:val="center"/>
          </w:tcPr>
          <w:p w14:paraId="37151298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相同（详见标准）</w:t>
            </w:r>
          </w:p>
        </w:tc>
      </w:tr>
      <w:tr w14:paraId="512C8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5" w:type="dxa"/>
            <w:noWrap w:val="0"/>
            <w:vAlign w:val="center"/>
          </w:tcPr>
          <w:p w14:paraId="5C283DE9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样品采集</w:t>
            </w:r>
          </w:p>
        </w:tc>
        <w:tc>
          <w:tcPr>
            <w:tcW w:w="2217" w:type="dxa"/>
            <w:noWrap w:val="0"/>
            <w:vAlign w:val="center"/>
          </w:tcPr>
          <w:p w14:paraId="203F67D5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按照GB/T16157规定采集滤筒样品，同时采集空白样品。标准（11）“注意事项”对样品采集进行了补充描述：1.一般情况吸收液均检不出硫酸；2.在高浓度、高温度、高湿度情况下，采样时可采取强制冷却收集冷凝水测定和滤筒阻留量相加的方法，提高采样效率。（详见标准）</w:t>
            </w:r>
          </w:p>
        </w:tc>
        <w:tc>
          <w:tcPr>
            <w:tcW w:w="2361" w:type="dxa"/>
            <w:noWrap w:val="0"/>
            <w:vAlign w:val="center"/>
          </w:tcPr>
          <w:p w14:paraId="0023BE6C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按照GB/T16157规定采集样品，采集滤筒样品的同时，在烟尘采样枪后串联两支内装50ml吸收液的冲击式吸收瓶，采集三氧化硫气体和穿透滤筒的细小液滴。采样过程中，烟枪加热温度不得低于烟气温度。每次采集样品至少带两套全程序空白样品。（详见标准）</w:t>
            </w:r>
          </w:p>
        </w:tc>
        <w:tc>
          <w:tcPr>
            <w:tcW w:w="2244" w:type="dxa"/>
            <w:noWrap w:val="0"/>
            <w:vAlign w:val="center"/>
          </w:tcPr>
          <w:p w14:paraId="37BABD24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按国家有关污染源监测技术规范规定采样（只采集滤筒样）</w:t>
            </w:r>
          </w:p>
        </w:tc>
      </w:tr>
      <w:tr w14:paraId="1E5E6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5" w:type="dxa"/>
            <w:noWrap w:val="0"/>
            <w:vAlign w:val="center"/>
          </w:tcPr>
          <w:p w14:paraId="2198DBE8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样品运输和保存</w:t>
            </w:r>
          </w:p>
        </w:tc>
        <w:tc>
          <w:tcPr>
            <w:tcW w:w="2217" w:type="dxa"/>
            <w:noWrap w:val="0"/>
            <w:vAlign w:val="center"/>
          </w:tcPr>
          <w:p w14:paraId="04FD058A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滤筒样品采集后放入具塞磨口锥形瓶中保存。</w:t>
            </w:r>
          </w:p>
        </w:tc>
        <w:tc>
          <w:tcPr>
            <w:tcW w:w="2361" w:type="dxa"/>
            <w:noWrap w:val="0"/>
            <w:vAlign w:val="center"/>
          </w:tcPr>
          <w:p w14:paraId="16D6009D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采集的样品及全程序空白应于0℃-4℃冷藏、密封保存，于24小时内完成试样制备，若不能及时测定，应将制备好的样品于0℃-4℃冷藏、密封可保存30天</w:t>
            </w:r>
          </w:p>
        </w:tc>
        <w:tc>
          <w:tcPr>
            <w:tcW w:w="2244" w:type="dxa"/>
            <w:noWrap w:val="0"/>
            <w:vAlign w:val="center"/>
          </w:tcPr>
          <w:p w14:paraId="3B73C21A">
            <w:pPr>
              <w:pStyle w:val="32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无</w:t>
            </w:r>
          </w:p>
        </w:tc>
      </w:tr>
    </w:tbl>
    <w:p w14:paraId="31DB3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52" w:name="_Toc25205"/>
      <w:bookmarkStart w:id="53" w:name="_Toc2283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3 实验结论</w:t>
      </w:r>
      <w:bookmarkEnd w:id="52"/>
      <w:bookmarkEnd w:id="53"/>
    </w:p>
    <w:p w14:paraId="4D044900">
      <w:pPr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通过对酸雾分析、验证，初步得出以下结论。</w:t>
      </w:r>
    </w:p>
    <w:p w14:paraId="38B56112">
      <w:pPr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1、HJ544-2016标准中监测滤筒硫酸雾贡献量较低，普遍在3mg/m3以下；SO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经过取样装置的两个吸收瓶后被全部吸收； 其中滤筒阻留部分硫酸雾含量仅占10%左右，而SO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被2只串联的NaOH吸收瓶吸收，吸收液中的亚硫酸盐转化为硫酸盐被作为硫酸雾，（包括：微细颗粒物附着的可溶性硫酸盐、穿过滤筒的硫酸小液滴和气相所含SO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含量占比高达90%左右。</w:t>
      </w:r>
    </w:p>
    <w:p w14:paraId="0BA1B8D1">
      <w:pPr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2、排气筒放空SO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浓度与酸雾分析结果有一定的线性关系。</w:t>
      </w:r>
    </w:p>
    <w:p w14:paraId="45142AC8">
      <w:pPr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3、排气筒放空SO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气体在通过NaOH吸收液后，SO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基本全部被吸收，生成的SO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perscript"/>
          <w:lang w:val="en-US" w:eastAsia="zh-CN" w:bidi="he-IL"/>
        </w:rPr>
        <w:t>2-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，在O2(氧气)作用下氧化成SO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perscript"/>
          <w:lang w:val="en-US" w:eastAsia="zh-CN" w:bidi="he-IL"/>
        </w:rPr>
        <w:t>2-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，增加硫酸雾监测含量使结果升高。吸收液硫酸雾含量与放空SO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bscript"/>
          <w:lang w:val="en-US" w:eastAsia="zh-CN" w:bidi="he-IL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浓度关系较大，且对硫酸雾的影响占主导。</w:t>
      </w:r>
    </w:p>
    <w:p w14:paraId="0A80C001">
      <w:pPr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</w:p>
    <w:p w14:paraId="1F024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</w:pPr>
      <w:bookmarkStart w:id="54" w:name="_Toc9650"/>
      <w:bookmarkStart w:id="55" w:name="_Toc20658"/>
      <w:r>
        <w:rPr>
          <w:rFonts w:hint="eastAsia" w:ascii="宋体" w:hAnsi="宋体" w:eastAsia="宋体" w:cs="宋体"/>
          <w:b/>
          <w:bCs/>
          <w:kern w:val="44"/>
          <w:sz w:val="21"/>
          <w:szCs w:val="21"/>
          <w:lang w:val="en-US" w:eastAsia="zh-CN" w:bidi="ar-SA"/>
        </w:rPr>
        <w:t>参考文献</w:t>
      </w:r>
      <w:bookmarkEnd w:id="54"/>
      <w:bookmarkEnd w:id="55"/>
    </w:p>
    <w:p w14:paraId="5F585279">
      <w:pPr>
        <w:pageBreakBefore w:val="0"/>
        <w:widowControl/>
        <w:kinsoku/>
        <w:wordWrap/>
        <w:overflowPunct/>
        <w:topLinePunct w:val="0"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[1] 环境保护部.固定污染源废气 硫酸雾的测定 离子色谱法(暂行):HJ 544-2009[S].北京:中国环境科学出版社,2009.</w:t>
      </w:r>
    </w:p>
    <w:p w14:paraId="5DB91332">
      <w:pPr>
        <w:pageBreakBefore w:val="0"/>
        <w:widowControl/>
        <w:kinsoku/>
        <w:wordWrap/>
        <w:overflowPunct/>
        <w:topLinePunct w:val="0"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[2] 环境保护部.固定污染源废气 硫酸雾的测定离子色谱法:HJ544-2016[S].北京:中国环境科学出版社,2016.</w:t>
      </w:r>
    </w:p>
    <w:p w14:paraId="07FFEDCE">
      <w:pPr>
        <w:pageBreakBefore w:val="0"/>
        <w:widowControl/>
        <w:kinsoku/>
        <w:wordWrap/>
        <w:overflowPunct/>
        <w:topLinePunct w:val="0"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[3] GB/T 16157固定污染源排气中颗粒物测定与气态污染物采样方法</w:t>
      </w:r>
    </w:p>
    <w:p w14:paraId="6B2C8C75">
      <w:pPr>
        <w:pageBreakBefore w:val="0"/>
        <w:widowControl/>
        <w:kinsoku/>
        <w:wordWrap/>
        <w:overflowPunct/>
        <w:topLinePunct w:val="0"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[4] HJ/T 55大气污染物无组织排放监测技术导则</w:t>
      </w:r>
    </w:p>
    <w:p w14:paraId="0AABD304">
      <w:pPr>
        <w:pageBreakBefore w:val="0"/>
        <w:widowControl/>
        <w:kinsoku/>
        <w:wordWrap/>
        <w:overflowPunct/>
        <w:topLinePunct w:val="0"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[5] HJ/T 373固定污染源监测质量保证与质量控制技术规范(试行)</w:t>
      </w:r>
    </w:p>
    <w:p w14:paraId="62D57F12">
      <w:pPr>
        <w:pageBreakBefore w:val="0"/>
        <w:widowControl/>
        <w:kinsoku/>
        <w:wordWrap/>
        <w:overflowPunct/>
        <w:topLinePunct w:val="0"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[6] HJ/T 397固定源废气监测技术规范</w:t>
      </w:r>
    </w:p>
    <w:p w14:paraId="10E7CDC3">
      <w:pPr>
        <w:pageBreakBefore w:val="0"/>
        <w:widowControl/>
        <w:kinsoku/>
        <w:wordWrap/>
        <w:overflowPunct/>
        <w:topLinePunct w:val="0"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he-IL"/>
        </w:rPr>
        <w:t>[7]硫黄制酸装置尾气硫酸雾含量偏高原因分析及控制措施</w:t>
      </w:r>
    </w:p>
    <w:p w14:paraId="55B07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sectPr>
      <w:pgSz w:w="11906" w:h="16838"/>
      <w:pgMar w:top="1814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AdobeHeitiStd-Regular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5ZmMwZTNkY2FjMjU1Y2Y4ZTlkNzhjNmI4MDEyNjcifQ=="/>
  </w:docVars>
  <w:rsids>
    <w:rsidRoot w:val="00DD4CC1"/>
    <w:rsid w:val="00036B5E"/>
    <w:rsid w:val="00047FC0"/>
    <w:rsid w:val="00060599"/>
    <w:rsid w:val="0008730F"/>
    <w:rsid w:val="000A4D30"/>
    <w:rsid w:val="001570A5"/>
    <w:rsid w:val="001653DA"/>
    <w:rsid w:val="00170655"/>
    <w:rsid w:val="001F16B8"/>
    <w:rsid w:val="001F268C"/>
    <w:rsid w:val="00205F95"/>
    <w:rsid w:val="00223CAE"/>
    <w:rsid w:val="00252BF1"/>
    <w:rsid w:val="00264F57"/>
    <w:rsid w:val="002A2FE8"/>
    <w:rsid w:val="002A6E7F"/>
    <w:rsid w:val="002D3AD9"/>
    <w:rsid w:val="0032324D"/>
    <w:rsid w:val="00326DED"/>
    <w:rsid w:val="00452666"/>
    <w:rsid w:val="0046021A"/>
    <w:rsid w:val="00472F07"/>
    <w:rsid w:val="00495E28"/>
    <w:rsid w:val="004A7308"/>
    <w:rsid w:val="004B658B"/>
    <w:rsid w:val="004E5974"/>
    <w:rsid w:val="004E639D"/>
    <w:rsid w:val="0052555F"/>
    <w:rsid w:val="00550EFD"/>
    <w:rsid w:val="005A641B"/>
    <w:rsid w:val="005B2031"/>
    <w:rsid w:val="006054C1"/>
    <w:rsid w:val="006278D9"/>
    <w:rsid w:val="006525A5"/>
    <w:rsid w:val="006B4EF3"/>
    <w:rsid w:val="006B523C"/>
    <w:rsid w:val="006C7D50"/>
    <w:rsid w:val="00704818"/>
    <w:rsid w:val="00735E72"/>
    <w:rsid w:val="00756BF6"/>
    <w:rsid w:val="007958E0"/>
    <w:rsid w:val="007A04D9"/>
    <w:rsid w:val="007C2153"/>
    <w:rsid w:val="007D0764"/>
    <w:rsid w:val="007F00BC"/>
    <w:rsid w:val="00844F2C"/>
    <w:rsid w:val="00852987"/>
    <w:rsid w:val="0087425D"/>
    <w:rsid w:val="00874940"/>
    <w:rsid w:val="009168ED"/>
    <w:rsid w:val="0093495B"/>
    <w:rsid w:val="0094356F"/>
    <w:rsid w:val="009819FE"/>
    <w:rsid w:val="00987F1F"/>
    <w:rsid w:val="00A0752B"/>
    <w:rsid w:val="00A1502F"/>
    <w:rsid w:val="00A3470B"/>
    <w:rsid w:val="00A633AE"/>
    <w:rsid w:val="00A81B9E"/>
    <w:rsid w:val="00AA011A"/>
    <w:rsid w:val="00AD6D59"/>
    <w:rsid w:val="00B05911"/>
    <w:rsid w:val="00B226D2"/>
    <w:rsid w:val="00B86F3C"/>
    <w:rsid w:val="00BD25C3"/>
    <w:rsid w:val="00BF5402"/>
    <w:rsid w:val="00C31229"/>
    <w:rsid w:val="00C76433"/>
    <w:rsid w:val="00CF58F8"/>
    <w:rsid w:val="00D203A8"/>
    <w:rsid w:val="00D36A6E"/>
    <w:rsid w:val="00D829F0"/>
    <w:rsid w:val="00DD4CC1"/>
    <w:rsid w:val="00DE0390"/>
    <w:rsid w:val="00DF0139"/>
    <w:rsid w:val="00E52C97"/>
    <w:rsid w:val="00E67BF2"/>
    <w:rsid w:val="00EC1DD6"/>
    <w:rsid w:val="00ED67A0"/>
    <w:rsid w:val="00F153FF"/>
    <w:rsid w:val="00F22786"/>
    <w:rsid w:val="00F834FB"/>
    <w:rsid w:val="00F9257D"/>
    <w:rsid w:val="00FB3EEC"/>
    <w:rsid w:val="00FD2258"/>
    <w:rsid w:val="01520363"/>
    <w:rsid w:val="01C963F3"/>
    <w:rsid w:val="01DE1C5C"/>
    <w:rsid w:val="02203B3A"/>
    <w:rsid w:val="02B86B51"/>
    <w:rsid w:val="03304250"/>
    <w:rsid w:val="0374238F"/>
    <w:rsid w:val="03A5079A"/>
    <w:rsid w:val="03C50E3C"/>
    <w:rsid w:val="03C527A5"/>
    <w:rsid w:val="048748A1"/>
    <w:rsid w:val="04CC1D57"/>
    <w:rsid w:val="04DC643E"/>
    <w:rsid w:val="056106F1"/>
    <w:rsid w:val="05AE130F"/>
    <w:rsid w:val="05FB3670"/>
    <w:rsid w:val="06112117"/>
    <w:rsid w:val="062077BC"/>
    <w:rsid w:val="065F10D4"/>
    <w:rsid w:val="0730481F"/>
    <w:rsid w:val="076E5F7E"/>
    <w:rsid w:val="07B471FE"/>
    <w:rsid w:val="07C05BA3"/>
    <w:rsid w:val="07E3246F"/>
    <w:rsid w:val="07F7358F"/>
    <w:rsid w:val="08564759"/>
    <w:rsid w:val="08BA0844"/>
    <w:rsid w:val="091A7E4E"/>
    <w:rsid w:val="09931095"/>
    <w:rsid w:val="09F00295"/>
    <w:rsid w:val="0A4B20AA"/>
    <w:rsid w:val="0AEE6ECB"/>
    <w:rsid w:val="0AFF2E86"/>
    <w:rsid w:val="0B664CB3"/>
    <w:rsid w:val="0B8E7D66"/>
    <w:rsid w:val="0C0E77A3"/>
    <w:rsid w:val="0C2B45A8"/>
    <w:rsid w:val="0C580AA0"/>
    <w:rsid w:val="0C8E44C1"/>
    <w:rsid w:val="0CDE6ACB"/>
    <w:rsid w:val="0CE82491"/>
    <w:rsid w:val="0CF56428"/>
    <w:rsid w:val="0D525F6F"/>
    <w:rsid w:val="0D731909"/>
    <w:rsid w:val="0DA11FD2"/>
    <w:rsid w:val="0E470192"/>
    <w:rsid w:val="0E5352AC"/>
    <w:rsid w:val="0E792F4F"/>
    <w:rsid w:val="0EC8358F"/>
    <w:rsid w:val="0F543075"/>
    <w:rsid w:val="0FEE51C5"/>
    <w:rsid w:val="0FEF171B"/>
    <w:rsid w:val="0FF00FEF"/>
    <w:rsid w:val="0FF705D0"/>
    <w:rsid w:val="10045BDC"/>
    <w:rsid w:val="102313C5"/>
    <w:rsid w:val="103C5A23"/>
    <w:rsid w:val="10523A58"/>
    <w:rsid w:val="10667503"/>
    <w:rsid w:val="108035FE"/>
    <w:rsid w:val="108F6A5A"/>
    <w:rsid w:val="10B85FB1"/>
    <w:rsid w:val="10BB15FD"/>
    <w:rsid w:val="10D34B99"/>
    <w:rsid w:val="111156C1"/>
    <w:rsid w:val="111B6540"/>
    <w:rsid w:val="11407D54"/>
    <w:rsid w:val="123F1DBA"/>
    <w:rsid w:val="12CF1390"/>
    <w:rsid w:val="12DB7D35"/>
    <w:rsid w:val="12E60488"/>
    <w:rsid w:val="13001868"/>
    <w:rsid w:val="132A2A6A"/>
    <w:rsid w:val="13CB5FFB"/>
    <w:rsid w:val="145D3907"/>
    <w:rsid w:val="148A7C64"/>
    <w:rsid w:val="14B4083D"/>
    <w:rsid w:val="156C2EC6"/>
    <w:rsid w:val="15C56B00"/>
    <w:rsid w:val="16132CB9"/>
    <w:rsid w:val="16B20DAC"/>
    <w:rsid w:val="16B25250"/>
    <w:rsid w:val="16B8213B"/>
    <w:rsid w:val="16D2144F"/>
    <w:rsid w:val="17836BED"/>
    <w:rsid w:val="178C5AA1"/>
    <w:rsid w:val="17AD77C6"/>
    <w:rsid w:val="180933FC"/>
    <w:rsid w:val="185C6006"/>
    <w:rsid w:val="18616F2E"/>
    <w:rsid w:val="191221DB"/>
    <w:rsid w:val="19235F91"/>
    <w:rsid w:val="19800B64"/>
    <w:rsid w:val="19836A30"/>
    <w:rsid w:val="199944A6"/>
    <w:rsid w:val="19FD4A34"/>
    <w:rsid w:val="1A533F79"/>
    <w:rsid w:val="1A5A1E87"/>
    <w:rsid w:val="1B2F179A"/>
    <w:rsid w:val="1B6F3710"/>
    <w:rsid w:val="1C185B56"/>
    <w:rsid w:val="1C250273"/>
    <w:rsid w:val="1CFA16FF"/>
    <w:rsid w:val="1D01483C"/>
    <w:rsid w:val="1D5D57EA"/>
    <w:rsid w:val="1E171E3D"/>
    <w:rsid w:val="1EBA2EF4"/>
    <w:rsid w:val="1EC41FC5"/>
    <w:rsid w:val="1EFE3E02"/>
    <w:rsid w:val="1F78690B"/>
    <w:rsid w:val="1FA40E26"/>
    <w:rsid w:val="20181E55"/>
    <w:rsid w:val="20200F8C"/>
    <w:rsid w:val="204B20BB"/>
    <w:rsid w:val="204F1D62"/>
    <w:rsid w:val="205C7FDB"/>
    <w:rsid w:val="20CA763A"/>
    <w:rsid w:val="21294361"/>
    <w:rsid w:val="21661758"/>
    <w:rsid w:val="227635D6"/>
    <w:rsid w:val="22BA5BB9"/>
    <w:rsid w:val="230D784D"/>
    <w:rsid w:val="23B95F13"/>
    <w:rsid w:val="24174945"/>
    <w:rsid w:val="24212C83"/>
    <w:rsid w:val="244020ED"/>
    <w:rsid w:val="248B32E5"/>
    <w:rsid w:val="24B17D3C"/>
    <w:rsid w:val="24EE1B49"/>
    <w:rsid w:val="25867FD4"/>
    <w:rsid w:val="259C77F7"/>
    <w:rsid w:val="25D413BA"/>
    <w:rsid w:val="262A3A04"/>
    <w:rsid w:val="269C7383"/>
    <w:rsid w:val="26B66697"/>
    <w:rsid w:val="273D46C2"/>
    <w:rsid w:val="27435A51"/>
    <w:rsid w:val="27466F3A"/>
    <w:rsid w:val="276F4A98"/>
    <w:rsid w:val="27F05BD9"/>
    <w:rsid w:val="283B6E9A"/>
    <w:rsid w:val="28414686"/>
    <w:rsid w:val="287C746C"/>
    <w:rsid w:val="288D3427"/>
    <w:rsid w:val="28C3509B"/>
    <w:rsid w:val="28D44D60"/>
    <w:rsid w:val="29F55569"/>
    <w:rsid w:val="2A6D1762"/>
    <w:rsid w:val="2A9C2048"/>
    <w:rsid w:val="2AF37C49"/>
    <w:rsid w:val="2B1C6D0B"/>
    <w:rsid w:val="2B42499D"/>
    <w:rsid w:val="2C1A3224"/>
    <w:rsid w:val="2C5F332D"/>
    <w:rsid w:val="2CDC497D"/>
    <w:rsid w:val="2DA03BFD"/>
    <w:rsid w:val="2DA336ED"/>
    <w:rsid w:val="2DD45655"/>
    <w:rsid w:val="2E7221A8"/>
    <w:rsid w:val="2EC67693"/>
    <w:rsid w:val="2EE30245"/>
    <w:rsid w:val="2F087CAC"/>
    <w:rsid w:val="2F0E4B96"/>
    <w:rsid w:val="2F1A353B"/>
    <w:rsid w:val="2F1F6DA3"/>
    <w:rsid w:val="2F397E65"/>
    <w:rsid w:val="2F620882"/>
    <w:rsid w:val="2F633134"/>
    <w:rsid w:val="2F882B9B"/>
    <w:rsid w:val="2FA86D99"/>
    <w:rsid w:val="312F3756"/>
    <w:rsid w:val="31496359"/>
    <w:rsid w:val="315E0057"/>
    <w:rsid w:val="318D4498"/>
    <w:rsid w:val="3199108F"/>
    <w:rsid w:val="319F16AA"/>
    <w:rsid w:val="31CC4FC0"/>
    <w:rsid w:val="31F167D5"/>
    <w:rsid w:val="3216448E"/>
    <w:rsid w:val="321D581C"/>
    <w:rsid w:val="323963CE"/>
    <w:rsid w:val="3273368E"/>
    <w:rsid w:val="32963820"/>
    <w:rsid w:val="32E20814"/>
    <w:rsid w:val="337771AE"/>
    <w:rsid w:val="33F94067"/>
    <w:rsid w:val="34480B4A"/>
    <w:rsid w:val="34821AD6"/>
    <w:rsid w:val="35A52FD0"/>
    <w:rsid w:val="35D501BC"/>
    <w:rsid w:val="36407D2B"/>
    <w:rsid w:val="36BE3BE8"/>
    <w:rsid w:val="36DA26A7"/>
    <w:rsid w:val="36DB5CA6"/>
    <w:rsid w:val="37227431"/>
    <w:rsid w:val="3756532C"/>
    <w:rsid w:val="37B01725"/>
    <w:rsid w:val="38061044"/>
    <w:rsid w:val="381C3783"/>
    <w:rsid w:val="389E342F"/>
    <w:rsid w:val="38C5276A"/>
    <w:rsid w:val="39783C80"/>
    <w:rsid w:val="398E5251"/>
    <w:rsid w:val="399551B1"/>
    <w:rsid w:val="39D619B3"/>
    <w:rsid w:val="3A445910"/>
    <w:rsid w:val="3A557B1D"/>
    <w:rsid w:val="3A726921"/>
    <w:rsid w:val="3A765FE2"/>
    <w:rsid w:val="3B653D90"/>
    <w:rsid w:val="3B7D732B"/>
    <w:rsid w:val="3BAE3989"/>
    <w:rsid w:val="3BCC3E0F"/>
    <w:rsid w:val="3BD66A3C"/>
    <w:rsid w:val="3C424796"/>
    <w:rsid w:val="3CC044ED"/>
    <w:rsid w:val="3CC25530"/>
    <w:rsid w:val="3CC52D38"/>
    <w:rsid w:val="3CD13DD3"/>
    <w:rsid w:val="3D0715A3"/>
    <w:rsid w:val="3DA212CB"/>
    <w:rsid w:val="3DBB238D"/>
    <w:rsid w:val="3DBD6105"/>
    <w:rsid w:val="3E4405D4"/>
    <w:rsid w:val="3E9926CE"/>
    <w:rsid w:val="3E9C5D1B"/>
    <w:rsid w:val="3F0F0BE2"/>
    <w:rsid w:val="3F375A43"/>
    <w:rsid w:val="3FA4757D"/>
    <w:rsid w:val="3FB6105E"/>
    <w:rsid w:val="3FE444E6"/>
    <w:rsid w:val="40583EC3"/>
    <w:rsid w:val="40642868"/>
    <w:rsid w:val="407A652F"/>
    <w:rsid w:val="40923879"/>
    <w:rsid w:val="410F592B"/>
    <w:rsid w:val="411424E0"/>
    <w:rsid w:val="41641264"/>
    <w:rsid w:val="41700BEB"/>
    <w:rsid w:val="426C3C56"/>
    <w:rsid w:val="42786A9F"/>
    <w:rsid w:val="429D0863"/>
    <w:rsid w:val="42BC1743"/>
    <w:rsid w:val="42EE53FF"/>
    <w:rsid w:val="43E4263E"/>
    <w:rsid w:val="43EA065A"/>
    <w:rsid w:val="45554E75"/>
    <w:rsid w:val="459D60E3"/>
    <w:rsid w:val="45B70627"/>
    <w:rsid w:val="45CA5863"/>
    <w:rsid w:val="45E5444B"/>
    <w:rsid w:val="46362EF9"/>
    <w:rsid w:val="465515D1"/>
    <w:rsid w:val="468E4AE3"/>
    <w:rsid w:val="46B207D1"/>
    <w:rsid w:val="46F54E2D"/>
    <w:rsid w:val="46FD57C4"/>
    <w:rsid w:val="47925F0D"/>
    <w:rsid w:val="47A143DA"/>
    <w:rsid w:val="47E81E53"/>
    <w:rsid w:val="48A028AB"/>
    <w:rsid w:val="48B545A9"/>
    <w:rsid w:val="495C0DBE"/>
    <w:rsid w:val="49CB1BAA"/>
    <w:rsid w:val="4A070E34"/>
    <w:rsid w:val="4A4F4589"/>
    <w:rsid w:val="4AB60164"/>
    <w:rsid w:val="4B5C775B"/>
    <w:rsid w:val="4B8E06C7"/>
    <w:rsid w:val="4C934BC0"/>
    <w:rsid w:val="4CFB09F8"/>
    <w:rsid w:val="4D057181"/>
    <w:rsid w:val="4D423F31"/>
    <w:rsid w:val="4D447CA9"/>
    <w:rsid w:val="4D5123C6"/>
    <w:rsid w:val="4D6B792C"/>
    <w:rsid w:val="4DA16EA9"/>
    <w:rsid w:val="4DDA060D"/>
    <w:rsid w:val="4DED1912"/>
    <w:rsid w:val="4E257ADB"/>
    <w:rsid w:val="4E353A96"/>
    <w:rsid w:val="4E850579"/>
    <w:rsid w:val="4EAD187E"/>
    <w:rsid w:val="4EB175C0"/>
    <w:rsid w:val="4EB62E28"/>
    <w:rsid w:val="4F0911AA"/>
    <w:rsid w:val="4F78309C"/>
    <w:rsid w:val="4F7E394E"/>
    <w:rsid w:val="50A20D13"/>
    <w:rsid w:val="50AD3DB7"/>
    <w:rsid w:val="50AF7B2F"/>
    <w:rsid w:val="50B02F71"/>
    <w:rsid w:val="50C26CF2"/>
    <w:rsid w:val="50EC0D83"/>
    <w:rsid w:val="50FE0CB7"/>
    <w:rsid w:val="512D188F"/>
    <w:rsid w:val="51363DAD"/>
    <w:rsid w:val="513B5867"/>
    <w:rsid w:val="5144673C"/>
    <w:rsid w:val="51651AFA"/>
    <w:rsid w:val="519D207E"/>
    <w:rsid w:val="51EC090F"/>
    <w:rsid w:val="51FB00AC"/>
    <w:rsid w:val="5200004C"/>
    <w:rsid w:val="52E57838"/>
    <w:rsid w:val="540D77D9"/>
    <w:rsid w:val="542B3971"/>
    <w:rsid w:val="54335EE7"/>
    <w:rsid w:val="5463310B"/>
    <w:rsid w:val="54AF45A2"/>
    <w:rsid w:val="54C142D5"/>
    <w:rsid w:val="55254864"/>
    <w:rsid w:val="553C395C"/>
    <w:rsid w:val="55BA1450"/>
    <w:rsid w:val="56037691"/>
    <w:rsid w:val="56083D8A"/>
    <w:rsid w:val="56135E24"/>
    <w:rsid w:val="564017AC"/>
    <w:rsid w:val="567B0721"/>
    <w:rsid w:val="56F97D56"/>
    <w:rsid w:val="57081D47"/>
    <w:rsid w:val="57E97DCB"/>
    <w:rsid w:val="57EF1159"/>
    <w:rsid w:val="583059FA"/>
    <w:rsid w:val="5847689F"/>
    <w:rsid w:val="58532B2C"/>
    <w:rsid w:val="58984204"/>
    <w:rsid w:val="58C47EF0"/>
    <w:rsid w:val="59285798"/>
    <w:rsid w:val="596F60AE"/>
    <w:rsid w:val="5A2A0227"/>
    <w:rsid w:val="5A7B0A82"/>
    <w:rsid w:val="5B0311A3"/>
    <w:rsid w:val="5BB5218E"/>
    <w:rsid w:val="5BFE5E0F"/>
    <w:rsid w:val="5CAA564F"/>
    <w:rsid w:val="5D4616EB"/>
    <w:rsid w:val="5E361890"/>
    <w:rsid w:val="5EDA046D"/>
    <w:rsid w:val="5EE237C6"/>
    <w:rsid w:val="5EFF7ED4"/>
    <w:rsid w:val="5F7679C4"/>
    <w:rsid w:val="5F7F2DC3"/>
    <w:rsid w:val="5FBF1411"/>
    <w:rsid w:val="601A09BC"/>
    <w:rsid w:val="60395667"/>
    <w:rsid w:val="60AA0313"/>
    <w:rsid w:val="610D33E8"/>
    <w:rsid w:val="611D461D"/>
    <w:rsid w:val="615E35D8"/>
    <w:rsid w:val="619568CD"/>
    <w:rsid w:val="61E67129"/>
    <w:rsid w:val="621A5025"/>
    <w:rsid w:val="62CC27C3"/>
    <w:rsid w:val="635A7DCF"/>
    <w:rsid w:val="637D586B"/>
    <w:rsid w:val="63872EA4"/>
    <w:rsid w:val="63F26259"/>
    <w:rsid w:val="64061D04"/>
    <w:rsid w:val="640A365A"/>
    <w:rsid w:val="640E2967"/>
    <w:rsid w:val="641E0DFC"/>
    <w:rsid w:val="64754794"/>
    <w:rsid w:val="64FD7B2B"/>
    <w:rsid w:val="657B402C"/>
    <w:rsid w:val="65C07C91"/>
    <w:rsid w:val="66925AD1"/>
    <w:rsid w:val="66CA526B"/>
    <w:rsid w:val="67C12792"/>
    <w:rsid w:val="67DD0FCE"/>
    <w:rsid w:val="687436E1"/>
    <w:rsid w:val="687A681D"/>
    <w:rsid w:val="68D73C6F"/>
    <w:rsid w:val="690B56C7"/>
    <w:rsid w:val="69140A20"/>
    <w:rsid w:val="696A4D66"/>
    <w:rsid w:val="69867965"/>
    <w:rsid w:val="699456BD"/>
    <w:rsid w:val="6A4E3ABD"/>
    <w:rsid w:val="6A9A31A7"/>
    <w:rsid w:val="6ABF6769"/>
    <w:rsid w:val="6AD06BC8"/>
    <w:rsid w:val="6B3929BF"/>
    <w:rsid w:val="6B3D425E"/>
    <w:rsid w:val="6B431148"/>
    <w:rsid w:val="6B56531F"/>
    <w:rsid w:val="6B575C91"/>
    <w:rsid w:val="6BB8040C"/>
    <w:rsid w:val="6C5C6966"/>
    <w:rsid w:val="6C6E5E1A"/>
    <w:rsid w:val="6C8E2897"/>
    <w:rsid w:val="6CDF30F3"/>
    <w:rsid w:val="6D282CEC"/>
    <w:rsid w:val="6D921E65"/>
    <w:rsid w:val="6DF606F4"/>
    <w:rsid w:val="6E267136"/>
    <w:rsid w:val="6E2D67FA"/>
    <w:rsid w:val="6E6E0BD2"/>
    <w:rsid w:val="6E91041D"/>
    <w:rsid w:val="6ECB392F"/>
    <w:rsid w:val="6F562B93"/>
    <w:rsid w:val="6FA348AB"/>
    <w:rsid w:val="6FBB39A3"/>
    <w:rsid w:val="6FD23894"/>
    <w:rsid w:val="6FE23626"/>
    <w:rsid w:val="70383246"/>
    <w:rsid w:val="703D260A"/>
    <w:rsid w:val="7060279C"/>
    <w:rsid w:val="70626FA0"/>
    <w:rsid w:val="70756EB2"/>
    <w:rsid w:val="71E73078"/>
    <w:rsid w:val="7258197D"/>
    <w:rsid w:val="72C60FDD"/>
    <w:rsid w:val="72D82ABE"/>
    <w:rsid w:val="72EB27F1"/>
    <w:rsid w:val="730241B0"/>
    <w:rsid w:val="731A1328"/>
    <w:rsid w:val="73587D13"/>
    <w:rsid w:val="743B50B2"/>
    <w:rsid w:val="74BF5CE3"/>
    <w:rsid w:val="750977D2"/>
    <w:rsid w:val="75263FB5"/>
    <w:rsid w:val="75693EA1"/>
    <w:rsid w:val="75B25848"/>
    <w:rsid w:val="766528BB"/>
    <w:rsid w:val="768F268A"/>
    <w:rsid w:val="76C92E49"/>
    <w:rsid w:val="77617526"/>
    <w:rsid w:val="777A05E8"/>
    <w:rsid w:val="781A1483"/>
    <w:rsid w:val="781F0851"/>
    <w:rsid w:val="7820118F"/>
    <w:rsid w:val="782A7918"/>
    <w:rsid w:val="78B00E0E"/>
    <w:rsid w:val="78C94F9D"/>
    <w:rsid w:val="78FD502C"/>
    <w:rsid w:val="796450AB"/>
    <w:rsid w:val="79BF6786"/>
    <w:rsid w:val="79EB30D7"/>
    <w:rsid w:val="7A293F0A"/>
    <w:rsid w:val="7A5E24AA"/>
    <w:rsid w:val="7ACB4CB6"/>
    <w:rsid w:val="7B02692A"/>
    <w:rsid w:val="7B486307"/>
    <w:rsid w:val="7B5B603A"/>
    <w:rsid w:val="7B5C744A"/>
    <w:rsid w:val="7BA55C3B"/>
    <w:rsid w:val="7BD858DD"/>
    <w:rsid w:val="7BE9361F"/>
    <w:rsid w:val="7C6B49A3"/>
    <w:rsid w:val="7C765821"/>
    <w:rsid w:val="7C856E44"/>
    <w:rsid w:val="7CD24A22"/>
    <w:rsid w:val="7D366D5F"/>
    <w:rsid w:val="7DD722F0"/>
    <w:rsid w:val="7E32210A"/>
    <w:rsid w:val="7EB10D93"/>
    <w:rsid w:val="7EC87E8B"/>
    <w:rsid w:val="7EF70770"/>
    <w:rsid w:val="7F052E8D"/>
    <w:rsid w:val="7F270942"/>
    <w:rsid w:val="7F2D4191"/>
    <w:rsid w:val="7F413799"/>
    <w:rsid w:val="7F480FCB"/>
    <w:rsid w:val="7F5D6825"/>
    <w:rsid w:val="7F671451"/>
    <w:rsid w:val="7F674918"/>
    <w:rsid w:val="7FB83A5B"/>
    <w:rsid w:val="7FBA3C77"/>
    <w:rsid w:val="7FEC7BA9"/>
    <w:rsid w:val="7FF6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link w:val="24"/>
    <w:autoRedefine/>
    <w:unhideWhenUsed/>
    <w:qFormat/>
    <w:uiPriority w:val="9"/>
    <w:pPr>
      <w:keepNext/>
      <w:keepLines/>
      <w:widowControl/>
      <w:adjustRightInd w:val="0"/>
      <w:snapToGrid w:val="0"/>
      <w:spacing w:line="360" w:lineRule="auto"/>
      <w:jc w:val="left"/>
      <w:outlineLvl w:val="1"/>
    </w:pPr>
    <w:rPr>
      <w:rFonts w:ascii="宋体" w:hAnsi="宋体" w:eastAsia="宋体" w:cs="宋体"/>
      <w:b/>
      <w:bCs/>
      <w:kern w:val="0"/>
      <w:sz w:val="28"/>
      <w:szCs w:val="28"/>
    </w:rPr>
  </w:style>
  <w:style w:type="paragraph" w:styleId="4">
    <w:name w:val="heading 3"/>
    <w:basedOn w:val="1"/>
    <w:next w:val="1"/>
    <w:link w:val="45"/>
    <w:autoRedefine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6"/>
    <w:autoRedefine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7"/>
    <w:basedOn w:val="1"/>
    <w:next w:val="1"/>
    <w:unhideWhenUsed/>
    <w:qFormat/>
    <w:uiPriority w:val="0"/>
    <w:pPr>
      <w:keepNext/>
      <w:keepLines/>
      <w:spacing w:before="260" w:after="120" w:line="320" w:lineRule="auto"/>
      <w:outlineLvl w:val="6"/>
    </w:pPr>
    <w:rPr>
      <w:rFonts w:ascii="Times New Roman" w:hAnsi="Times New Roman" w:eastAsia="楷体" w:cstheme="minorBidi"/>
      <w:b/>
      <w:bCs/>
      <w:sz w:val="24"/>
      <w:szCs w:val="24"/>
    </w:rPr>
  </w:style>
  <w:style w:type="character" w:default="1" w:styleId="19">
    <w:name w:val="Default Paragraph Font"/>
    <w:autoRedefine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8">
    <w:name w:val="Body Text Indent"/>
    <w:basedOn w:val="1"/>
    <w:next w:val="9"/>
    <w:qFormat/>
    <w:uiPriority w:val="0"/>
    <w:pPr>
      <w:spacing w:after="120" w:afterLines="0" w:afterAutospacing="0"/>
      <w:ind w:left="420" w:leftChars="200"/>
    </w:pPr>
  </w:style>
  <w:style w:type="paragraph" w:customStyle="1" w:styleId="9">
    <w:name w:val="样式 正文文本缩进 + 行距: 1.5 倍行距"/>
    <w:basedOn w:val="1"/>
    <w:qFormat/>
    <w:uiPriority w:val="0"/>
    <w:pPr>
      <w:spacing w:after="120"/>
      <w:ind w:left="90" w:leftChars="32" w:firstLine="560"/>
    </w:pPr>
    <w:rPr>
      <w:rFonts w:cs="宋体"/>
    </w:rPr>
  </w:style>
  <w:style w:type="paragraph" w:styleId="10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link w:val="31"/>
    <w:autoRedefine/>
    <w:qFormat/>
    <w:uiPriority w:val="0"/>
    <w:pPr>
      <w:spacing w:line="400" w:lineRule="exact"/>
      <w:jc w:val="center"/>
    </w:pPr>
    <w:rPr>
      <w:rFonts w:ascii="Calibri" w:hAnsi="Calibri" w:eastAsia="楷体" w:cs="Times New Roman"/>
      <w:b/>
      <w:bCs/>
      <w:kern w:val="28"/>
      <w:szCs w:val="32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5"/>
    <w:next w:val="1"/>
    <w:link w:val="27"/>
    <w:qFormat/>
    <w:uiPriority w:val="10"/>
    <w:pPr>
      <w:adjustRightInd w:val="0"/>
      <w:snapToGrid w:val="0"/>
      <w:spacing w:before="0" w:after="0" w:line="360" w:lineRule="auto"/>
      <w:jc w:val="center"/>
    </w:pPr>
    <w:rPr>
      <w:rFonts w:ascii="黑体" w:hAnsi="黑体" w:eastAsia="黑体" w:cs="黑体"/>
      <w:sz w:val="24"/>
      <w:szCs w:val="24"/>
    </w:rPr>
  </w:style>
  <w:style w:type="paragraph" w:styleId="15">
    <w:name w:val="Body Text First Indent"/>
    <w:basedOn w:val="7"/>
    <w:autoRedefine/>
    <w:qFormat/>
    <w:uiPriority w:val="0"/>
    <w:pPr>
      <w:ind w:firstLine="420" w:firstLineChars="100"/>
    </w:pPr>
  </w:style>
  <w:style w:type="paragraph" w:styleId="16">
    <w:name w:val="Body Text First Indent 2"/>
    <w:basedOn w:val="8"/>
    <w:next w:val="1"/>
    <w:qFormat/>
    <w:uiPriority w:val="0"/>
    <w:pPr>
      <w:ind w:firstLine="420" w:firstLineChars="200"/>
    </w:pPr>
  </w:style>
  <w:style w:type="table" w:styleId="18">
    <w:name w:val="Table Grid"/>
    <w:basedOn w:val="17"/>
    <w:autoRedefine/>
    <w:qFormat/>
    <w:uiPriority w:val="59"/>
    <w:rPr>
      <w:rFonts w:ascii="Calibri" w:hAnsi="Calibri" w:eastAsia="微软雅黑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Hyperlink"/>
    <w:basedOn w:val="19"/>
    <w:qFormat/>
    <w:uiPriority w:val="0"/>
    <w:rPr>
      <w:color w:val="0000FF"/>
      <w:u w:val="single"/>
    </w:rPr>
  </w:style>
  <w:style w:type="paragraph" w:customStyle="1" w:styleId="22">
    <w:name w:val="0正文"/>
    <w:basedOn w:val="1"/>
    <w:qFormat/>
    <w:uiPriority w:val="0"/>
    <w:pPr>
      <w:ind w:firstLine="480" w:firstLineChars="200"/>
    </w:pPr>
  </w:style>
  <w:style w:type="character" w:customStyle="1" w:styleId="23">
    <w:name w:val="标题 2 字符"/>
    <w:basedOn w:val="19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4">
    <w:name w:val="标题 2 字符1"/>
    <w:link w:val="3"/>
    <w:autoRedefine/>
    <w:qFormat/>
    <w:uiPriority w:val="9"/>
    <w:rPr>
      <w:rFonts w:ascii="宋体" w:hAnsi="宋体" w:eastAsia="宋体" w:cs="宋体"/>
      <w:b/>
      <w:bCs/>
      <w:kern w:val="0"/>
      <w:sz w:val="28"/>
      <w:szCs w:val="28"/>
    </w:rPr>
  </w:style>
  <w:style w:type="character" w:customStyle="1" w:styleId="25">
    <w:name w:val="标题 3 字符"/>
    <w:basedOn w:val="19"/>
    <w:link w:val="4"/>
    <w:autoRedefine/>
    <w:semiHidden/>
    <w:qFormat/>
    <w:uiPriority w:val="9"/>
    <w:rPr>
      <w:b/>
      <w:bCs/>
      <w:sz w:val="32"/>
      <w:szCs w:val="32"/>
    </w:rPr>
  </w:style>
  <w:style w:type="character" w:customStyle="1" w:styleId="26">
    <w:name w:val="标题 4 字符"/>
    <w:basedOn w:val="19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7">
    <w:name w:val="标题 字符"/>
    <w:basedOn w:val="19"/>
    <w:link w:val="14"/>
    <w:autoRedefine/>
    <w:qFormat/>
    <w:uiPriority w:val="10"/>
    <w:rPr>
      <w:rFonts w:ascii="黑体" w:hAnsi="黑体" w:eastAsia="黑体" w:cs="黑体"/>
      <w:b/>
      <w:bCs/>
      <w:sz w:val="24"/>
      <w:szCs w:val="24"/>
    </w:rPr>
  </w:style>
  <w:style w:type="character" w:customStyle="1" w:styleId="28">
    <w:name w:val="页眉 字符"/>
    <w:basedOn w:val="19"/>
    <w:link w:val="11"/>
    <w:autoRedefine/>
    <w:qFormat/>
    <w:uiPriority w:val="99"/>
    <w:rPr>
      <w:sz w:val="18"/>
      <w:szCs w:val="18"/>
    </w:rPr>
  </w:style>
  <w:style w:type="character" w:customStyle="1" w:styleId="29">
    <w:name w:val="页脚 字符"/>
    <w:basedOn w:val="19"/>
    <w:link w:val="10"/>
    <w:autoRedefine/>
    <w:qFormat/>
    <w:uiPriority w:val="99"/>
    <w:rPr>
      <w:sz w:val="18"/>
      <w:szCs w:val="18"/>
    </w:rPr>
  </w:style>
  <w:style w:type="character" w:customStyle="1" w:styleId="30">
    <w:name w:val="标题 1 字符"/>
    <w:basedOn w:val="19"/>
    <w:link w:val="2"/>
    <w:autoRedefine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31">
    <w:name w:val="副标题 字符"/>
    <w:basedOn w:val="19"/>
    <w:link w:val="12"/>
    <w:autoRedefine/>
    <w:qFormat/>
    <w:uiPriority w:val="0"/>
    <w:rPr>
      <w:rFonts w:ascii="Calibri" w:hAnsi="Calibri" w:eastAsia="楷体" w:cs="Times New Roman"/>
      <w:b/>
      <w:bCs/>
      <w:kern w:val="28"/>
      <w:szCs w:val="32"/>
    </w:rPr>
  </w:style>
  <w:style w:type="paragraph" w:styleId="3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3">
    <w:name w:val="普通(网站)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4">
    <w:name w:val="普通(网站) Char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5">
    <w:name w:val="+正文"/>
    <w:basedOn w:val="1"/>
    <w:qFormat/>
    <w:uiPriority w:val="99"/>
    <w:pPr>
      <w:spacing w:line="360" w:lineRule="auto"/>
      <w:ind w:firstLine="200" w:firstLineChars="200"/>
    </w:pPr>
    <w:rPr>
      <w:rFonts w:ascii="Times New Roman" w:hAnsi="Times New Roman" w:cs="Times New Roman"/>
      <w:sz w:val="24"/>
      <w:szCs w:val="24"/>
    </w:rPr>
  </w:style>
  <w:style w:type="paragraph" w:customStyle="1" w:styleId="36">
    <w:name w:val="表格内容"/>
    <w:basedOn w:val="1"/>
    <w:qFormat/>
    <w:uiPriority w:val="99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kern w:val="0"/>
    </w:rPr>
  </w:style>
  <w:style w:type="paragraph" w:customStyle="1" w:styleId="37">
    <w:name w:val="表格内容-居中"/>
    <w:basedOn w:val="1"/>
    <w:qFormat/>
    <w:uiPriority w:val="99"/>
    <w:pPr>
      <w:widowControl/>
      <w:overflowPunct w:val="0"/>
      <w:autoSpaceDE w:val="0"/>
      <w:autoSpaceDN w:val="0"/>
      <w:adjustRightInd w:val="0"/>
      <w:spacing w:before="40" w:after="40" w:line="300" w:lineRule="exact"/>
      <w:jc w:val="center"/>
      <w:textAlignment w:val="baseline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38">
    <w:name w:val="font3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bscript"/>
    </w:rPr>
  </w:style>
  <w:style w:type="character" w:customStyle="1" w:styleId="39">
    <w:name w:val="font2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character" w:customStyle="1" w:styleId="40">
    <w:name w:val="font4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perscript"/>
    </w:rPr>
  </w:style>
  <w:style w:type="character" w:customStyle="1" w:styleId="41">
    <w:name w:val="font1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paragraph" w:customStyle="1" w:styleId="42">
    <w:name w:val="EndNote Bibliography"/>
    <w:basedOn w:val="1"/>
    <w:autoRedefine/>
    <w:qFormat/>
    <w:uiPriority w:val="0"/>
    <w:pPr>
      <w:ind w:firstLine="200" w:firstLineChars="200"/>
      <w:jc w:val="left"/>
    </w:pPr>
    <w:rPr>
      <w:sz w:val="20"/>
    </w:rPr>
  </w:style>
  <w:style w:type="paragraph" w:customStyle="1" w:styleId="43">
    <w:name w:val="列出段落1"/>
    <w:basedOn w:val="1"/>
    <w:qFormat/>
    <w:uiPriority w:val="34"/>
    <w:pPr>
      <w:ind w:firstLine="420" w:firstLineChars="200"/>
    </w:pPr>
  </w:style>
  <w:style w:type="paragraph" w:customStyle="1" w:styleId="44">
    <w:name w:val="正文文本1"/>
    <w:basedOn w:val="1"/>
    <w:qFormat/>
    <w:uiPriority w:val="0"/>
    <w:pPr>
      <w:shd w:val="clear" w:color="auto" w:fill="FFFFFF"/>
      <w:spacing w:line="610" w:lineRule="exact"/>
      <w:jc w:val="center"/>
    </w:pPr>
    <w:rPr>
      <w:rFonts w:ascii="宋体" w:hAnsi="宋体" w:eastAsia="宋体" w:cs="宋体"/>
      <w:sz w:val="28"/>
      <w:szCs w:val="28"/>
    </w:rPr>
  </w:style>
  <w:style w:type="character" w:customStyle="1" w:styleId="45">
    <w:name w:val="标题 3 Char"/>
    <w:link w:val="4"/>
    <w:qFormat/>
    <w:uiPriority w:val="9"/>
    <w:rPr>
      <w:rFonts w:ascii="Times New Roman" w:hAnsi="Times New Roman" w:eastAsia="宋体" w:cs="Times New Roman"/>
      <w:bCs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\Desktop\&#23614;&#21560;&#37240;&#38654;2016.11\&#27979;&#35797;&#25968;&#25454;2017.8.4\&#30827;&#37240;&#23614;&#21560;&#20986;&#21475;&#28895;&#22257;&#30417;&#27979;&#25968;&#25454;2017.8.4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800" b="1" i="0" u="none" strike="noStrike" kern="1200" baseline="0">
                <a:solidFill>
                  <a:srgbClr val="000000"/>
                </a:solidFill>
                <a:latin typeface="+mn-lt"/>
                <a:ea typeface="+mn-ea"/>
                <a:cs typeface="+mn-cs"/>
              </a:defRPr>
            </a:pPr>
            <a:r>
              <a:rPr lang="zh-CN" altLang="en-US" sz="1400"/>
              <a:t>尾吸出口硫酸雾与放空</a:t>
            </a:r>
            <a:r>
              <a:rPr lang="en-US" altLang="zh-CN" sz="1400"/>
              <a:t>SO</a:t>
            </a:r>
            <a:r>
              <a:rPr lang="en-US" altLang="zh-CN" sz="1400" baseline="-25000"/>
              <a:t>2</a:t>
            </a:r>
            <a:r>
              <a:rPr lang="zh-CN" altLang="en-US" sz="1400"/>
              <a:t>关系</a:t>
            </a:r>
            <a:endParaRPr lang="en-US" altLang="en-US" sz="1400"/>
          </a:p>
        </c:rich>
      </c:tx>
      <c:layout/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表6!$D$31</c:f>
              <c:strCache>
                <c:ptCount val="1"/>
                <c:pt idx="0">
                  <c:v>尾吸出口酸雾 (离子色谱)mg/m3</c:v>
                </c:pt>
              </c:strCache>
            </c:strRef>
          </c:tx>
          <c:spPr>
            <a:ln w="28575" cap="rnd" cmpd="sng" algn="ctr">
              <a:noFill/>
              <a:prstDash val="solid"/>
              <a:round/>
            </a:ln>
          </c:spPr>
          <c:dLbls>
            <c:delete val="1"/>
          </c:dLbls>
          <c:trendline>
            <c:trendlineType val="linear"/>
            <c:dispRSqr val="0"/>
            <c:dispEq val="0"/>
          </c:trendline>
          <c:xVal>
            <c:numRef>
              <c:f>表6!$E$32:$E$36</c:f>
              <c:numCache>
                <c:formatCode>General</c:formatCode>
                <c:ptCount val="5"/>
                <c:pt idx="0">
                  <c:v>296</c:v>
                </c:pt>
                <c:pt idx="1">
                  <c:v>17</c:v>
                </c:pt>
                <c:pt idx="2">
                  <c:v>183</c:v>
                </c:pt>
                <c:pt idx="3">
                  <c:v>36</c:v>
                </c:pt>
                <c:pt idx="4">
                  <c:v>45</c:v>
                </c:pt>
              </c:numCache>
            </c:numRef>
          </c:xVal>
          <c:yVal>
            <c:numRef>
              <c:f>表6!$D$32:$D$36</c:f>
              <c:numCache>
                <c:formatCode>0.0_);[Red]\(0.0\)</c:formatCode>
                <c:ptCount val="5"/>
                <c:pt idx="0">
                  <c:v>277.2</c:v>
                </c:pt>
                <c:pt idx="1" c:formatCode="0.0_ ">
                  <c:v>30.2</c:v>
                </c:pt>
                <c:pt idx="2" c:formatCode="0.00_ ">
                  <c:v>198.12</c:v>
                </c:pt>
                <c:pt idx="3" c:formatCode="0.00_ ">
                  <c:v>58.9</c:v>
                </c:pt>
                <c:pt idx="4" c:formatCode="0.00_ ">
                  <c:v>48.6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7618944"/>
        <c:axId val="157621248"/>
      </c:scatterChart>
      <c:valAx>
        <c:axId val="157618944"/>
        <c:scaling>
          <c:orientation val="minMax"/>
        </c:scaling>
        <c:delete val="0"/>
        <c:axPos val="b"/>
        <c:majorGridlines/>
        <c:minorGridlines/>
        <c:title>
          <c:tx>
            <c:rich>
              <a:bodyPr rot="0" spcFirstLastPara="0" vertOverflow="ellipsis" vert="horz" wrap="square" anchor="ctr" anchorCtr="1"/>
              <a:lstStyle/>
              <a:p>
                <a:pPr>
                  <a:defRPr lang="zh-CN" sz="1000" b="1" i="0" u="none" strike="noStrike" kern="1200" baseline="0">
                    <a:solidFill>
                      <a:srgbClr val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CN" altLang="en-US"/>
                  <a:t>尾吸放空</a:t>
                </a:r>
                <a:r>
                  <a:rPr lang="en-US" altLang="zh-CN"/>
                  <a:t>SO2</a:t>
                </a:r>
                <a:endParaRPr lang="en-US" altLang="zh-CN"/>
              </a:p>
              <a:p>
                <a:pPr>
                  <a:defRPr lang="zh-CN" sz="1000" b="1" i="0" u="none" strike="noStrike" kern="1200" baseline="0">
                    <a:solidFill>
                      <a:srgbClr val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/>
                  <a:t>mg/m3</a:t>
                </a:r>
                <a:endParaRPr lang="zh-CN" altLang="en-US"/>
              </a:p>
            </c:rich>
          </c:tx>
          <c:layout>
            <c:manualLayout>
              <c:xMode val="edge"/>
              <c:yMode val="edge"/>
              <c:x val="0.451991156612686"/>
              <c:y val="0.868357871623395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rgbClr val="000000"/>
                </a:solidFill>
                <a:latin typeface="+mn-lt"/>
                <a:ea typeface="+mn-ea"/>
                <a:cs typeface="+mn-cs"/>
              </a:defRPr>
            </a:pPr>
          </a:p>
        </c:txPr>
        <c:crossAx val="157621248"/>
        <c:crosses val="autoZero"/>
        <c:crossBetween val="midCat"/>
      </c:valAx>
      <c:valAx>
        <c:axId val="157621248"/>
        <c:scaling>
          <c:orientation val="minMax"/>
        </c:scaling>
        <c:delete val="0"/>
        <c:axPos val="l"/>
        <c:majorGridlines/>
        <c:minorGridlines/>
        <c:title>
          <c:tx>
            <c:rich>
              <a:bodyPr rot="-5400000" spcFirstLastPara="0" vertOverflow="ellipsis" vert="horz" wrap="square" anchor="ctr" anchorCtr="1"/>
              <a:lstStyle/>
              <a:p>
                <a:pPr>
                  <a:defRPr lang="zh-CN" sz="1000" b="1" i="0" u="none" strike="noStrike" kern="1200" baseline="0">
                    <a:solidFill>
                      <a:srgbClr val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CN" altLang="en-US"/>
                  <a:t>尾吸出口硫酸雾 </a:t>
                </a:r>
                <a:r>
                  <a:rPr lang="en-US" altLang="zh-CN"/>
                  <a:t>mg/m3</a:t>
                </a:r>
                <a:endParaRPr lang="zh-CN" altLang="en-US"/>
              </a:p>
            </c:rich>
          </c:tx>
          <c:layout/>
          <c:overlay val="0"/>
        </c:title>
        <c:numFmt formatCode="0.0_);[Red]\(0.0\)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rgbClr val="000000"/>
                </a:solidFill>
                <a:latin typeface="+mn-lt"/>
                <a:ea typeface="+mn-ea"/>
                <a:cs typeface="+mn-cs"/>
              </a:defRPr>
            </a:pPr>
          </a:p>
        </c:txPr>
        <c:crossAx val="157618944"/>
        <c:crosses val="autoZero"/>
        <c:crossBetween val="midCat"/>
      </c:valAx>
    </c:plotArea>
    <c:plotVisOnly val="1"/>
    <c:dispBlanksAs val="gap"/>
    <c:showDLblsOverMax val="0"/>
    <c:extLst>
      <c:ext uri="{0b15fc19-7d7d-44ad-8c2d-2c3a37ce22c3}">
        <chartProps xmlns="https://web.wps.cn/et/2018/main" chartId="{f34d6294-8e5e-4112-b8f7-2018e8f69e84}"/>
      </c:ext>
    </c:extLst>
  </c:chart>
  <c:txPr>
    <a:bodyPr/>
    <a:lstStyle/>
    <a:p>
      <a:pPr>
        <a:defRPr lang="zh-CN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339</Words>
  <Characters>352</Characters>
  <Lines>35</Lines>
  <Paragraphs>9</Paragraphs>
  <TotalTime>1</TotalTime>
  <ScaleCrop>false</ScaleCrop>
  <LinksUpToDate>false</LinksUpToDate>
  <CharactersWithSpaces>358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2022-09-27T07:43:00Z</dcterms:created>
  <dc:creator>Liao KangCheng</dc:creator>
  <cp:lastModifiedBy>白海丹</cp:lastModifiedBy>
  <dcterms:modified xsi:type="dcterms:W3CDTF">2026-05-27T07:46:11Z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012170A0420347A89154D3512890171D_12</vt:lpwstr>
  </property>
  <property fmtid="{D5CDD505-2E9C-101B-9397-08002B2CF9AE}" pid="4" name="KSOTemplateDocerSaveRecord">
    <vt:lpwstr>eyJoZGlkIjoiMDc5ZmMwZTNkY2FjMjU1Y2Y4ZTlkNzhjNmI4MDEyNjciLCJ1c2VySWQiOiI0NDQ3MDkxMjgifQ==</vt:lpwstr>
  </property>
</Properties>
</file>