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4C3FDF1C">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有色冶炼含砷烟气分级处理新工艺</w:t>
      </w:r>
    </w:p>
    <w:p w14:paraId="310F9783">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苏江峰</w:t>
      </w:r>
    </w:p>
    <w:p w14:paraId="0FC7C512">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国投金城冶金有限责任公司</w:t>
      </w:r>
    </w:p>
    <w:p w14:paraId="462C8D5A">
      <w:pPr>
        <w:spacing w:line="360" w:lineRule="auto"/>
        <w:rPr>
          <w:rFonts w:hint="eastAsia"/>
          <w:b/>
          <w:bCs/>
        </w:rPr>
      </w:pPr>
    </w:p>
    <w:p w14:paraId="62FF225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有色冶炼行业处理含砷精矿时会产生高温含砷烟气。本文对含砷烟气治理方法进行概述，针对某公司实际生产情况，提出分级处理高温含砷烟气新工艺，解决了一步骤冷方法存在的粗砷中三氧化二砷产品品位低、电除尘器收尘效率及使用寿命降低等问题。分级处理工艺产出三氧化二砷的品位达95%以上，远高于一步骤冷方法产出三氧化二砷70%-80%的品位，且有利于烟尘中金、银、铜等有价金属的回收。投矿品位相同时，分级处理工艺可大幅降低收砷系统粗砷产量及相应的处置费用，更利于粗砷的资源化利用，可为企业带来明显的经济效益。</w:t>
      </w:r>
    </w:p>
    <w:p w14:paraId="07C75F6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含砷烟气处理 粗砷 三氧化二砷 骤冷收砷</w:t>
      </w:r>
    </w:p>
    <w:p w14:paraId="0744A82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p>
    <w:p w14:paraId="2F154CBE">
      <w:pPr>
        <w:pageBreakBefore w:val="0"/>
        <w:kinsoku/>
        <w:wordWrap/>
        <w:overflowPunct/>
        <w:topLinePunct w:val="0"/>
        <w:autoSpaceDE/>
        <w:autoSpaceDN/>
        <w:bidi w:val="0"/>
        <w:spacing w:line="400" w:lineRule="exact"/>
        <w:ind w:firstLine="420" w:firstLineChars="200"/>
        <w:rPr>
          <w:rFonts w:hint="eastAsia" w:ascii="宋体" w:hAnsi="宋体" w:eastAsia="宋体" w:cs="宋体"/>
          <w:bCs/>
          <w:sz w:val="21"/>
          <w:szCs w:val="21"/>
        </w:rPr>
      </w:pPr>
      <w:r>
        <w:rPr>
          <w:rFonts w:hint="eastAsia" w:ascii="宋体" w:hAnsi="宋体" w:eastAsia="宋体" w:cs="宋体"/>
          <w:sz w:val="21"/>
          <w:szCs w:val="21"/>
        </w:rPr>
        <w:t>砷是地壳中广泛存在的元素，但几乎对所有的矿产资源来说，砷都是一种有害的元素。通常把砷含量在0.1％以上的金矿石称为含砷金矿石，这是一类典型的难处理金矿，也是我国金矿资源的重要组成部分。砷的有害性主要表现在砷硫化物对金的包裹，这会阻碍金和氰化物的反应，导致浸出效率降低，经济效益变差。随着黄金冶炼和铜冶炼的快速发展，原料市场竞争加剧，复杂、难处理的原料越来越多，尤其以含砷的金精矿和铜精矿居多。经济、环保处理含砷的金精矿和铜精矿是行业发展的方向。目前行业处理含砷精矿的方法主要有氧化焙烧-氰化提金工艺、加压氧化-氰化提金工艺、细菌氧化-氰化提金工艺、富氧底吹造锍捕金工艺，其中火法工艺都不可避免会产生高温含砷烟气</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只</w:t>
      </w:r>
      <w:r>
        <w:rPr>
          <w:rFonts w:hint="eastAsia" w:ascii="宋体" w:hAnsi="宋体" w:eastAsia="宋体" w:cs="宋体"/>
          <w:sz w:val="21"/>
          <w:szCs w:val="21"/>
        </w:rPr>
        <w:t>有部分工程对烟气中的砷进行了回收，常规工艺是降温、除尘后的烟气进入骤冷塔，喷淋碱</w:t>
      </w:r>
      <w:r>
        <w:rPr>
          <w:rFonts w:hint="eastAsia" w:ascii="宋体" w:hAnsi="宋体" w:eastAsia="宋体" w:cs="宋体"/>
          <w:sz w:val="21"/>
          <w:szCs w:val="21"/>
          <w:lang w:val="en-US" w:eastAsia="zh-CN"/>
        </w:rPr>
        <w:t>液体</w:t>
      </w:r>
      <w:r>
        <w:rPr>
          <w:rFonts w:hint="eastAsia" w:ascii="宋体" w:hAnsi="宋体" w:eastAsia="宋体" w:cs="宋体"/>
          <w:sz w:val="21"/>
          <w:szCs w:val="21"/>
        </w:rPr>
        <w:t>对烟气进一步降温、除杂，将烟气温度降低至1</w:t>
      </w:r>
      <w:r>
        <w:rPr>
          <w:rFonts w:hint="eastAsia" w:ascii="宋体" w:hAnsi="宋体" w:eastAsia="宋体" w:cs="宋体"/>
          <w:sz w:val="21"/>
          <w:szCs w:val="21"/>
          <w:lang w:val="en-US" w:eastAsia="zh-CN"/>
        </w:rPr>
        <w:t>5</w:t>
      </w:r>
      <w:r>
        <w:rPr>
          <w:rFonts w:hint="eastAsia" w:ascii="宋体" w:hAnsi="宋体" w:eastAsia="宋体" w:cs="宋体"/>
          <w:sz w:val="21"/>
          <w:szCs w:val="21"/>
        </w:rPr>
        <w:t>0℃以下，烟气中的气态三氧化二砷凝华析出，再经布袋除尘器过滤收集，获得粗砷。</w:t>
      </w:r>
    </w:p>
    <w:p w14:paraId="597FC23E">
      <w:pPr>
        <w:pageBreakBefore w:val="0"/>
        <w:widowControl/>
        <w:shd w:val="clear" w:color="auto" w:fill="FFFFFF"/>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某铜冶炼公司采用富氧底吹造锍捕金自热熔炼技术，熔炼炉所产生的高温含砷烟气经熔炼余热锅炉、静电除尘器、干法收砷装置处理后，烟气送入制酸系统生产成品98%或93%硫酸，制酸尾气经双氧水法脱硫处理达标后排放。含砷烟气最初采用一步骤冷工艺，即对收尘后的烟气使用碱性溶液进行骤冷，三氧化二砷析出后经布袋除尘器过滤收集产出粗砷。一步骤冷工艺存在较多缺点：一是铜冶炼烟气中含有二氧化硫及三氧化硫，烟气骤冷降温至1</w:t>
      </w:r>
      <w:r>
        <w:rPr>
          <w:rFonts w:hint="eastAsia" w:ascii="宋体" w:hAnsi="宋体" w:eastAsia="宋体" w:cs="宋体"/>
          <w:sz w:val="21"/>
          <w:szCs w:val="21"/>
          <w:lang w:val="en-US" w:eastAsia="zh-CN"/>
        </w:rPr>
        <w:t>5</w:t>
      </w:r>
      <w:r>
        <w:rPr>
          <w:rFonts w:hint="eastAsia" w:ascii="宋体" w:hAnsi="宋体" w:eastAsia="宋体" w:cs="宋体"/>
          <w:sz w:val="21"/>
          <w:szCs w:val="21"/>
        </w:rPr>
        <w:t>0℃以下时，须及时补入碱性物质吸收烟气中的三氧化硫，否则会导致大量酸性气体结露析出，</w:t>
      </w:r>
      <w:r>
        <w:rPr>
          <w:rFonts w:hint="eastAsia" w:ascii="宋体" w:hAnsi="宋体" w:eastAsia="宋体" w:cs="宋体"/>
          <w:sz w:val="21"/>
          <w:szCs w:val="21"/>
          <w:lang w:val="en-US" w:eastAsia="zh-CN"/>
        </w:rPr>
        <w:t>造成</w:t>
      </w:r>
      <w:r>
        <w:rPr>
          <w:rFonts w:hint="eastAsia" w:ascii="宋体" w:hAnsi="宋体" w:eastAsia="宋体" w:cs="宋体"/>
          <w:sz w:val="21"/>
          <w:szCs w:val="21"/>
        </w:rPr>
        <w:t>烟尘发湿发潮板结，堵塞设备，影响收砷系统正常运行，但若补入碱性物质，虽可与三氧化硫等酸性气体进行反应，降低烟气露点，有效解决板结问题，但会产生</w:t>
      </w:r>
      <w:r>
        <w:rPr>
          <w:rFonts w:hint="eastAsia" w:ascii="宋体" w:hAnsi="宋体" w:eastAsia="宋体" w:cs="宋体"/>
          <w:sz w:val="21"/>
          <w:szCs w:val="21"/>
          <w:lang w:val="en-US" w:eastAsia="zh-CN"/>
        </w:rPr>
        <w:t>部分</w:t>
      </w:r>
      <w:r>
        <w:rPr>
          <w:rFonts w:hint="eastAsia" w:ascii="宋体" w:hAnsi="宋体" w:eastAsia="宋体" w:cs="宋体"/>
          <w:sz w:val="21"/>
          <w:szCs w:val="21"/>
        </w:rPr>
        <w:t>杂质，引入收砷系统后导致产出的粗砷品位较低，其中的三氧化二砷纯度通常在70%-80%左右，若补入碱性物质的浓度过高时，纯度会进一步下降；二是由于砷的熔点较低，熔炼余热锅炉内易结焦，长时间运行后锅炉的</w:t>
      </w:r>
      <w:r>
        <w:rPr>
          <w:rFonts w:hint="eastAsia" w:ascii="宋体" w:hAnsi="宋体" w:eastAsia="宋体" w:cs="宋体"/>
          <w:sz w:val="21"/>
          <w:szCs w:val="21"/>
          <w:lang w:val="en-US" w:eastAsia="zh-CN"/>
        </w:rPr>
        <w:t>换热</w:t>
      </w:r>
      <w:r>
        <w:rPr>
          <w:rFonts w:hint="eastAsia" w:ascii="宋体" w:hAnsi="宋体" w:eastAsia="宋体" w:cs="宋体"/>
          <w:sz w:val="21"/>
          <w:szCs w:val="21"/>
        </w:rPr>
        <w:t>效果变差，出口烟气温度逐渐升高，制约系统产能，同时易对后续电除尘器等设备造成损坏；三是物料中含有的氟氯组分会在熔炼时生成大量氟化物和氯化物气体进入烟气，导致粗砷含氟、氯较高，后续粗砷提纯系统钢带炉腐蚀严重，影响设备正常运行，另外，氟化物和氯化物进入制酸系统，会对设备及烟道造成腐蚀，在烟气净化工序会消耗一定量的</w:t>
      </w:r>
      <w:r>
        <w:rPr>
          <w:rFonts w:hint="eastAsia" w:ascii="宋体" w:hAnsi="宋体" w:eastAsia="宋体" w:cs="宋体"/>
          <w:sz w:val="21"/>
          <w:szCs w:val="21"/>
          <w:lang w:val="en-US" w:eastAsia="zh-CN"/>
        </w:rPr>
        <w:t>水玻璃</w:t>
      </w:r>
      <w:r>
        <w:rPr>
          <w:rFonts w:hint="eastAsia" w:ascii="宋体" w:hAnsi="宋体" w:eastAsia="宋体" w:cs="宋体"/>
          <w:sz w:val="21"/>
          <w:szCs w:val="21"/>
        </w:rPr>
        <w:t>，同时增大了冶炼废酸产生量，氟、氯最终进入液相，脱除成本较高。</w:t>
      </w:r>
    </w:p>
    <w:p w14:paraId="6608C1DB">
      <w:pPr>
        <w:pageBreakBefore w:val="0"/>
        <w:widowControl/>
        <w:shd w:val="clear" w:color="auto" w:fill="FFFFFF"/>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鉴于以上情况，该公司结合生产实际，对烟气收砷工艺进行优化，与国内</w:t>
      </w:r>
      <w:r>
        <w:rPr>
          <w:rFonts w:hint="eastAsia" w:ascii="宋体" w:hAnsi="宋体" w:eastAsia="宋体" w:cs="宋体"/>
          <w:sz w:val="21"/>
          <w:szCs w:val="21"/>
          <w:lang w:val="en-US" w:eastAsia="zh-CN"/>
        </w:rPr>
        <w:t>知名</w:t>
      </w:r>
      <w:r>
        <w:rPr>
          <w:rFonts w:hint="eastAsia" w:ascii="宋体" w:hAnsi="宋体" w:eastAsia="宋体" w:cs="宋体"/>
          <w:sz w:val="21"/>
          <w:szCs w:val="21"/>
        </w:rPr>
        <w:t>设计院合作开发出一种分级骤冷制取高纯度三氧化二砷的新工艺，本文就此新工艺相较于一步骤冷工艺进行对比分析，总结其优缺点。</w:t>
      </w:r>
    </w:p>
    <w:p w14:paraId="10C2671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1分级处理工艺开发</w:t>
      </w:r>
    </w:p>
    <w:p w14:paraId="658E04C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1.1工艺流程</w:t>
      </w:r>
    </w:p>
    <w:p w14:paraId="2069FD38">
      <w:pPr>
        <w:pageBreakBefore w:val="0"/>
        <w:kinsoku/>
        <w:wordWrap/>
        <w:overflowPunct/>
        <w:topLinePunct w:val="0"/>
        <w:autoSpaceDE/>
        <w:autoSpaceDN/>
        <w:bidi w:val="0"/>
        <w:spacing w:line="400" w:lineRule="exact"/>
        <w:ind w:firstLine="420" w:firstLineChars="200"/>
        <w:rPr>
          <w:rFonts w:hint="eastAsia" w:ascii="宋体" w:hAnsi="宋体" w:eastAsia="宋体" w:cs="宋体"/>
          <w:b/>
          <w:bCs/>
          <w:sz w:val="21"/>
          <w:szCs w:val="21"/>
        </w:rPr>
      </w:pPr>
      <w:r>
        <w:rPr>
          <w:rFonts w:hint="eastAsia" w:ascii="宋体" w:hAnsi="宋体" w:eastAsia="宋体" w:cs="宋体"/>
          <w:bCs/>
          <w:sz w:val="21"/>
          <w:szCs w:val="21"/>
        </w:rPr>
        <w:t>含砷烟气处理新工艺的开发，主要是针对现有工艺存在的问题对原工艺进行改造和优化：一是如何提高收砷系统产出的粗砷品位；二是如何高效吸收烟气中的三氧化硫、氟化氢、氯化氢等酸性气体，减少腐蚀，提高设备使用寿命；三是如何解决</w:t>
      </w:r>
      <w:r>
        <w:rPr>
          <w:rFonts w:hint="eastAsia" w:ascii="宋体" w:hAnsi="宋体" w:eastAsia="宋体" w:cs="宋体"/>
          <w:bCs/>
          <w:sz w:val="21"/>
          <w:szCs w:val="21"/>
          <w:lang w:val="en-US" w:eastAsia="zh-CN"/>
        </w:rPr>
        <w:t>粗砷中金银含量高的问题</w:t>
      </w:r>
      <w:r>
        <w:rPr>
          <w:rFonts w:hint="eastAsia" w:ascii="宋体" w:hAnsi="宋体" w:eastAsia="宋体" w:cs="宋体"/>
          <w:bCs/>
          <w:sz w:val="21"/>
          <w:szCs w:val="21"/>
          <w:lang w:eastAsia="zh-CN"/>
        </w:rPr>
        <w:t>；</w:t>
      </w:r>
      <w:r>
        <w:rPr>
          <w:rFonts w:hint="eastAsia" w:ascii="宋体" w:hAnsi="宋体" w:eastAsia="宋体" w:cs="宋体"/>
          <w:bCs/>
          <w:sz w:val="21"/>
          <w:szCs w:val="21"/>
          <w:lang w:val="en-US" w:eastAsia="zh-CN"/>
        </w:rPr>
        <w:t>四</w:t>
      </w:r>
      <w:r>
        <w:rPr>
          <w:rFonts w:hint="eastAsia" w:ascii="宋体" w:hAnsi="宋体" w:eastAsia="宋体" w:cs="宋体"/>
          <w:bCs/>
          <w:sz w:val="21"/>
          <w:szCs w:val="21"/>
        </w:rPr>
        <w:t>是如何解余热锅炉结焦、电收尘器运行不稳定的问题。</w:t>
      </w:r>
    </w:p>
    <w:p w14:paraId="7F7A57EE">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经过理论分析和实践摸索，该公司含砷烟气处理优化为分级处理新工艺：烟气采用分级吸收降温，在电除尘器进口设置一级骤冷塔，将烟气内的三氧化硫、氟化氢、氯化氢等杂质喷淋吸收，同时保证电除尘器的进口温度和收尘效率；在电除尘器出口设置二级骤冷塔，此时烟气中的三氧化硫等杂质含量已经很低，可通过喷淋液态水对烟气进行急冷降温，有效提高二级骤冷塔后收砷系统粗砷中三氧化二砷品位。改造后的工艺流程简述如下：</w:t>
      </w:r>
    </w:p>
    <w:p w14:paraId="2910F9AC">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熔炼</w:t>
      </w:r>
      <w:r>
        <w:rPr>
          <w:rFonts w:hint="eastAsia" w:ascii="宋体" w:hAnsi="宋体" w:eastAsia="宋体" w:cs="宋体"/>
          <w:sz w:val="21"/>
          <w:szCs w:val="21"/>
          <w:lang w:val="en-US" w:eastAsia="zh-CN"/>
        </w:rPr>
        <w:t>炉</w:t>
      </w:r>
      <w:r>
        <w:rPr>
          <w:rFonts w:hint="eastAsia" w:ascii="宋体" w:hAnsi="宋体" w:eastAsia="宋体" w:cs="宋体"/>
          <w:sz w:val="21"/>
          <w:szCs w:val="21"/>
        </w:rPr>
        <w:t>产生的高温含砷烟气经熔炼余热锅炉降温至约380℃后，送入一级骤冷塔，喷淋泵站将配制好的药剂打入一级骤冷塔喷枪，对烟气进行除杂降温，调节泵站流量大小以控制一级骤冷塔出口温度在300℃左右。</w:t>
      </w:r>
      <w:r>
        <w:rPr>
          <w:rFonts w:hint="eastAsia" w:ascii="宋体" w:hAnsi="宋体" w:eastAsia="宋体" w:cs="宋体"/>
          <w:sz w:val="21"/>
          <w:szCs w:val="21"/>
          <w:lang w:val="en-US" w:eastAsia="zh-CN"/>
        </w:rPr>
        <w:t>经</w:t>
      </w:r>
      <w:r>
        <w:rPr>
          <w:rFonts w:hint="eastAsia" w:ascii="宋体" w:hAnsi="宋体" w:eastAsia="宋体" w:cs="宋体"/>
          <w:sz w:val="21"/>
          <w:szCs w:val="21"/>
        </w:rPr>
        <w:t>除尘后烟气温度约270℃，进入二级骤冷塔，通过泵站喷入液态水，调整喷淋流量使二级骤冷塔出口温度降低至</w:t>
      </w:r>
      <w:r>
        <w:rPr>
          <w:rFonts w:hint="eastAsia" w:ascii="宋体" w:hAnsi="宋体" w:eastAsia="宋体" w:cs="宋体"/>
          <w:bCs/>
          <w:sz w:val="21"/>
          <w:szCs w:val="21"/>
        </w:rPr>
        <w:t>1</w:t>
      </w:r>
      <w:r>
        <w:rPr>
          <w:rFonts w:hint="eastAsia" w:ascii="宋体" w:hAnsi="宋体" w:eastAsia="宋体" w:cs="宋体"/>
          <w:bCs/>
          <w:sz w:val="21"/>
          <w:szCs w:val="21"/>
          <w:lang w:val="en-US" w:eastAsia="zh-CN"/>
        </w:rPr>
        <w:t>5</w:t>
      </w:r>
      <w:r>
        <w:rPr>
          <w:rFonts w:hint="eastAsia" w:ascii="宋体" w:hAnsi="宋体" w:eastAsia="宋体" w:cs="宋体"/>
          <w:sz w:val="21"/>
          <w:szCs w:val="21"/>
        </w:rPr>
        <w:t>0℃，烟气中的三氧化二砷由气态转化为固态析出，部分固态三氧化二砷在重力作用下落入二级骤冷塔底部灰斗，其余三氧化二砷随烟气进入布袋收尘器内被收集，两部分粗砷输送至包装区域进行包装</w:t>
      </w:r>
      <w:r>
        <w:rPr>
          <w:rFonts w:hint="eastAsia" w:ascii="宋体" w:hAnsi="宋体" w:eastAsia="宋体" w:cs="宋体"/>
          <w:sz w:val="21"/>
          <w:szCs w:val="21"/>
          <w:vertAlign w:val="superscript"/>
          <w:lang w:eastAsia="zh-CN"/>
        </w:rPr>
        <w:t>【</w:t>
      </w:r>
      <w:r>
        <w:rPr>
          <w:rFonts w:hint="eastAsia" w:ascii="宋体" w:hAnsi="宋体" w:eastAsia="宋体" w:cs="宋体"/>
          <w:sz w:val="21"/>
          <w:szCs w:val="21"/>
          <w:vertAlign w:val="superscript"/>
          <w:lang w:val="en-US" w:eastAsia="zh-CN"/>
        </w:rPr>
        <w:t>1</w:t>
      </w:r>
      <w:r>
        <w:rPr>
          <w:rFonts w:hint="eastAsia" w:ascii="宋体" w:hAnsi="宋体" w:eastAsia="宋体" w:cs="宋体"/>
          <w:sz w:val="21"/>
          <w:szCs w:val="21"/>
          <w:vertAlign w:val="superscript"/>
          <w:lang w:eastAsia="zh-CN"/>
        </w:rPr>
        <w:t>】</w:t>
      </w:r>
      <w:r>
        <w:rPr>
          <w:rFonts w:hint="eastAsia" w:ascii="宋体" w:hAnsi="宋体" w:eastAsia="宋体" w:cs="宋体"/>
          <w:sz w:val="21"/>
          <w:szCs w:val="21"/>
        </w:rPr>
        <w:t>。改造前后具体的工艺流程如图</w:t>
      </w:r>
      <w:r>
        <w:rPr>
          <w:rFonts w:hint="eastAsia" w:ascii="宋体" w:hAnsi="宋体" w:eastAsia="宋体" w:cs="宋体"/>
          <w:sz w:val="21"/>
          <w:szCs w:val="21"/>
          <w:lang w:val="en-US" w:eastAsia="zh-CN"/>
        </w:rPr>
        <w:t>1</w:t>
      </w:r>
      <w:r>
        <w:rPr>
          <w:rFonts w:hint="eastAsia" w:ascii="宋体" w:hAnsi="宋体" w:eastAsia="宋体" w:cs="宋体"/>
          <w:sz w:val="21"/>
          <w:szCs w:val="21"/>
        </w:rPr>
        <w:t>、图</w:t>
      </w:r>
      <w:r>
        <w:rPr>
          <w:rFonts w:hint="eastAsia" w:ascii="宋体" w:hAnsi="宋体" w:eastAsia="宋体" w:cs="宋体"/>
          <w:sz w:val="21"/>
          <w:szCs w:val="21"/>
          <w:lang w:val="en-US" w:eastAsia="zh-CN"/>
        </w:rPr>
        <w:t>2</w:t>
      </w:r>
      <w:r>
        <w:rPr>
          <w:rFonts w:hint="eastAsia" w:ascii="宋体" w:hAnsi="宋体" w:eastAsia="宋体" w:cs="宋体"/>
          <w:sz w:val="21"/>
          <w:szCs w:val="21"/>
        </w:rPr>
        <w:t>所示。</w:t>
      </w:r>
    </w:p>
    <w:p w14:paraId="314A5D0D">
      <w:pPr>
        <w:pageBreakBefore w:val="0"/>
        <w:kinsoku/>
        <w:wordWrap/>
        <w:overflowPunct/>
        <w:topLinePunct w:val="0"/>
        <w:autoSpaceDE/>
        <w:autoSpaceDN/>
        <w:bidi w:val="0"/>
        <w:spacing w:line="240" w:lineRule="auto"/>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5266690" cy="1958975"/>
            <wp:effectExtent l="0" t="0" r="10160" b="3175"/>
            <wp:docPr id="3" name="图片 3" descr="1648449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48449440(1)"/>
                    <pic:cNvPicPr>
                      <a:picLocks noChangeAspect="1"/>
                    </pic:cNvPicPr>
                  </pic:nvPicPr>
                  <pic:blipFill>
                    <a:blip r:embed="rId4"/>
                    <a:stretch>
                      <a:fillRect/>
                    </a:stretch>
                  </pic:blipFill>
                  <pic:spPr>
                    <a:xfrm>
                      <a:off x="0" y="0"/>
                      <a:ext cx="5266690" cy="1958975"/>
                    </a:xfrm>
                    <a:prstGeom prst="rect">
                      <a:avLst/>
                    </a:prstGeom>
                  </pic:spPr>
                </pic:pic>
              </a:graphicData>
            </a:graphic>
          </wp:inline>
        </w:drawing>
      </w:r>
    </w:p>
    <w:p w14:paraId="20973C9E">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图1：改造前烟气收砷工艺流程</w:t>
      </w:r>
    </w:p>
    <w:p w14:paraId="69C30E56">
      <w:pPr>
        <w:pageBreakBefore w:val="0"/>
        <w:kinsoku/>
        <w:wordWrap/>
        <w:overflowPunct/>
        <w:topLinePunct w:val="0"/>
        <w:autoSpaceDE/>
        <w:autoSpaceDN/>
        <w:bidi w:val="0"/>
        <w:spacing w:line="400" w:lineRule="exact"/>
        <w:rPr>
          <w:rFonts w:hint="eastAsia" w:ascii="宋体" w:hAnsi="宋体" w:eastAsia="宋体" w:cs="宋体"/>
          <w:sz w:val="21"/>
          <w:szCs w:val="21"/>
        </w:rPr>
      </w:pPr>
    </w:p>
    <w:p w14:paraId="3CF80685">
      <w:pPr>
        <w:pageBreakBefore w:val="0"/>
        <w:kinsoku/>
        <w:wordWrap/>
        <w:overflowPunct/>
        <w:topLinePunct w:val="0"/>
        <w:autoSpaceDE/>
        <w:autoSpaceDN/>
        <w:bidi w:val="0"/>
        <w:spacing w:line="240" w:lineRule="auto"/>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5273675" cy="1733550"/>
            <wp:effectExtent l="0" t="0" r="3175" b="0"/>
            <wp:docPr id="1" name="图片 1" descr="167033162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70331621859"/>
                    <pic:cNvPicPr>
                      <a:picLocks noChangeAspect="1"/>
                    </pic:cNvPicPr>
                  </pic:nvPicPr>
                  <pic:blipFill>
                    <a:blip r:embed="rId5"/>
                    <a:stretch>
                      <a:fillRect/>
                    </a:stretch>
                  </pic:blipFill>
                  <pic:spPr>
                    <a:xfrm>
                      <a:off x="0" y="0"/>
                      <a:ext cx="5273675" cy="1733550"/>
                    </a:xfrm>
                    <a:prstGeom prst="rect">
                      <a:avLst/>
                    </a:prstGeom>
                  </pic:spPr>
                </pic:pic>
              </a:graphicData>
            </a:graphic>
          </wp:inline>
        </w:drawing>
      </w:r>
    </w:p>
    <w:p w14:paraId="66E5E2D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图2：改造后烟气收砷工艺流程</w:t>
      </w:r>
    </w:p>
    <w:p w14:paraId="047408C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1.2除杂工艺原理</w:t>
      </w:r>
    </w:p>
    <w:p w14:paraId="6DABB65C">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一级骤冷塔可使用的药剂有A、B两种，其各自的除杂反应如下：</w:t>
      </w:r>
    </w:p>
    <w:p w14:paraId="1785C3C9">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（1）A药剂</w:t>
      </w:r>
    </w:p>
    <w:p w14:paraId="70A33762">
      <w:pPr>
        <w:pageBreakBefore w:val="0"/>
        <w:kinsoku/>
        <w:wordWrap/>
        <w:overflowPunct/>
        <w:topLinePunct w:val="0"/>
        <w:autoSpaceDE/>
        <w:autoSpaceDN/>
        <w:bidi w:val="0"/>
        <w:spacing w:line="400" w:lineRule="exact"/>
        <w:ind w:firstLine="840" w:firstLineChars="400"/>
        <w:rPr>
          <w:rFonts w:hint="eastAsia" w:ascii="宋体" w:hAnsi="宋体" w:eastAsia="宋体" w:cs="宋体"/>
          <w:sz w:val="21"/>
          <w:szCs w:val="21"/>
        </w:rPr>
      </w:pPr>
      <w:r>
        <w:rPr>
          <w:rFonts w:hint="eastAsia" w:ascii="宋体" w:hAnsi="宋体" w:eastAsia="宋体" w:cs="宋体"/>
          <w:sz w:val="21"/>
          <w:szCs w:val="21"/>
        </w:rPr>
        <w:t>SO</w:t>
      </w:r>
      <w:r>
        <w:rPr>
          <w:rFonts w:hint="eastAsia" w:ascii="宋体" w:hAnsi="宋体" w:eastAsia="宋体" w:cs="宋体"/>
          <w:sz w:val="21"/>
          <w:szCs w:val="21"/>
          <w:vertAlign w:val="subscript"/>
        </w:rPr>
        <w:t>3</w:t>
      </w:r>
      <w:r>
        <w:rPr>
          <w:rFonts w:hint="eastAsia" w:ascii="宋体" w:hAnsi="宋体" w:eastAsia="宋体" w:cs="宋体"/>
          <w:sz w:val="21"/>
          <w:szCs w:val="21"/>
        </w:rPr>
        <w:t>+Ca(OH)</w:t>
      </w:r>
      <w:r>
        <w:rPr>
          <w:rFonts w:hint="eastAsia" w:ascii="宋体" w:hAnsi="宋体" w:eastAsia="宋体" w:cs="宋体"/>
          <w:sz w:val="21"/>
          <w:szCs w:val="21"/>
          <w:vertAlign w:val="subscript"/>
        </w:rPr>
        <w:t>2</w:t>
      </w:r>
      <w:r>
        <w:rPr>
          <w:rFonts w:hint="eastAsia" w:ascii="宋体" w:hAnsi="宋体" w:eastAsia="宋体" w:cs="宋体"/>
          <w:sz w:val="21"/>
          <w:szCs w:val="21"/>
        </w:rPr>
        <w:t xml:space="preserve"> → CaSO</w:t>
      </w:r>
      <w:r>
        <w:rPr>
          <w:rFonts w:hint="eastAsia" w:ascii="宋体" w:hAnsi="宋体" w:eastAsia="宋体" w:cs="宋体"/>
          <w:sz w:val="21"/>
          <w:szCs w:val="21"/>
          <w:vertAlign w:val="subscript"/>
        </w:rPr>
        <w:t>4</w:t>
      </w:r>
      <w:r>
        <w:rPr>
          <w:rFonts w:hint="eastAsia" w:ascii="宋体" w:hAnsi="宋体" w:eastAsia="宋体" w:cs="宋体"/>
          <w:sz w:val="21"/>
          <w:szCs w:val="21"/>
        </w:rPr>
        <w:t>+H</w:t>
      </w:r>
      <w:r>
        <w:rPr>
          <w:rFonts w:hint="eastAsia" w:ascii="宋体" w:hAnsi="宋体" w:eastAsia="宋体" w:cs="宋体"/>
          <w:sz w:val="21"/>
          <w:szCs w:val="21"/>
          <w:vertAlign w:val="subscript"/>
        </w:rPr>
        <w:t>2</w:t>
      </w:r>
      <w:r>
        <w:rPr>
          <w:rFonts w:hint="eastAsia" w:ascii="宋体" w:hAnsi="宋体" w:eastAsia="宋体" w:cs="宋体"/>
          <w:sz w:val="21"/>
          <w:szCs w:val="21"/>
        </w:rPr>
        <w:t>O</w:t>
      </w:r>
    </w:p>
    <w:p w14:paraId="7B265422">
      <w:pPr>
        <w:pageBreakBefore w:val="0"/>
        <w:kinsoku/>
        <w:wordWrap/>
        <w:overflowPunct/>
        <w:topLinePunct w:val="0"/>
        <w:autoSpaceDE/>
        <w:autoSpaceDN/>
        <w:bidi w:val="0"/>
        <w:spacing w:line="400" w:lineRule="exact"/>
        <w:ind w:firstLine="840" w:firstLineChars="400"/>
        <w:rPr>
          <w:rFonts w:hint="eastAsia" w:ascii="宋体" w:hAnsi="宋体" w:eastAsia="宋体" w:cs="宋体"/>
          <w:sz w:val="21"/>
          <w:szCs w:val="21"/>
        </w:rPr>
      </w:pPr>
      <w:r>
        <w:rPr>
          <w:rFonts w:hint="eastAsia" w:ascii="宋体" w:hAnsi="宋体" w:eastAsia="宋体" w:cs="宋体"/>
          <w:sz w:val="21"/>
          <w:szCs w:val="21"/>
        </w:rPr>
        <w:t>SO</w:t>
      </w:r>
      <w:r>
        <w:rPr>
          <w:rFonts w:hint="eastAsia" w:ascii="宋体" w:hAnsi="宋体" w:eastAsia="宋体" w:cs="宋体"/>
          <w:sz w:val="21"/>
          <w:szCs w:val="21"/>
          <w:vertAlign w:val="subscript"/>
        </w:rPr>
        <w:t>2</w:t>
      </w:r>
      <w:r>
        <w:rPr>
          <w:rFonts w:hint="eastAsia" w:ascii="宋体" w:hAnsi="宋体" w:eastAsia="宋体" w:cs="宋体"/>
          <w:sz w:val="21"/>
          <w:szCs w:val="21"/>
        </w:rPr>
        <w:t>+Ca(OH)</w:t>
      </w:r>
      <w:r>
        <w:rPr>
          <w:rFonts w:hint="eastAsia" w:ascii="宋体" w:hAnsi="宋体" w:eastAsia="宋体" w:cs="宋体"/>
          <w:sz w:val="21"/>
          <w:szCs w:val="21"/>
          <w:vertAlign w:val="subscript"/>
        </w:rPr>
        <w:t>2</w:t>
      </w:r>
      <w:r>
        <w:rPr>
          <w:rFonts w:hint="eastAsia" w:ascii="宋体" w:hAnsi="宋体" w:eastAsia="宋体" w:cs="宋体"/>
          <w:sz w:val="21"/>
          <w:szCs w:val="21"/>
        </w:rPr>
        <w:t xml:space="preserve"> → CaSO</w:t>
      </w:r>
      <w:r>
        <w:rPr>
          <w:rFonts w:hint="eastAsia" w:ascii="宋体" w:hAnsi="宋体" w:eastAsia="宋体" w:cs="宋体"/>
          <w:sz w:val="21"/>
          <w:szCs w:val="21"/>
          <w:vertAlign w:val="subscript"/>
        </w:rPr>
        <w:t>3</w:t>
      </w:r>
      <w:r>
        <w:rPr>
          <w:rFonts w:hint="eastAsia" w:ascii="宋体" w:hAnsi="宋体" w:eastAsia="宋体" w:cs="宋体"/>
          <w:sz w:val="21"/>
          <w:szCs w:val="21"/>
        </w:rPr>
        <w:t>+H</w:t>
      </w:r>
      <w:r>
        <w:rPr>
          <w:rFonts w:hint="eastAsia" w:ascii="宋体" w:hAnsi="宋体" w:eastAsia="宋体" w:cs="宋体"/>
          <w:sz w:val="21"/>
          <w:szCs w:val="21"/>
          <w:vertAlign w:val="subscript"/>
        </w:rPr>
        <w:t>2</w:t>
      </w:r>
      <w:r>
        <w:rPr>
          <w:rFonts w:hint="eastAsia" w:ascii="宋体" w:hAnsi="宋体" w:eastAsia="宋体" w:cs="宋体"/>
          <w:sz w:val="21"/>
          <w:szCs w:val="21"/>
        </w:rPr>
        <w:t xml:space="preserve">O </w:t>
      </w:r>
    </w:p>
    <w:p w14:paraId="3BCDF591">
      <w:pPr>
        <w:pageBreakBefore w:val="0"/>
        <w:kinsoku/>
        <w:wordWrap/>
        <w:overflowPunct/>
        <w:topLinePunct w:val="0"/>
        <w:autoSpaceDE/>
        <w:autoSpaceDN/>
        <w:bidi w:val="0"/>
        <w:spacing w:line="400" w:lineRule="exact"/>
        <w:ind w:firstLine="840" w:firstLineChars="400"/>
        <w:rPr>
          <w:rFonts w:hint="eastAsia" w:ascii="宋体" w:hAnsi="宋体" w:eastAsia="宋体" w:cs="宋体"/>
          <w:sz w:val="21"/>
          <w:szCs w:val="21"/>
        </w:rPr>
      </w:pPr>
      <w:r>
        <w:rPr>
          <w:rFonts w:hint="eastAsia" w:ascii="宋体" w:hAnsi="宋体" w:eastAsia="宋体" w:cs="宋体"/>
          <w:sz w:val="21"/>
          <w:szCs w:val="21"/>
        </w:rPr>
        <w:t>6HF+Na</w:t>
      </w:r>
      <w:r>
        <w:rPr>
          <w:rFonts w:hint="eastAsia" w:ascii="宋体" w:hAnsi="宋体" w:eastAsia="宋体" w:cs="宋体"/>
          <w:sz w:val="21"/>
          <w:szCs w:val="21"/>
          <w:vertAlign w:val="subscript"/>
        </w:rPr>
        <w:t>2</w:t>
      </w:r>
      <w:r>
        <w:rPr>
          <w:rFonts w:hint="eastAsia" w:ascii="宋体" w:hAnsi="宋体" w:eastAsia="宋体" w:cs="宋体"/>
          <w:sz w:val="21"/>
          <w:szCs w:val="21"/>
        </w:rPr>
        <w:t>SiO</w:t>
      </w:r>
      <w:r>
        <w:rPr>
          <w:rFonts w:hint="eastAsia" w:ascii="宋体" w:hAnsi="宋体" w:eastAsia="宋体" w:cs="宋体"/>
          <w:sz w:val="21"/>
          <w:szCs w:val="21"/>
          <w:vertAlign w:val="subscript"/>
        </w:rPr>
        <w:t>3</w:t>
      </w:r>
      <w:r>
        <w:rPr>
          <w:rFonts w:hint="eastAsia" w:ascii="宋体" w:hAnsi="宋体" w:eastAsia="宋体" w:cs="宋体"/>
          <w:sz w:val="21"/>
          <w:szCs w:val="21"/>
        </w:rPr>
        <w:t xml:space="preserve"> → 2NaF+SiF</w:t>
      </w:r>
      <w:r>
        <w:rPr>
          <w:rFonts w:hint="eastAsia" w:ascii="宋体" w:hAnsi="宋体" w:eastAsia="宋体" w:cs="宋体"/>
          <w:sz w:val="21"/>
          <w:szCs w:val="21"/>
          <w:vertAlign w:val="subscript"/>
        </w:rPr>
        <w:t>4</w:t>
      </w:r>
      <w:r>
        <w:rPr>
          <w:rFonts w:hint="eastAsia" w:ascii="宋体" w:hAnsi="宋体" w:eastAsia="宋体" w:cs="宋体"/>
          <w:sz w:val="21"/>
          <w:szCs w:val="21"/>
        </w:rPr>
        <w:t>+3H</w:t>
      </w:r>
      <w:r>
        <w:rPr>
          <w:rFonts w:hint="eastAsia" w:ascii="宋体" w:hAnsi="宋体" w:eastAsia="宋体" w:cs="宋体"/>
          <w:sz w:val="21"/>
          <w:szCs w:val="21"/>
          <w:vertAlign w:val="subscript"/>
        </w:rPr>
        <w:t>2</w:t>
      </w:r>
      <w:r>
        <w:rPr>
          <w:rFonts w:hint="eastAsia" w:ascii="宋体" w:hAnsi="宋体" w:eastAsia="宋体" w:cs="宋体"/>
          <w:sz w:val="21"/>
          <w:szCs w:val="21"/>
        </w:rPr>
        <w:t>O</w:t>
      </w:r>
    </w:p>
    <w:p w14:paraId="2DAD0223">
      <w:pPr>
        <w:pageBreakBefore w:val="0"/>
        <w:kinsoku/>
        <w:wordWrap/>
        <w:overflowPunct/>
        <w:topLinePunct w:val="0"/>
        <w:autoSpaceDE/>
        <w:autoSpaceDN/>
        <w:bidi w:val="0"/>
        <w:spacing w:line="400" w:lineRule="exact"/>
        <w:ind w:firstLine="840" w:firstLineChars="400"/>
        <w:rPr>
          <w:rFonts w:hint="eastAsia" w:ascii="宋体" w:hAnsi="宋体" w:eastAsia="宋体" w:cs="宋体"/>
          <w:sz w:val="21"/>
          <w:szCs w:val="21"/>
        </w:rPr>
      </w:pPr>
      <w:r>
        <w:rPr>
          <w:rFonts w:hint="eastAsia" w:ascii="宋体" w:hAnsi="宋体" w:eastAsia="宋体" w:cs="宋体"/>
          <w:sz w:val="21"/>
          <w:szCs w:val="21"/>
        </w:rPr>
        <w:t>Na</w:t>
      </w:r>
      <w:r>
        <w:rPr>
          <w:rFonts w:hint="eastAsia" w:ascii="宋体" w:hAnsi="宋体" w:eastAsia="宋体" w:cs="宋体"/>
          <w:sz w:val="21"/>
          <w:szCs w:val="21"/>
          <w:vertAlign w:val="subscript"/>
        </w:rPr>
        <w:t>2</w:t>
      </w:r>
      <w:r>
        <w:rPr>
          <w:rFonts w:hint="eastAsia" w:ascii="宋体" w:hAnsi="宋体" w:eastAsia="宋体" w:cs="宋体"/>
          <w:sz w:val="21"/>
          <w:szCs w:val="21"/>
        </w:rPr>
        <w:t>SiO</w:t>
      </w:r>
      <w:r>
        <w:rPr>
          <w:rFonts w:hint="eastAsia" w:ascii="宋体" w:hAnsi="宋体" w:eastAsia="宋体" w:cs="宋体"/>
          <w:sz w:val="21"/>
          <w:szCs w:val="21"/>
          <w:vertAlign w:val="subscript"/>
        </w:rPr>
        <w:t>3</w:t>
      </w:r>
      <w:r>
        <w:rPr>
          <w:rFonts w:hint="eastAsia" w:ascii="宋体" w:hAnsi="宋体" w:eastAsia="宋体" w:cs="宋体"/>
          <w:sz w:val="21"/>
          <w:szCs w:val="21"/>
        </w:rPr>
        <w:t>+2HCl → 2NaCl+H</w:t>
      </w:r>
      <w:r>
        <w:rPr>
          <w:rFonts w:hint="eastAsia" w:ascii="宋体" w:hAnsi="宋体" w:eastAsia="宋体" w:cs="宋体"/>
          <w:sz w:val="21"/>
          <w:szCs w:val="21"/>
          <w:vertAlign w:val="subscript"/>
        </w:rPr>
        <w:t>2</w:t>
      </w:r>
      <w:r>
        <w:rPr>
          <w:rFonts w:hint="eastAsia" w:ascii="宋体" w:hAnsi="宋体" w:eastAsia="宋体" w:cs="宋体"/>
          <w:sz w:val="21"/>
          <w:szCs w:val="21"/>
        </w:rPr>
        <w:t>SiO</w:t>
      </w:r>
      <w:r>
        <w:rPr>
          <w:rFonts w:hint="eastAsia" w:ascii="宋体" w:hAnsi="宋体" w:eastAsia="宋体" w:cs="宋体"/>
          <w:sz w:val="21"/>
          <w:szCs w:val="21"/>
          <w:vertAlign w:val="subscript"/>
        </w:rPr>
        <w:t>3</w:t>
      </w:r>
    </w:p>
    <w:p w14:paraId="00763B5D">
      <w:pPr>
        <w:pageBreakBefore w:val="0"/>
        <w:kinsoku/>
        <w:wordWrap/>
        <w:overflowPunct/>
        <w:topLinePunct w:val="0"/>
        <w:autoSpaceDE/>
        <w:autoSpaceDN/>
        <w:bidi w:val="0"/>
        <w:spacing w:line="400" w:lineRule="exact"/>
        <w:ind w:firstLine="840" w:firstLineChars="400"/>
        <w:rPr>
          <w:rFonts w:hint="eastAsia" w:ascii="宋体" w:hAnsi="宋体" w:eastAsia="宋体" w:cs="宋体"/>
          <w:sz w:val="21"/>
          <w:szCs w:val="21"/>
        </w:rPr>
      </w:pPr>
      <w:r>
        <w:rPr>
          <w:rFonts w:hint="eastAsia" w:ascii="宋体" w:hAnsi="宋体" w:eastAsia="宋体" w:cs="宋体"/>
          <w:sz w:val="21"/>
          <w:szCs w:val="21"/>
        </w:rPr>
        <w:t>Ca(OH)</w:t>
      </w:r>
      <w:r>
        <w:rPr>
          <w:rFonts w:hint="eastAsia" w:ascii="宋体" w:hAnsi="宋体" w:eastAsia="宋体" w:cs="宋体"/>
          <w:sz w:val="21"/>
          <w:szCs w:val="21"/>
          <w:vertAlign w:val="subscript"/>
        </w:rPr>
        <w:t>2</w:t>
      </w:r>
      <w:r>
        <w:rPr>
          <w:rFonts w:hint="eastAsia" w:ascii="宋体" w:hAnsi="宋体" w:eastAsia="宋体" w:cs="宋体"/>
          <w:sz w:val="21"/>
          <w:szCs w:val="21"/>
        </w:rPr>
        <w:t>+2HCl → CaCl</w:t>
      </w:r>
      <w:r>
        <w:rPr>
          <w:rFonts w:hint="eastAsia" w:ascii="宋体" w:hAnsi="宋体" w:eastAsia="宋体" w:cs="宋体"/>
          <w:sz w:val="21"/>
          <w:szCs w:val="21"/>
          <w:vertAlign w:val="subscript"/>
        </w:rPr>
        <w:t>2</w:t>
      </w:r>
      <w:r>
        <w:rPr>
          <w:rFonts w:hint="eastAsia" w:ascii="宋体" w:hAnsi="宋体" w:eastAsia="宋体" w:cs="宋体"/>
          <w:sz w:val="21"/>
          <w:szCs w:val="21"/>
        </w:rPr>
        <w:t>+2H</w:t>
      </w:r>
      <w:r>
        <w:rPr>
          <w:rFonts w:hint="eastAsia" w:ascii="宋体" w:hAnsi="宋体" w:eastAsia="宋体" w:cs="宋体"/>
          <w:sz w:val="21"/>
          <w:szCs w:val="21"/>
          <w:vertAlign w:val="subscript"/>
        </w:rPr>
        <w:t>2</w:t>
      </w:r>
      <w:r>
        <w:rPr>
          <w:rFonts w:hint="eastAsia" w:ascii="宋体" w:hAnsi="宋体" w:eastAsia="宋体" w:cs="宋体"/>
          <w:sz w:val="21"/>
          <w:szCs w:val="21"/>
        </w:rPr>
        <w:t>O</w:t>
      </w:r>
    </w:p>
    <w:p w14:paraId="6ADE8312">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（2）B药剂</w:t>
      </w:r>
    </w:p>
    <w:p w14:paraId="7D6BE0DB">
      <w:pPr>
        <w:pageBreakBefore w:val="0"/>
        <w:kinsoku/>
        <w:wordWrap/>
        <w:overflowPunct/>
        <w:topLinePunct w:val="0"/>
        <w:autoSpaceDE/>
        <w:autoSpaceDN/>
        <w:bidi w:val="0"/>
        <w:spacing w:line="400" w:lineRule="exact"/>
        <w:ind w:left="0" w:leftChars="0" w:firstLine="840" w:firstLineChars="400"/>
        <w:rPr>
          <w:rFonts w:hint="eastAsia" w:ascii="宋体" w:hAnsi="宋体" w:eastAsia="宋体" w:cs="宋体"/>
          <w:sz w:val="21"/>
          <w:szCs w:val="21"/>
        </w:rPr>
      </w:pPr>
      <w:r>
        <w:rPr>
          <w:rFonts w:hint="eastAsia" w:ascii="宋体" w:hAnsi="宋体" w:eastAsia="宋体" w:cs="宋体"/>
          <w:sz w:val="21"/>
          <w:szCs w:val="21"/>
        </w:rPr>
        <w:t>SO</w:t>
      </w:r>
      <w:r>
        <w:rPr>
          <w:rFonts w:hint="eastAsia" w:ascii="宋体" w:hAnsi="宋体" w:eastAsia="宋体" w:cs="宋体"/>
          <w:sz w:val="21"/>
          <w:szCs w:val="21"/>
          <w:vertAlign w:val="subscript"/>
        </w:rPr>
        <w:t>3</w:t>
      </w:r>
      <w:r>
        <w:rPr>
          <w:rFonts w:hint="eastAsia" w:ascii="宋体" w:hAnsi="宋体" w:eastAsia="宋体" w:cs="宋体"/>
          <w:sz w:val="21"/>
          <w:szCs w:val="21"/>
        </w:rPr>
        <w:t>+2NaOH → Na</w:t>
      </w:r>
      <w:r>
        <w:rPr>
          <w:rFonts w:hint="eastAsia" w:ascii="宋体" w:hAnsi="宋体" w:eastAsia="宋体" w:cs="宋体"/>
          <w:sz w:val="21"/>
          <w:szCs w:val="21"/>
          <w:vertAlign w:val="subscript"/>
        </w:rPr>
        <w:t>2</w:t>
      </w:r>
      <w:r>
        <w:rPr>
          <w:rFonts w:hint="eastAsia" w:ascii="宋体" w:hAnsi="宋体" w:eastAsia="宋体" w:cs="宋体"/>
          <w:sz w:val="21"/>
          <w:szCs w:val="21"/>
        </w:rPr>
        <w:t>SO</w:t>
      </w:r>
      <w:r>
        <w:rPr>
          <w:rFonts w:hint="eastAsia" w:ascii="宋体" w:hAnsi="宋体" w:eastAsia="宋体" w:cs="宋体"/>
          <w:sz w:val="21"/>
          <w:szCs w:val="21"/>
          <w:vertAlign w:val="subscript"/>
        </w:rPr>
        <w:t>4</w:t>
      </w:r>
      <w:r>
        <w:rPr>
          <w:rFonts w:hint="eastAsia" w:ascii="宋体" w:hAnsi="宋体" w:eastAsia="宋体" w:cs="宋体"/>
          <w:sz w:val="21"/>
          <w:szCs w:val="21"/>
        </w:rPr>
        <w:t>+H</w:t>
      </w:r>
      <w:r>
        <w:rPr>
          <w:rFonts w:hint="eastAsia" w:ascii="宋体" w:hAnsi="宋体" w:eastAsia="宋体" w:cs="宋体"/>
          <w:sz w:val="21"/>
          <w:szCs w:val="21"/>
          <w:vertAlign w:val="subscript"/>
        </w:rPr>
        <w:t>2</w:t>
      </w:r>
      <w:r>
        <w:rPr>
          <w:rFonts w:hint="eastAsia" w:ascii="宋体" w:hAnsi="宋体" w:eastAsia="宋体" w:cs="宋体"/>
          <w:sz w:val="21"/>
          <w:szCs w:val="21"/>
        </w:rPr>
        <w:t>O</w:t>
      </w:r>
    </w:p>
    <w:p w14:paraId="5350AE19">
      <w:pPr>
        <w:pageBreakBefore w:val="0"/>
        <w:kinsoku/>
        <w:wordWrap/>
        <w:overflowPunct/>
        <w:topLinePunct w:val="0"/>
        <w:autoSpaceDE/>
        <w:autoSpaceDN/>
        <w:bidi w:val="0"/>
        <w:spacing w:line="400" w:lineRule="exact"/>
        <w:ind w:left="0" w:leftChars="0" w:firstLine="840" w:firstLineChars="400"/>
        <w:rPr>
          <w:rFonts w:hint="eastAsia" w:ascii="宋体" w:hAnsi="宋体" w:eastAsia="宋体" w:cs="宋体"/>
          <w:sz w:val="21"/>
          <w:szCs w:val="21"/>
        </w:rPr>
      </w:pPr>
      <w:r>
        <w:rPr>
          <w:rFonts w:hint="eastAsia" w:ascii="宋体" w:hAnsi="宋体" w:eastAsia="宋体" w:cs="宋体"/>
          <w:sz w:val="21"/>
          <w:szCs w:val="21"/>
        </w:rPr>
        <w:t>SO</w:t>
      </w:r>
      <w:r>
        <w:rPr>
          <w:rFonts w:hint="eastAsia" w:ascii="宋体" w:hAnsi="宋体" w:eastAsia="宋体" w:cs="宋体"/>
          <w:sz w:val="21"/>
          <w:szCs w:val="21"/>
          <w:vertAlign w:val="subscript"/>
        </w:rPr>
        <w:t>2</w:t>
      </w:r>
      <w:r>
        <w:rPr>
          <w:rFonts w:hint="eastAsia" w:ascii="宋体" w:hAnsi="宋体" w:eastAsia="宋体" w:cs="宋体"/>
          <w:sz w:val="21"/>
          <w:szCs w:val="21"/>
        </w:rPr>
        <w:t>+2NaOH → Na</w:t>
      </w:r>
      <w:r>
        <w:rPr>
          <w:rFonts w:hint="eastAsia" w:ascii="宋体" w:hAnsi="宋体" w:eastAsia="宋体" w:cs="宋体"/>
          <w:sz w:val="21"/>
          <w:szCs w:val="21"/>
          <w:vertAlign w:val="subscript"/>
        </w:rPr>
        <w:t>2</w:t>
      </w:r>
      <w:r>
        <w:rPr>
          <w:rFonts w:hint="eastAsia" w:ascii="宋体" w:hAnsi="宋体" w:eastAsia="宋体" w:cs="宋体"/>
          <w:sz w:val="21"/>
          <w:szCs w:val="21"/>
        </w:rPr>
        <w:t>SO</w:t>
      </w:r>
      <w:r>
        <w:rPr>
          <w:rFonts w:hint="eastAsia" w:ascii="宋体" w:hAnsi="宋体" w:eastAsia="宋体" w:cs="宋体"/>
          <w:sz w:val="21"/>
          <w:szCs w:val="21"/>
          <w:vertAlign w:val="subscript"/>
        </w:rPr>
        <w:t>3</w:t>
      </w:r>
      <w:r>
        <w:rPr>
          <w:rFonts w:hint="eastAsia" w:ascii="宋体" w:hAnsi="宋体" w:eastAsia="宋体" w:cs="宋体"/>
          <w:sz w:val="21"/>
          <w:szCs w:val="21"/>
        </w:rPr>
        <w:t>+H</w:t>
      </w:r>
      <w:r>
        <w:rPr>
          <w:rFonts w:hint="eastAsia" w:ascii="宋体" w:hAnsi="宋体" w:eastAsia="宋体" w:cs="宋体"/>
          <w:sz w:val="21"/>
          <w:szCs w:val="21"/>
          <w:vertAlign w:val="subscript"/>
        </w:rPr>
        <w:t>2</w:t>
      </w:r>
      <w:r>
        <w:rPr>
          <w:rFonts w:hint="eastAsia" w:ascii="宋体" w:hAnsi="宋体" w:eastAsia="宋体" w:cs="宋体"/>
          <w:sz w:val="21"/>
          <w:szCs w:val="21"/>
        </w:rPr>
        <w:t>O</w:t>
      </w:r>
    </w:p>
    <w:p w14:paraId="1BE19AF5">
      <w:pPr>
        <w:pageBreakBefore w:val="0"/>
        <w:kinsoku/>
        <w:wordWrap/>
        <w:overflowPunct/>
        <w:topLinePunct w:val="0"/>
        <w:autoSpaceDE/>
        <w:autoSpaceDN/>
        <w:bidi w:val="0"/>
        <w:spacing w:line="400" w:lineRule="exact"/>
        <w:ind w:left="0" w:leftChars="0" w:firstLine="840" w:firstLineChars="400"/>
        <w:rPr>
          <w:rFonts w:hint="eastAsia" w:ascii="宋体" w:hAnsi="宋体" w:eastAsia="宋体" w:cs="宋体"/>
          <w:sz w:val="21"/>
          <w:szCs w:val="21"/>
        </w:rPr>
      </w:pPr>
      <w:r>
        <w:rPr>
          <w:rFonts w:hint="eastAsia" w:ascii="宋体" w:hAnsi="宋体" w:eastAsia="宋体" w:cs="宋体"/>
          <w:sz w:val="21"/>
          <w:szCs w:val="21"/>
        </w:rPr>
        <w:t>6HF+Na</w:t>
      </w:r>
      <w:r>
        <w:rPr>
          <w:rFonts w:hint="eastAsia" w:ascii="宋体" w:hAnsi="宋体" w:eastAsia="宋体" w:cs="宋体"/>
          <w:sz w:val="21"/>
          <w:szCs w:val="21"/>
          <w:vertAlign w:val="subscript"/>
        </w:rPr>
        <w:t>2</w:t>
      </w:r>
      <w:r>
        <w:rPr>
          <w:rFonts w:hint="eastAsia" w:ascii="宋体" w:hAnsi="宋体" w:eastAsia="宋体" w:cs="宋体"/>
          <w:sz w:val="21"/>
          <w:szCs w:val="21"/>
        </w:rPr>
        <w:t>SiO</w:t>
      </w:r>
      <w:r>
        <w:rPr>
          <w:rFonts w:hint="eastAsia" w:ascii="宋体" w:hAnsi="宋体" w:eastAsia="宋体" w:cs="宋体"/>
          <w:sz w:val="21"/>
          <w:szCs w:val="21"/>
          <w:vertAlign w:val="subscript"/>
        </w:rPr>
        <w:t>3</w:t>
      </w:r>
      <w:r>
        <w:rPr>
          <w:rFonts w:hint="eastAsia" w:ascii="宋体" w:hAnsi="宋体" w:eastAsia="宋体" w:cs="宋体"/>
          <w:sz w:val="21"/>
          <w:szCs w:val="21"/>
        </w:rPr>
        <w:t xml:space="preserve"> → 2NaF+SiF</w:t>
      </w:r>
      <w:r>
        <w:rPr>
          <w:rFonts w:hint="eastAsia" w:ascii="宋体" w:hAnsi="宋体" w:eastAsia="宋体" w:cs="宋体"/>
          <w:sz w:val="21"/>
          <w:szCs w:val="21"/>
          <w:vertAlign w:val="subscript"/>
        </w:rPr>
        <w:t>4</w:t>
      </w:r>
      <w:r>
        <w:rPr>
          <w:rFonts w:hint="eastAsia" w:ascii="宋体" w:hAnsi="宋体" w:eastAsia="宋体" w:cs="宋体"/>
          <w:sz w:val="21"/>
          <w:szCs w:val="21"/>
        </w:rPr>
        <w:t>+3H</w:t>
      </w:r>
      <w:r>
        <w:rPr>
          <w:rFonts w:hint="eastAsia" w:ascii="宋体" w:hAnsi="宋体" w:eastAsia="宋体" w:cs="宋体"/>
          <w:sz w:val="21"/>
          <w:szCs w:val="21"/>
          <w:vertAlign w:val="subscript"/>
        </w:rPr>
        <w:t>2</w:t>
      </w:r>
      <w:r>
        <w:rPr>
          <w:rFonts w:hint="eastAsia" w:ascii="宋体" w:hAnsi="宋体" w:eastAsia="宋体" w:cs="宋体"/>
          <w:sz w:val="21"/>
          <w:szCs w:val="21"/>
        </w:rPr>
        <w:t>O</w:t>
      </w:r>
    </w:p>
    <w:p w14:paraId="2445BB3A">
      <w:pPr>
        <w:pageBreakBefore w:val="0"/>
        <w:kinsoku/>
        <w:wordWrap/>
        <w:overflowPunct/>
        <w:topLinePunct w:val="0"/>
        <w:autoSpaceDE/>
        <w:autoSpaceDN/>
        <w:bidi w:val="0"/>
        <w:spacing w:line="400" w:lineRule="exact"/>
        <w:ind w:firstLine="840" w:firstLineChars="400"/>
        <w:rPr>
          <w:rFonts w:hint="eastAsia" w:ascii="宋体" w:hAnsi="宋体" w:eastAsia="宋体" w:cs="宋体"/>
          <w:sz w:val="21"/>
          <w:szCs w:val="21"/>
        </w:rPr>
      </w:pPr>
      <w:r>
        <w:rPr>
          <w:rFonts w:hint="eastAsia" w:ascii="宋体" w:hAnsi="宋体" w:eastAsia="宋体" w:cs="宋体"/>
          <w:sz w:val="21"/>
          <w:szCs w:val="21"/>
        </w:rPr>
        <w:t>Na</w:t>
      </w:r>
      <w:r>
        <w:rPr>
          <w:rFonts w:hint="eastAsia" w:ascii="宋体" w:hAnsi="宋体" w:eastAsia="宋体" w:cs="宋体"/>
          <w:sz w:val="21"/>
          <w:szCs w:val="21"/>
          <w:vertAlign w:val="subscript"/>
        </w:rPr>
        <w:t>2</w:t>
      </w:r>
      <w:r>
        <w:rPr>
          <w:rFonts w:hint="eastAsia" w:ascii="宋体" w:hAnsi="宋体" w:eastAsia="宋体" w:cs="宋体"/>
          <w:sz w:val="21"/>
          <w:szCs w:val="21"/>
        </w:rPr>
        <w:t>SiO</w:t>
      </w:r>
      <w:r>
        <w:rPr>
          <w:rFonts w:hint="eastAsia" w:ascii="宋体" w:hAnsi="宋体" w:eastAsia="宋体" w:cs="宋体"/>
          <w:sz w:val="21"/>
          <w:szCs w:val="21"/>
          <w:vertAlign w:val="subscript"/>
        </w:rPr>
        <w:t>3</w:t>
      </w:r>
      <w:r>
        <w:rPr>
          <w:rFonts w:hint="eastAsia" w:ascii="宋体" w:hAnsi="宋体" w:eastAsia="宋体" w:cs="宋体"/>
          <w:sz w:val="21"/>
          <w:szCs w:val="21"/>
        </w:rPr>
        <w:t>+2HCl → 2NaCl+H</w:t>
      </w:r>
      <w:r>
        <w:rPr>
          <w:rFonts w:hint="eastAsia" w:ascii="宋体" w:hAnsi="宋体" w:eastAsia="宋体" w:cs="宋体"/>
          <w:sz w:val="21"/>
          <w:szCs w:val="21"/>
          <w:vertAlign w:val="subscript"/>
        </w:rPr>
        <w:t>2</w:t>
      </w:r>
      <w:r>
        <w:rPr>
          <w:rFonts w:hint="eastAsia" w:ascii="宋体" w:hAnsi="宋体" w:eastAsia="宋体" w:cs="宋体"/>
          <w:sz w:val="21"/>
          <w:szCs w:val="21"/>
        </w:rPr>
        <w:t>SiO</w:t>
      </w:r>
      <w:r>
        <w:rPr>
          <w:rFonts w:hint="eastAsia" w:ascii="宋体" w:hAnsi="宋体" w:eastAsia="宋体" w:cs="宋体"/>
          <w:sz w:val="21"/>
          <w:szCs w:val="21"/>
          <w:vertAlign w:val="subscript"/>
        </w:rPr>
        <w:t>3</w:t>
      </w:r>
    </w:p>
    <w:p w14:paraId="5FCE43B4">
      <w:pPr>
        <w:pageBreakBefore w:val="0"/>
        <w:kinsoku/>
        <w:wordWrap/>
        <w:overflowPunct/>
        <w:topLinePunct w:val="0"/>
        <w:autoSpaceDE/>
        <w:autoSpaceDN/>
        <w:bidi w:val="0"/>
        <w:spacing w:line="400" w:lineRule="exact"/>
        <w:ind w:left="0" w:leftChars="0" w:firstLine="840" w:firstLineChars="400"/>
        <w:rPr>
          <w:rFonts w:hint="eastAsia" w:ascii="宋体" w:hAnsi="宋体" w:eastAsia="宋体" w:cs="宋体"/>
          <w:sz w:val="21"/>
          <w:szCs w:val="21"/>
          <w:vertAlign w:val="baseline"/>
        </w:rPr>
      </w:pPr>
      <w:r>
        <w:rPr>
          <w:rFonts w:hint="eastAsia" w:ascii="宋体" w:hAnsi="宋体" w:eastAsia="宋体" w:cs="宋体"/>
          <w:sz w:val="21"/>
          <w:szCs w:val="21"/>
        </w:rPr>
        <w:t>NaOH+HCl → NaCl+H</w:t>
      </w:r>
      <w:r>
        <w:rPr>
          <w:rFonts w:hint="eastAsia" w:ascii="宋体" w:hAnsi="宋体" w:eastAsia="宋体" w:cs="宋体"/>
          <w:sz w:val="21"/>
          <w:szCs w:val="21"/>
          <w:vertAlign w:val="subscript"/>
        </w:rPr>
        <w:t>2</w:t>
      </w:r>
      <w:r>
        <w:rPr>
          <w:rFonts w:hint="eastAsia" w:ascii="宋体" w:hAnsi="宋体" w:eastAsia="宋体" w:cs="宋体"/>
          <w:sz w:val="21"/>
          <w:szCs w:val="21"/>
        </w:rPr>
        <w:t>O</w:t>
      </w:r>
    </w:p>
    <w:p w14:paraId="2C5909C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1.3工艺特点</w:t>
      </w:r>
    </w:p>
    <w:p w14:paraId="20D7639D">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相较于现有一步骤冷工艺仅在电除尘器后设置骤冷塔喷淋降温，分级处理工艺具有以下优势：</w:t>
      </w:r>
    </w:p>
    <w:p w14:paraId="660A0609">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首先，电除尘器前的一级骤冷除杂，可吸收烟气中90%以上的三氧化硫，60%以上的氯化氢，</w:t>
      </w:r>
      <w:r>
        <w:rPr>
          <w:rFonts w:hint="eastAsia" w:ascii="宋体" w:hAnsi="宋体" w:eastAsia="宋体" w:cs="宋体"/>
          <w:sz w:val="21"/>
          <w:szCs w:val="21"/>
          <w:lang w:val="en-US" w:eastAsia="zh-CN"/>
        </w:rPr>
        <w:t>3</w:t>
      </w:r>
      <w:r>
        <w:rPr>
          <w:rFonts w:hint="eastAsia" w:ascii="宋体" w:hAnsi="宋体" w:eastAsia="宋体" w:cs="宋体"/>
          <w:sz w:val="21"/>
          <w:szCs w:val="21"/>
        </w:rPr>
        <w:t>0%以上的</w:t>
      </w:r>
      <w:r>
        <w:rPr>
          <w:rFonts w:hint="eastAsia" w:ascii="宋体" w:hAnsi="宋体" w:eastAsia="宋体" w:cs="宋体"/>
          <w:sz w:val="21"/>
          <w:szCs w:val="21"/>
          <w:lang w:val="en-US" w:eastAsia="zh-CN"/>
        </w:rPr>
        <w:t>氟</w:t>
      </w:r>
      <w:r>
        <w:rPr>
          <w:rFonts w:hint="eastAsia" w:ascii="宋体" w:hAnsi="宋体" w:eastAsia="宋体" w:cs="宋体"/>
          <w:sz w:val="21"/>
          <w:szCs w:val="21"/>
        </w:rPr>
        <w:t>化氢，有效降低烟气露点，减少酸性气体对电除尘器及后续设备及烟气管道的腐蚀损害，提高设备的使用寿命，稳定生产；同时，一级骤冷可有效调控电除尘器的进口烟气温度，避免锅炉结焦，解决由此造成的锅炉出口温度过高、电除尘器极板极线变形损害、收尘效率降低、收砷工段三氧化二砷品质差等一系列问题。</w:t>
      </w:r>
    </w:p>
    <w:p w14:paraId="755A0F2F">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其次，骤冷塔内喷淋入碱性物质进行烟气降温，会生成硫酸钠、氯化钠、氟化钙及硫酸钙等副产物。现有工艺中骤冷塔仅有一级，设在袋式收砷器前，部分副产物会在袋式收砷器中与固态三氧化二砷一起收下，粗砷杂质多、三氧化二砷品位低；而新工艺一级骤冷塔中产生的副产物大部分在</w:t>
      </w:r>
      <w:r>
        <w:rPr>
          <w:rFonts w:hint="eastAsia" w:ascii="宋体" w:hAnsi="宋体" w:eastAsia="宋体" w:cs="宋体"/>
          <w:sz w:val="21"/>
          <w:szCs w:val="21"/>
          <w:lang w:val="en-US" w:eastAsia="zh-CN"/>
        </w:rPr>
        <w:t>一级</w:t>
      </w:r>
      <w:r>
        <w:rPr>
          <w:rFonts w:hint="eastAsia" w:ascii="宋体" w:hAnsi="宋体" w:eastAsia="宋体" w:cs="宋体"/>
          <w:sz w:val="21"/>
          <w:szCs w:val="21"/>
        </w:rPr>
        <w:t>骤冷塔内重力收集，小部分在电除尘器内收集，消除了副产物进入后续</w:t>
      </w:r>
      <w:r>
        <w:rPr>
          <w:rFonts w:hint="eastAsia" w:ascii="宋体" w:hAnsi="宋体" w:eastAsia="宋体" w:cs="宋体"/>
          <w:sz w:val="21"/>
          <w:szCs w:val="21"/>
          <w:lang w:val="en-US" w:eastAsia="zh-CN"/>
        </w:rPr>
        <w:t>二级骤冷塔及</w:t>
      </w:r>
      <w:r>
        <w:rPr>
          <w:rFonts w:hint="eastAsia" w:ascii="宋体" w:hAnsi="宋体" w:eastAsia="宋体" w:cs="宋体"/>
          <w:sz w:val="21"/>
          <w:szCs w:val="21"/>
        </w:rPr>
        <w:t>布袋收砷器的情况，提高了三氧化二砷的纯度，降低了袋式收尘器收下的粗砷</w:t>
      </w:r>
      <w:r>
        <w:rPr>
          <w:rFonts w:hint="eastAsia" w:ascii="宋体" w:hAnsi="宋体" w:eastAsia="宋体" w:cs="宋体"/>
          <w:sz w:val="21"/>
          <w:szCs w:val="21"/>
          <w:lang w:val="en-US" w:eastAsia="zh-CN"/>
        </w:rPr>
        <w:t>产生</w:t>
      </w:r>
      <w:r>
        <w:rPr>
          <w:rFonts w:hint="eastAsia" w:ascii="宋体" w:hAnsi="宋体" w:eastAsia="宋体" w:cs="宋体"/>
          <w:sz w:val="21"/>
          <w:szCs w:val="21"/>
        </w:rPr>
        <w:t>量。</w:t>
      </w:r>
    </w:p>
    <w:p w14:paraId="485B83BC">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分级处理工艺得到的粗砷中三氧化二砷品位</w:t>
      </w:r>
      <w:r>
        <w:rPr>
          <w:rFonts w:hint="eastAsia" w:ascii="宋体" w:hAnsi="宋体" w:eastAsia="宋体" w:cs="宋体"/>
          <w:sz w:val="21"/>
          <w:szCs w:val="21"/>
          <w:lang w:val="en-US" w:eastAsia="zh-CN"/>
        </w:rPr>
        <w:t>达到</w:t>
      </w:r>
      <w:r>
        <w:rPr>
          <w:rFonts w:hint="eastAsia" w:ascii="宋体" w:hAnsi="宋体" w:eastAsia="宋体" w:cs="宋体"/>
          <w:sz w:val="21"/>
          <w:szCs w:val="21"/>
        </w:rPr>
        <w:t>95%，远高于现有工艺，更利于粗砷的资源化回收利用；若对粗砷进行处置，因其杂质含量少，可</w:t>
      </w:r>
      <w:r>
        <w:rPr>
          <w:rFonts w:hint="eastAsia" w:ascii="宋体" w:hAnsi="宋体" w:eastAsia="宋体" w:cs="宋体"/>
          <w:sz w:val="21"/>
          <w:szCs w:val="21"/>
          <w:lang w:val="en-US" w:eastAsia="zh-CN"/>
        </w:rPr>
        <w:t>按照产品进行外售，</w:t>
      </w:r>
      <w:r>
        <w:rPr>
          <w:rFonts w:hint="eastAsia" w:ascii="宋体" w:hAnsi="宋体" w:eastAsia="宋体" w:cs="宋体"/>
          <w:sz w:val="21"/>
          <w:szCs w:val="21"/>
        </w:rPr>
        <w:t>减少</w:t>
      </w:r>
      <w:r>
        <w:rPr>
          <w:rFonts w:hint="eastAsia" w:ascii="宋体" w:hAnsi="宋体" w:eastAsia="宋体" w:cs="宋体"/>
          <w:sz w:val="21"/>
          <w:szCs w:val="21"/>
          <w:lang w:val="en-US" w:eastAsia="zh-CN"/>
        </w:rPr>
        <w:t>后续提纯</w:t>
      </w:r>
      <w:r>
        <w:rPr>
          <w:rFonts w:hint="eastAsia" w:ascii="宋体" w:hAnsi="宋体" w:eastAsia="宋体" w:cs="宋体"/>
          <w:sz w:val="21"/>
          <w:szCs w:val="21"/>
        </w:rPr>
        <w:t>费用</w:t>
      </w:r>
      <w:r>
        <w:rPr>
          <w:rFonts w:hint="eastAsia" w:ascii="宋体" w:hAnsi="宋体" w:eastAsia="宋体" w:cs="宋体"/>
          <w:sz w:val="21"/>
          <w:szCs w:val="21"/>
          <w:lang w:val="en-US" w:eastAsia="zh-CN"/>
        </w:rPr>
        <w:t>和处置成本</w:t>
      </w:r>
      <w:r>
        <w:rPr>
          <w:rFonts w:hint="eastAsia" w:ascii="宋体" w:hAnsi="宋体" w:eastAsia="宋体" w:cs="宋体"/>
          <w:sz w:val="21"/>
          <w:szCs w:val="21"/>
        </w:rPr>
        <w:t>，降低企业成本。</w:t>
      </w:r>
    </w:p>
    <w:p w14:paraId="3545D5A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2工业化试验情况</w:t>
      </w:r>
    </w:p>
    <w:p w14:paraId="40EC0D7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2.1试验系统简介</w:t>
      </w:r>
    </w:p>
    <w:p w14:paraId="15DDDC2B">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以某铜冶炼生产企业</w:t>
      </w:r>
      <w:r>
        <w:rPr>
          <w:rFonts w:hint="eastAsia" w:ascii="宋体" w:hAnsi="宋体" w:eastAsia="宋体" w:cs="宋体"/>
          <w:sz w:val="21"/>
          <w:szCs w:val="21"/>
          <w:lang w:val="en-US" w:eastAsia="zh-CN"/>
        </w:rPr>
        <w:t>生产调整为例</w:t>
      </w:r>
      <w:r>
        <w:rPr>
          <w:rFonts w:hint="eastAsia" w:ascii="宋体" w:hAnsi="宋体" w:eastAsia="宋体" w:cs="宋体"/>
          <w:sz w:val="21"/>
          <w:szCs w:val="21"/>
        </w:rPr>
        <w:t>，其熔炼炉所产生的烟气温度在900-1100℃，成分主要有二氧化硫，三氧化硫，氟化氢，氯化氢，氮气，水蒸气，三氧化二砷气体及其他杂质气体，三氧化二砷在此温度烟气中主要以气态三氧化二砷的形式存在。由于</w:t>
      </w:r>
      <w:r>
        <w:rPr>
          <w:rFonts w:hint="eastAsia" w:ascii="宋体" w:hAnsi="宋体" w:eastAsia="宋体" w:cs="宋体"/>
          <w:sz w:val="21"/>
          <w:szCs w:val="21"/>
          <w:lang w:val="en-US" w:eastAsia="zh-CN"/>
        </w:rPr>
        <w:t>该公司</w:t>
      </w:r>
      <w:r>
        <w:rPr>
          <w:rFonts w:hint="eastAsia" w:ascii="宋体" w:hAnsi="宋体" w:eastAsia="宋体" w:cs="宋体"/>
          <w:sz w:val="21"/>
          <w:szCs w:val="21"/>
        </w:rPr>
        <w:t>处理的原料较为复杂，含铅、锌、砷等熔点较低的物质，易在余热锅炉的上升烟道及锅炉内管束区形成结焦，导致余热锅炉的换热效果变差，锅炉出口温度由设计的350℃逐渐升高至380℃以上，长时间维持在400℃左右，远超电除尘器设计温度的330℃-350℃，导致电除尘器内阳极板弯曲变形，造成电场内</w:t>
      </w:r>
      <w:r>
        <w:rPr>
          <w:rFonts w:hint="eastAsia" w:ascii="宋体" w:hAnsi="宋体" w:eastAsia="宋体" w:cs="宋体"/>
          <w:sz w:val="21"/>
          <w:szCs w:val="21"/>
          <w:lang w:val="en-US" w:eastAsia="zh-CN"/>
        </w:rPr>
        <w:t>部分同</w:t>
      </w:r>
      <w:r>
        <w:rPr>
          <w:rFonts w:hint="eastAsia" w:ascii="宋体" w:hAnsi="宋体" w:eastAsia="宋体" w:cs="宋体"/>
          <w:sz w:val="21"/>
          <w:szCs w:val="21"/>
        </w:rPr>
        <w:t>极间距由380mm-400mm局部变为250-300mm，二次电压由70Kv降低至30Kv，电除尘器收尘效率由99%下降至95%，频繁出现二次短路送不上电的情况。电除尘器收尘效率降低后，烟气中含金银铜等有价元素的烟尘后移</w:t>
      </w:r>
      <w:r>
        <w:rPr>
          <w:rFonts w:hint="eastAsia" w:ascii="宋体" w:hAnsi="宋体" w:eastAsia="宋体" w:cs="宋体"/>
          <w:sz w:val="21"/>
          <w:szCs w:val="21"/>
          <w:vertAlign w:val="superscript"/>
          <w:lang w:eastAsia="zh-CN"/>
        </w:rPr>
        <w:t>【</w:t>
      </w:r>
      <w:r>
        <w:rPr>
          <w:rFonts w:hint="eastAsia" w:ascii="宋体" w:hAnsi="宋体" w:eastAsia="宋体" w:cs="宋体"/>
          <w:sz w:val="21"/>
          <w:szCs w:val="21"/>
          <w:vertAlign w:val="superscript"/>
          <w:lang w:val="en-US" w:eastAsia="zh-CN"/>
        </w:rPr>
        <w:t>2</w:t>
      </w:r>
      <w:r>
        <w:rPr>
          <w:rFonts w:hint="eastAsia" w:ascii="宋体" w:hAnsi="宋体" w:eastAsia="宋体" w:cs="宋体"/>
          <w:sz w:val="21"/>
          <w:szCs w:val="21"/>
          <w:vertAlign w:val="superscript"/>
          <w:lang w:eastAsia="zh-CN"/>
        </w:rPr>
        <w:t>】</w:t>
      </w:r>
      <w:r>
        <w:rPr>
          <w:rFonts w:hint="eastAsia" w:ascii="宋体" w:hAnsi="宋体" w:eastAsia="宋体" w:cs="宋体"/>
          <w:sz w:val="21"/>
          <w:szCs w:val="21"/>
        </w:rPr>
        <w:t>，在其收砷器内产出，造成产出三氧化二砷品位下降，其中有价贵金属流失每天约2吨，且对滤袋的使用寿命造成影响。</w:t>
      </w:r>
    </w:p>
    <w:p w14:paraId="0C27630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2.2系统调整情况</w:t>
      </w:r>
    </w:p>
    <w:p w14:paraId="2FA5DB2E">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分级处理工艺一级骤冷塔使用的药剂成分对整体工艺影响明显，经过</w:t>
      </w:r>
      <w:r>
        <w:rPr>
          <w:rFonts w:hint="eastAsia" w:ascii="宋体" w:hAnsi="宋体" w:eastAsia="宋体" w:cs="宋体"/>
          <w:sz w:val="21"/>
          <w:szCs w:val="21"/>
          <w:lang w:val="en-US" w:eastAsia="zh-CN"/>
        </w:rPr>
        <w:t>试验</w:t>
      </w:r>
      <w:r>
        <w:rPr>
          <w:rFonts w:hint="eastAsia" w:ascii="宋体" w:hAnsi="宋体" w:eastAsia="宋体" w:cs="宋体"/>
          <w:sz w:val="21"/>
          <w:szCs w:val="21"/>
        </w:rPr>
        <w:t>摸索确定药剂配制方法如下：当烟气中三氧化硫含量在0.3%以下时选用A药剂，即氢氧化钙:硅酸钠按照5:1配制，混合浓度5%-10%；当烟气中三氧化硫含量在0.3%-1%时选用B药剂，即氢氧化钠:硅酸钠按照10:1配制，混合浓度10%-20%。</w:t>
      </w:r>
    </w:p>
    <w:p w14:paraId="334F5F6C">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A药剂与B药剂中均添加有硅酸钠成分，其主要作用为除去烟气中氟化物；因A药剂主要成分为氢氧化钙，在水中溶解度较低，当浓度超出10%时，容易堵塞喷雾设备和管道，因此控制A药剂浓度不超过10%；而B药剂主要成分为氢氧化钠，在水溶液中溶解度较高，因此其浓度可提高至10%以上，保证三氧化硫脱除率。</w:t>
      </w:r>
    </w:p>
    <w:p w14:paraId="3BCE055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2.3新工艺运行情况</w:t>
      </w:r>
    </w:p>
    <w:p w14:paraId="618EEB59">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采用分级处理工艺，一级骤冷塔控制喷淋流量50L/min，将烟气温度由380℃降低至300℃，根据烟气中三氧化硫含量，分别喷入A药剂或者B药剂，其中氢氧化钙添加采用双螺旋称重，硅酸钠及氢氧化钠添加采用离心泵配套电磁流量计精准计量。一级骤冷塔产出主要成分为</w:t>
      </w:r>
      <w:r>
        <w:rPr>
          <w:rFonts w:hint="eastAsia" w:ascii="宋体" w:hAnsi="宋体" w:eastAsia="宋体" w:cs="宋体"/>
          <w:sz w:val="21"/>
          <w:szCs w:val="21"/>
          <w:lang w:val="en-US" w:eastAsia="zh-CN"/>
        </w:rPr>
        <w:t>含</w:t>
      </w:r>
      <w:r>
        <w:rPr>
          <w:rFonts w:hint="eastAsia" w:ascii="宋体" w:hAnsi="宋体" w:eastAsia="宋体" w:cs="宋体"/>
          <w:sz w:val="21"/>
          <w:szCs w:val="21"/>
        </w:rPr>
        <w:t>硫酸钙或硫酸钠产物的烟尘，返回原料系统处理。</w:t>
      </w:r>
    </w:p>
    <w:p w14:paraId="5C14A543">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一级骤冷塔降温后的烟气进入电除尘器，将含有金、银、铜、铅等金属的烟尘收集。阳极板间距控制在380-400mm、进口烟气温度控制在300℃时，电场送电情况及收尘效率明显改善</w:t>
      </w:r>
      <w:r>
        <w:rPr>
          <w:rFonts w:hint="eastAsia" w:ascii="宋体" w:hAnsi="宋体" w:eastAsia="宋体" w:cs="宋体"/>
          <w:sz w:val="21"/>
          <w:szCs w:val="21"/>
          <w:vertAlign w:val="superscript"/>
          <w:lang w:eastAsia="zh-CN"/>
        </w:rPr>
        <w:t>【</w:t>
      </w:r>
      <w:r>
        <w:rPr>
          <w:rFonts w:hint="eastAsia" w:ascii="宋体" w:hAnsi="宋体" w:eastAsia="宋体" w:cs="宋体"/>
          <w:sz w:val="21"/>
          <w:szCs w:val="21"/>
          <w:vertAlign w:val="superscript"/>
          <w:lang w:val="en-US" w:eastAsia="zh-CN"/>
        </w:rPr>
        <w:t>2</w:t>
      </w:r>
      <w:r>
        <w:rPr>
          <w:rFonts w:hint="eastAsia" w:ascii="宋体" w:hAnsi="宋体" w:eastAsia="宋体" w:cs="宋体"/>
          <w:sz w:val="21"/>
          <w:szCs w:val="21"/>
          <w:vertAlign w:val="superscript"/>
          <w:lang w:eastAsia="zh-CN"/>
        </w:rPr>
        <w:t>】</w:t>
      </w:r>
      <w:r>
        <w:rPr>
          <w:rFonts w:hint="eastAsia" w:ascii="宋体" w:hAnsi="宋体" w:eastAsia="宋体" w:cs="宋体"/>
          <w:sz w:val="21"/>
          <w:szCs w:val="21"/>
        </w:rPr>
        <w:t>，二次电压由改造前的30kV升高至70kV，收尘效率由95%升高至99%，在相同的工况条件下，白烟尘产量增加4%约2.0吨/天；二级骤冷塔产出的粗砷中金含量下降95.35%、银含量下降85.76%、铜含量下降74.76%。</w:t>
      </w:r>
    </w:p>
    <w:p w14:paraId="11772C2E">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经电除尘器后烟气进入二级骤冷塔，通过控制泵站系统喷淋液态水，调整喷淋流量将烟气温度由270℃降低至</w:t>
      </w:r>
      <w:r>
        <w:rPr>
          <w:rFonts w:hint="eastAsia" w:ascii="宋体" w:hAnsi="宋体" w:eastAsia="宋体" w:cs="宋体"/>
          <w:sz w:val="21"/>
          <w:szCs w:val="21"/>
          <w:lang w:val="en-US" w:eastAsia="zh-CN"/>
        </w:rPr>
        <w:t>150</w:t>
      </w:r>
      <w:r>
        <w:rPr>
          <w:rFonts w:hint="eastAsia" w:ascii="宋体" w:hAnsi="宋体" w:eastAsia="宋体" w:cs="宋体"/>
          <w:sz w:val="21"/>
          <w:szCs w:val="21"/>
        </w:rPr>
        <w:t>℃，使烟气中的三氧化二砷由气态转化为固态析出；降温后含大量固态三氧化二砷的烟气进入布袋收砷器进行过滤收集，粗砷样品经检测后，其三氧化二砷纯度由工艺改进前的75%提高至95%。</w:t>
      </w:r>
    </w:p>
    <w:p w14:paraId="4D20562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2.4最优参数验证情况</w:t>
      </w:r>
    </w:p>
    <w:p w14:paraId="2E423A47">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原料投矿含砷2.5%条件下，</w:t>
      </w:r>
      <w:r>
        <w:rPr>
          <w:rFonts w:hint="eastAsia" w:ascii="宋体" w:hAnsi="宋体" w:eastAsia="宋体" w:cs="宋体"/>
          <w:sz w:val="21"/>
          <w:szCs w:val="21"/>
          <w:lang w:val="en-US" w:eastAsia="zh-CN"/>
        </w:rPr>
        <w:t>两级骤冷塔药剂使用情况按2.2、2.3所述进行控制，</w:t>
      </w:r>
      <w:r>
        <w:rPr>
          <w:rFonts w:hint="eastAsia" w:ascii="宋体" w:hAnsi="宋体" w:eastAsia="宋体" w:cs="宋体"/>
          <w:sz w:val="21"/>
          <w:szCs w:val="21"/>
        </w:rPr>
        <w:t>熔炼烟气经锅炉余热回收后，分级进入各段烟气成分见表1（体积百分比，V%）。</w:t>
      </w:r>
    </w:p>
    <w:p w14:paraId="015A753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表1 各段烟气成分</w:t>
      </w:r>
    </w:p>
    <w:tbl>
      <w:tblPr>
        <w:tblStyle w:val="17"/>
        <w:tblW w:w="8941" w:type="dxa"/>
        <w:jc w:val="center"/>
        <w:tblLayout w:type="autofit"/>
        <w:tblCellMar>
          <w:top w:w="0" w:type="dxa"/>
          <w:left w:w="108" w:type="dxa"/>
          <w:bottom w:w="0" w:type="dxa"/>
          <w:right w:w="108" w:type="dxa"/>
        </w:tblCellMar>
      </w:tblPr>
      <w:tblGrid>
        <w:gridCol w:w="1717"/>
        <w:gridCol w:w="763"/>
        <w:gridCol w:w="882"/>
        <w:gridCol w:w="882"/>
        <w:gridCol w:w="763"/>
        <w:gridCol w:w="882"/>
        <w:gridCol w:w="763"/>
        <w:gridCol w:w="763"/>
        <w:gridCol w:w="763"/>
        <w:gridCol w:w="763"/>
      </w:tblGrid>
      <w:tr w14:paraId="7081182D">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654C">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sz w:val="18"/>
                <w:szCs w:val="18"/>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E2736">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CO</w:t>
            </w:r>
            <w:r>
              <w:rPr>
                <w:rFonts w:hint="eastAsia" w:ascii="宋体" w:hAnsi="宋体" w:eastAsia="宋体" w:cs="宋体"/>
                <w:kern w:val="0"/>
                <w:sz w:val="18"/>
                <w:szCs w:val="18"/>
                <w:vertAlign w:val="subscript"/>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18DF2">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vertAlign w:val="subscript"/>
              </w:rPr>
            </w:pPr>
            <w:r>
              <w:rPr>
                <w:rFonts w:hint="eastAsia" w:ascii="宋体" w:hAnsi="宋体" w:eastAsia="宋体" w:cs="宋体"/>
                <w:kern w:val="0"/>
                <w:sz w:val="18"/>
                <w:szCs w:val="18"/>
                <w:lang w:bidi="ar"/>
              </w:rPr>
              <w:t>SO</w:t>
            </w:r>
            <w:r>
              <w:rPr>
                <w:rFonts w:hint="eastAsia" w:ascii="宋体" w:hAnsi="宋体" w:eastAsia="宋体" w:cs="宋体"/>
                <w:kern w:val="0"/>
                <w:sz w:val="18"/>
                <w:szCs w:val="18"/>
                <w:vertAlign w:val="subscript"/>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C5468">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H</w:t>
            </w:r>
            <w:r>
              <w:rPr>
                <w:rFonts w:hint="eastAsia" w:ascii="宋体" w:hAnsi="宋体" w:eastAsia="宋体" w:cs="宋体"/>
                <w:kern w:val="0"/>
                <w:sz w:val="18"/>
                <w:szCs w:val="18"/>
                <w:vertAlign w:val="subscript"/>
                <w:lang w:bidi="ar"/>
              </w:rPr>
              <w:t>2</w:t>
            </w:r>
            <w:r>
              <w:rPr>
                <w:rFonts w:hint="eastAsia" w:ascii="宋体" w:hAnsi="宋体" w:eastAsia="宋体" w:cs="宋体"/>
                <w:kern w:val="0"/>
                <w:sz w:val="18"/>
                <w:szCs w:val="18"/>
                <w:lang w:bidi="ar"/>
              </w:rPr>
              <w:t>O</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32797">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vertAlign w:val="subscript"/>
              </w:rPr>
            </w:pPr>
            <w:r>
              <w:rPr>
                <w:rFonts w:hint="eastAsia" w:ascii="宋体" w:hAnsi="宋体" w:eastAsia="宋体" w:cs="宋体"/>
                <w:kern w:val="0"/>
                <w:sz w:val="18"/>
                <w:szCs w:val="18"/>
                <w:lang w:bidi="ar"/>
              </w:rPr>
              <w:t>O</w:t>
            </w:r>
            <w:r>
              <w:rPr>
                <w:rFonts w:hint="eastAsia" w:ascii="宋体" w:hAnsi="宋体" w:eastAsia="宋体" w:cs="宋体"/>
                <w:kern w:val="0"/>
                <w:sz w:val="18"/>
                <w:szCs w:val="18"/>
                <w:vertAlign w:val="subscript"/>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4AE73">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vertAlign w:val="subscript"/>
              </w:rPr>
            </w:pPr>
            <w:r>
              <w:rPr>
                <w:rFonts w:hint="eastAsia" w:ascii="宋体" w:hAnsi="宋体" w:eastAsia="宋体" w:cs="宋体"/>
                <w:kern w:val="0"/>
                <w:sz w:val="18"/>
                <w:szCs w:val="18"/>
                <w:lang w:bidi="ar"/>
              </w:rPr>
              <w:t>N</w:t>
            </w:r>
            <w:r>
              <w:rPr>
                <w:rFonts w:hint="eastAsia" w:ascii="宋体" w:hAnsi="宋体" w:eastAsia="宋体" w:cs="宋体"/>
                <w:kern w:val="0"/>
                <w:sz w:val="18"/>
                <w:szCs w:val="18"/>
                <w:vertAlign w:val="subscript"/>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4FF2D">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vertAlign w:val="subscript"/>
              </w:rPr>
            </w:pPr>
            <w:r>
              <w:rPr>
                <w:rFonts w:hint="eastAsia" w:ascii="宋体" w:hAnsi="宋体" w:eastAsia="宋体" w:cs="宋体"/>
                <w:kern w:val="0"/>
                <w:sz w:val="18"/>
                <w:szCs w:val="18"/>
                <w:lang w:bidi="ar"/>
              </w:rPr>
              <w:t>SO</w:t>
            </w:r>
            <w:r>
              <w:rPr>
                <w:rFonts w:hint="eastAsia" w:ascii="宋体" w:hAnsi="宋体" w:eastAsia="宋体" w:cs="宋体"/>
                <w:kern w:val="0"/>
                <w:sz w:val="18"/>
                <w:szCs w:val="18"/>
                <w:vertAlign w:val="subscript"/>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956DE">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HCl</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F227E">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HF</w:t>
            </w:r>
          </w:p>
        </w:tc>
        <w:tc>
          <w:tcPr>
            <w:tcW w:w="763" w:type="dxa"/>
            <w:tcBorders>
              <w:top w:val="single" w:color="000000" w:sz="4" w:space="0"/>
              <w:left w:val="single" w:color="000000" w:sz="4" w:space="0"/>
              <w:bottom w:val="single" w:color="000000" w:sz="4" w:space="0"/>
              <w:right w:val="single" w:color="auto" w:sz="4" w:space="0"/>
            </w:tcBorders>
            <w:shd w:val="clear" w:color="auto" w:fill="auto"/>
            <w:vAlign w:val="center"/>
          </w:tcPr>
          <w:p w14:paraId="08A04654">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sz w:val="18"/>
                <w:szCs w:val="18"/>
              </w:rPr>
              <w:t>As</w:t>
            </w:r>
            <w:r>
              <w:rPr>
                <w:rFonts w:hint="eastAsia" w:ascii="宋体" w:hAnsi="宋体" w:eastAsia="宋体" w:cs="宋体"/>
                <w:sz w:val="18"/>
                <w:szCs w:val="18"/>
                <w:vertAlign w:val="subscript"/>
              </w:rPr>
              <w:t>2</w:t>
            </w:r>
            <w:r>
              <w:rPr>
                <w:rFonts w:hint="eastAsia" w:ascii="宋体" w:hAnsi="宋体" w:eastAsia="宋体" w:cs="宋体"/>
                <w:sz w:val="18"/>
                <w:szCs w:val="18"/>
              </w:rPr>
              <w:t>O</w:t>
            </w:r>
            <w:r>
              <w:rPr>
                <w:rFonts w:hint="eastAsia" w:ascii="宋体" w:hAnsi="宋体" w:eastAsia="宋体" w:cs="宋体"/>
                <w:sz w:val="18"/>
                <w:szCs w:val="18"/>
                <w:vertAlign w:val="subscript"/>
              </w:rPr>
              <w:t>3</w:t>
            </w:r>
          </w:p>
        </w:tc>
      </w:tr>
      <w:tr w14:paraId="6E37995D">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64AB">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一级骤冷塔前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EA45">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E0BD">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6854">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C4BD3">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D6CBA">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47.55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33D9">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27034">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D1E70">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0.02</w:t>
            </w:r>
          </w:p>
        </w:tc>
        <w:tc>
          <w:tcPr>
            <w:tcW w:w="76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301D376">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1.21</w:t>
            </w:r>
          </w:p>
        </w:tc>
      </w:tr>
      <w:tr w14:paraId="103F4BF3">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BA45C">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一级骤冷塔后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1747F">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kern w:val="0"/>
                <w:sz w:val="18"/>
                <w:szCs w:val="18"/>
                <w:lang w:bidi="ar"/>
              </w:rPr>
            </w:pPr>
            <w:r>
              <w:rPr>
                <w:rFonts w:hint="eastAsia" w:ascii="宋体" w:hAnsi="宋体" w:eastAsia="宋体" w:cs="宋体"/>
                <w:i w:val="0"/>
                <w:iCs w:val="0"/>
                <w:color w:val="000000"/>
                <w:kern w:val="0"/>
                <w:sz w:val="18"/>
                <w:szCs w:val="18"/>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50443">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0E717">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26.81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160BE">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42FE">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45.87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436B">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7323">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lang w:eastAsia="zh-CN"/>
              </w:rPr>
            </w:pPr>
            <w:r>
              <w:rPr>
                <w:rFonts w:hint="eastAsia" w:ascii="宋体" w:hAnsi="宋体" w:eastAsia="宋体" w:cs="宋体"/>
                <w:i w:val="0"/>
                <w:iCs w:val="0"/>
                <w:color w:val="000000"/>
                <w:kern w:val="0"/>
                <w:sz w:val="18"/>
                <w:szCs w:val="18"/>
                <w:u w:val="none"/>
                <w:lang w:val="en-US" w:eastAsia="zh-CN" w:bidi="ar"/>
              </w:rPr>
              <w:t>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7BE7">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lang w:eastAsia="zh-CN"/>
              </w:rPr>
            </w:pPr>
            <w:r>
              <w:rPr>
                <w:rFonts w:hint="eastAsia" w:ascii="宋体" w:hAnsi="宋体" w:eastAsia="宋体" w:cs="宋体"/>
                <w:i w:val="0"/>
                <w:iCs w:val="0"/>
                <w:color w:val="000000"/>
                <w:kern w:val="0"/>
                <w:sz w:val="18"/>
                <w:szCs w:val="18"/>
                <w:u w:val="none"/>
                <w:lang w:val="en-US" w:eastAsia="zh-CN" w:bidi="ar"/>
              </w:rPr>
              <w:t>0.01</w:t>
            </w:r>
          </w:p>
        </w:tc>
        <w:tc>
          <w:tcPr>
            <w:tcW w:w="76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63FCF9B">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1.13</w:t>
            </w:r>
          </w:p>
        </w:tc>
      </w:tr>
      <w:tr w14:paraId="55933F6B">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BAA8D">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二级骤冷塔前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EC420">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kern w:val="0"/>
                <w:sz w:val="18"/>
                <w:szCs w:val="18"/>
                <w:lang w:bidi="ar"/>
              </w:rPr>
            </w:pPr>
            <w:r>
              <w:rPr>
                <w:rFonts w:hint="eastAsia" w:ascii="宋体" w:hAnsi="宋体" w:eastAsia="宋体" w:cs="宋体"/>
                <w:i w:val="0"/>
                <w:iCs w:val="0"/>
                <w:color w:val="000000"/>
                <w:kern w:val="0"/>
                <w:sz w:val="18"/>
                <w:szCs w:val="18"/>
                <w:u w:val="none"/>
                <w:lang w:val="en-US" w:eastAsia="zh-CN"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EBDB">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20.77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8AFA">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25.65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87922">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0EB2">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47.36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CE01">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20940">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lang w:eastAsia="zh-CN"/>
              </w:rPr>
            </w:pPr>
            <w:r>
              <w:rPr>
                <w:rFonts w:hint="eastAsia" w:ascii="宋体" w:hAnsi="宋体" w:eastAsia="宋体" w:cs="宋体"/>
                <w:i w:val="0"/>
                <w:iCs w:val="0"/>
                <w:color w:val="000000"/>
                <w:kern w:val="0"/>
                <w:sz w:val="18"/>
                <w:szCs w:val="18"/>
                <w:u w:val="none"/>
                <w:lang w:val="en-US" w:eastAsia="zh-CN" w:bidi="ar"/>
              </w:rPr>
              <w:t>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C8BF4">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lang w:eastAsia="zh-CN"/>
              </w:rPr>
            </w:pPr>
            <w:r>
              <w:rPr>
                <w:rFonts w:hint="eastAsia" w:ascii="宋体" w:hAnsi="宋体" w:eastAsia="宋体" w:cs="宋体"/>
                <w:i w:val="0"/>
                <w:iCs w:val="0"/>
                <w:color w:val="000000"/>
                <w:kern w:val="0"/>
                <w:sz w:val="18"/>
                <w:szCs w:val="18"/>
                <w:u w:val="none"/>
                <w:lang w:val="en-US" w:eastAsia="zh-CN" w:bidi="ar"/>
              </w:rPr>
              <w:t>0.01</w:t>
            </w:r>
          </w:p>
        </w:tc>
        <w:tc>
          <w:tcPr>
            <w:tcW w:w="76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5E7EBDD">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1.08</w:t>
            </w:r>
          </w:p>
        </w:tc>
      </w:tr>
      <w:tr w14:paraId="13AAD149">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E499E">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二级骤冷塔后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F25B0">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kern w:val="0"/>
                <w:sz w:val="18"/>
                <w:szCs w:val="18"/>
                <w:lang w:bidi="ar"/>
              </w:rPr>
            </w:pPr>
            <w:r>
              <w:rPr>
                <w:rFonts w:hint="eastAsia" w:ascii="宋体" w:hAnsi="宋体" w:eastAsia="宋体" w:cs="宋体"/>
                <w:i w:val="0"/>
                <w:iCs w:val="0"/>
                <w:color w:val="000000"/>
                <w:kern w:val="0"/>
                <w:sz w:val="18"/>
                <w:szCs w:val="18"/>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B07E8">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19.05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266DE">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6BAEF">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16049">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6676">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Style w:val="42"/>
                <w:rFonts w:hint="eastAsia" w:ascii="宋体" w:hAnsi="宋体" w:eastAsia="宋体" w:cs="宋体"/>
                <w:sz w:val="18"/>
                <w:szCs w:val="18"/>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96295">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lang w:eastAsia="zh-CN"/>
              </w:rPr>
            </w:pPr>
            <w:r>
              <w:rPr>
                <w:rFonts w:hint="eastAsia" w:ascii="宋体" w:hAnsi="宋体" w:eastAsia="宋体" w:cs="宋体"/>
                <w:i w:val="0"/>
                <w:iCs w:val="0"/>
                <w:color w:val="000000"/>
                <w:kern w:val="0"/>
                <w:sz w:val="18"/>
                <w:szCs w:val="18"/>
                <w:u w:val="none"/>
                <w:lang w:val="en-US" w:eastAsia="zh-CN" w:bidi="ar"/>
              </w:rPr>
              <w:t>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E497">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lang w:eastAsia="zh-CN"/>
              </w:rPr>
            </w:pPr>
            <w:r>
              <w:rPr>
                <w:rFonts w:hint="eastAsia" w:ascii="宋体" w:hAnsi="宋体" w:eastAsia="宋体" w:cs="宋体"/>
                <w:i w:val="0"/>
                <w:iCs w:val="0"/>
                <w:color w:val="000000"/>
                <w:kern w:val="0"/>
                <w:sz w:val="18"/>
                <w:szCs w:val="18"/>
                <w:u w:val="none"/>
                <w:lang w:val="en-US" w:eastAsia="zh-CN" w:bidi="ar"/>
              </w:rPr>
              <w:t>0.01</w:t>
            </w:r>
          </w:p>
        </w:tc>
        <w:tc>
          <w:tcPr>
            <w:tcW w:w="76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36DE6AB">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0.99</w:t>
            </w:r>
          </w:p>
        </w:tc>
      </w:tr>
      <w:tr w14:paraId="73EC01F6">
        <w:tblPrEx>
          <w:tblCellMar>
            <w:top w:w="0" w:type="dxa"/>
            <w:left w:w="108" w:type="dxa"/>
            <w:bottom w:w="0" w:type="dxa"/>
            <w:right w:w="108" w:type="dxa"/>
          </w:tblCellMar>
        </w:tblPrEx>
        <w:trPr>
          <w:trHeight w:val="0" w:hRule="atLeast"/>
          <w:tblHeader/>
          <w:jc w:val="center"/>
        </w:trPr>
        <w:tc>
          <w:tcPr>
            <w:tcW w:w="1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ECC3E">
            <w:pPr>
              <w:pageBreakBefore w:val="0"/>
              <w:widowControl/>
              <w:kinsoku/>
              <w:wordWrap/>
              <w:overflowPunct/>
              <w:topLinePunct w:val="0"/>
              <w:autoSpaceDE/>
              <w:autoSpaceDN/>
              <w:bidi w:val="0"/>
              <w:snapToGrid w:val="0"/>
              <w:spacing w:line="400" w:lineRule="exact"/>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布袋后</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70772">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kern w:val="0"/>
                <w:sz w:val="18"/>
                <w:szCs w:val="18"/>
                <w:lang w:bidi="ar"/>
              </w:rPr>
            </w:pPr>
            <w:r>
              <w:rPr>
                <w:rFonts w:hint="eastAsia" w:ascii="宋体" w:hAnsi="宋体" w:eastAsia="宋体" w:cs="宋体"/>
                <w:i w:val="0"/>
                <w:iCs w:val="0"/>
                <w:color w:val="000000"/>
                <w:kern w:val="0"/>
                <w:sz w:val="18"/>
                <w:szCs w:val="18"/>
                <w:u w:val="none"/>
                <w:lang w:val="en-US" w:eastAsia="zh-CN" w:bidi="ar"/>
              </w:rPr>
              <w:t>1.78</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905A">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18.68</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D7A6A">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29.6</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CBD03">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3.64</w:t>
            </w: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E6D0B">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46.25</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E182">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Style w:val="42"/>
                <w:rFonts w:hint="eastAsia" w:ascii="宋体" w:hAnsi="宋体" w:eastAsia="宋体" w:cs="宋体"/>
                <w:sz w:val="18"/>
                <w:szCs w:val="18"/>
                <w:lang w:val="en-US" w:eastAsia="zh-CN" w:bidi="ar"/>
              </w:rPr>
              <w:t>——</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C740">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0.03</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65B9">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lang w:eastAsia="zh-CN"/>
              </w:rPr>
            </w:pPr>
            <w:r>
              <w:rPr>
                <w:rFonts w:hint="eastAsia" w:ascii="宋体" w:hAnsi="宋体" w:eastAsia="宋体" w:cs="宋体"/>
                <w:i w:val="0"/>
                <w:iCs w:val="0"/>
                <w:color w:val="000000"/>
                <w:kern w:val="0"/>
                <w:sz w:val="18"/>
                <w:szCs w:val="18"/>
                <w:u w:val="none"/>
                <w:lang w:val="en-US" w:eastAsia="zh-CN" w:bidi="ar"/>
              </w:rPr>
              <w:t>0.01</w:t>
            </w:r>
          </w:p>
        </w:tc>
        <w:tc>
          <w:tcPr>
            <w:tcW w:w="76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90BD140">
            <w:pPr>
              <w:keepNext w:val="0"/>
              <w:keepLines w:val="0"/>
              <w:pageBreakBefore w:val="0"/>
              <w:widowControl/>
              <w:suppressLineNumbers w:val="0"/>
              <w:kinsoku/>
              <w:wordWrap/>
              <w:overflowPunct/>
              <w:topLinePunct w:val="0"/>
              <w:autoSpaceDE/>
              <w:autoSpaceDN/>
              <w:bidi w:val="0"/>
              <w:snapToGrid w:val="0"/>
              <w:spacing w:line="400" w:lineRule="exact"/>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0.01</w:t>
            </w:r>
          </w:p>
        </w:tc>
      </w:tr>
    </w:tbl>
    <w:p w14:paraId="7F4D25E2">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在</w:t>
      </w:r>
      <w:r>
        <w:rPr>
          <w:rFonts w:hint="eastAsia" w:ascii="宋体" w:hAnsi="宋体" w:eastAsia="宋体" w:cs="宋体"/>
          <w:sz w:val="21"/>
          <w:szCs w:val="21"/>
          <w:lang w:val="en-US" w:eastAsia="zh-CN"/>
        </w:rPr>
        <w:t>一级</w:t>
      </w:r>
      <w:r>
        <w:rPr>
          <w:rFonts w:hint="eastAsia" w:ascii="宋体" w:hAnsi="宋体" w:eastAsia="宋体" w:cs="宋体"/>
          <w:sz w:val="21"/>
          <w:szCs w:val="21"/>
        </w:rPr>
        <w:t>骤冷塔</w:t>
      </w:r>
      <w:r>
        <w:rPr>
          <w:rFonts w:hint="eastAsia" w:ascii="宋体" w:hAnsi="宋体" w:eastAsia="宋体" w:cs="宋体"/>
          <w:sz w:val="21"/>
          <w:szCs w:val="21"/>
          <w:lang w:val="en-US" w:eastAsia="zh-CN"/>
        </w:rPr>
        <w:t>进口</w:t>
      </w:r>
      <w:r>
        <w:rPr>
          <w:rFonts w:hint="eastAsia" w:ascii="宋体" w:hAnsi="宋体" w:eastAsia="宋体" w:cs="宋体"/>
          <w:sz w:val="21"/>
          <w:szCs w:val="21"/>
        </w:rPr>
        <w:t>前</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因直升烟道和锅炉</w:t>
      </w:r>
      <w:r>
        <w:rPr>
          <w:rFonts w:hint="eastAsia" w:ascii="宋体" w:hAnsi="宋体" w:eastAsia="宋体" w:cs="宋体"/>
          <w:sz w:val="21"/>
          <w:szCs w:val="21"/>
        </w:rPr>
        <w:t>漏风</w:t>
      </w:r>
      <w:r>
        <w:rPr>
          <w:rFonts w:hint="eastAsia" w:ascii="宋体" w:hAnsi="宋体" w:eastAsia="宋体" w:cs="宋体"/>
          <w:sz w:val="21"/>
          <w:szCs w:val="21"/>
          <w:lang w:val="en-US" w:eastAsia="zh-CN"/>
        </w:rPr>
        <w:t>导致一级骤冷塔前</w:t>
      </w:r>
      <w:r>
        <w:rPr>
          <w:rFonts w:hint="eastAsia" w:ascii="宋体" w:hAnsi="宋体" w:eastAsia="宋体" w:cs="宋体"/>
          <w:sz w:val="21"/>
          <w:szCs w:val="21"/>
        </w:rPr>
        <w:t>烟气</w:t>
      </w:r>
      <w:r>
        <w:rPr>
          <w:rFonts w:hint="eastAsia" w:ascii="宋体" w:hAnsi="宋体" w:eastAsia="宋体" w:cs="宋体"/>
          <w:sz w:val="21"/>
          <w:szCs w:val="21"/>
          <w:lang w:val="en-US" w:eastAsia="zh-CN"/>
        </w:rPr>
        <w:t>中三氧化硫含量较高</w:t>
      </w:r>
      <w:r>
        <w:rPr>
          <w:rFonts w:hint="eastAsia" w:ascii="宋体" w:hAnsi="宋体" w:eastAsia="宋体" w:cs="宋体"/>
          <w:sz w:val="21"/>
          <w:szCs w:val="21"/>
        </w:rPr>
        <w:t>，在</w:t>
      </w:r>
      <w:r>
        <w:rPr>
          <w:rFonts w:hint="eastAsia" w:ascii="宋体" w:hAnsi="宋体" w:eastAsia="宋体" w:cs="宋体"/>
          <w:sz w:val="21"/>
          <w:szCs w:val="21"/>
          <w:lang w:val="en-US" w:eastAsia="zh-CN"/>
        </w:rPr>
        <w:t>一级</w:t>
      </w:r>
      <w:r>
        <w:rPr>
          <w:rFonts w:hint="eastAsia" w:ascii="宋体" w:hAnsi="宋体" w:eastAsia="宋体" w:cs="宋体"/>
          <w:sz w:val="21"/>
          <w:szCs w:val="21"/>
        </w:rPr>
        <w:t>骤冷塔</w:t>
      </w:r>
      <w:r>
        <w:rPr>
          <w:rFonts w:hint="eastAsia" w:ascii="宋体" w:hAnsi="宋体" w:eastAsia="宋体" w:cs="宋体"/>
          <w:sz w:val="21"/>
          <w:szCs w:val="21"/>
          <w:lang w:val="en-US" w:eastAsia="zh-CN"/>
        </w:rPr>
        <w:t>中</w:t>
      </w:r>
      <w:r>
        <w:rPr>
          <w:rFonts w:hint="eastAsia" w:ascii="宋体" w:hAnsi="宋体" w:eastAsia="宋体" w:cs="宋体"/>
          <w:sz w:val="21"/>
          <w:szCs w:val="21"/>
        </w:rPr>
        <w:t>喷入了药剂，</w:t>
      </w:r>
      <w:r>
        <w:rPr>
          <w:rFonts w:hint="eastAsia" w:ascii="宋体" w:hAnsi="宋体" w:eastAsia="宋体" w:cs="宋体"/>
          <w:sz w:val="21"/>
          <w:szCs w:val="21"/>
          <w:lang w:val="en-US" w:eastAsia="zh-CN"/>
        </w:rPr>
        <w:t>与</w:t>
      </w:r>
      <w:r>
        <w:rPr>
          <w:rFonts w:hint="eastAsia" w:ascii="宋体" w:hAnsi="宋体" w:eastAsia="宋体" w:cs="宋体"/>
          <w:sz w:val="21"/>
          <w:szCs w:val="21"/>
        </w:rPr>
        <w:t>烟气中三氧化硫发生了中和反应，</w:t>
      </w:r>
      <w:r>
        <w:rPr>
          <w:rFonts w:hint="eastAsia" w:ascii="宋体" w:hAnsi="宋体" w:eastAsia="宋体" w:cs="宋体"/>
          <w:sz w:val="21"/>
          <w:szCs w:val="21"/>
          <w:lang w:val="en-US" w:eastAsia="zh-CN"/>
        </w:rPr>
        <w:t>烟气中三氧化硫浓度降低</w:t>
      </w:r>
      <w:r>
        <w:rPr>
          <w:rFonts w:hint="eastAsia" w:ascii="宋体" w:hAnsi="宋体" w:eastAsia="宋体" w:cs="宋体"/>
          <w:sz w:val="21"/>
          <w:szCs w:val="21"/>
        </w:rPr>
        <w:t>从而降低</w:t>
      </w:r>
      <w:r>
        <w:rPr>
          <w:rFonts w:hint="eastAsia" w:ascii="宋体" w:hAnsi="宋体" w:eastAsia="宋体" w:cs="宋体"/>
          <w:sz w:val="21"/>
          <w:szCs w:val="21"/>
          <w:lang w:val="en-US" w:eastAsia="zh-CN"/>
        </w:rPr>
        <w:t>一级骤冷塔出口</w:t>
      </w:r>
      <w:r>
        <w:rPr>
          <w:rFonts w:hint="eastAsia" w:ascii="宋体" w:hAnsi="宋体" w:eastAsia="宋体" w:cs="宋体"/>
          <w:sz w:val="21"/>
          <w:szCs w:val="21"/>
        </w:rPr>
        <w:t>烟气露点。</w:t>
      </w:r>
    </w:p>
    <w:p w14:paraId="0251FD4A">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改造前后收砷系统富集的三氧化二砷烟尘中金、银和铜及三氧化二砷含量对比如表2。</w:t>
      </w:r>
    </w:p>
    <w:p w14:paraId="591502E4">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p>
    <w:p w14:paraId="1EC67F27">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p>
    <w:p w14:paraId="3D4B91FE">
      <w:pPr>
        <w:pageBreakBefore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p>
    <w:p w14:paraId="5251CB1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表2  改造前后收砷系统产出粗砷内金、银和铜含量对比</w:t>
      </w:r>
    </w:p>
    <w:tbl>
      <w:tblPr>
        <w:tblStyle w:val="17"/>
        <w:tblW w:w="8997" w:type="dxa"/>
        <w:tblInd w:w="0" w:type="dxa"/>
        <w:tblLayout w:type="fixed"/>
        <w:tblCellMar>
          <w:top w:w="0" w:type="dxa"/>
          <w:left w:w="108" w:type="dxa"/>
          <w:bottom w:w="0" w:type="dxa"/>
          <w:right w:w="108" w:type="dxa"/>
        </w:tblCellMar>
      </w:tblPr>
      <w:tblGrid>
        <w:gridCol w:w="663"/>
        <w:gridCol w:w="621"/>
        <w:gridCol w:w="621"/>
        <w:gridCol w:w="621"/>
        <w:gridCol w:w="621"/>
        <w:gridCol w:w="624"/>
        <w:gridCol w:w="621"/>
        <w:gridCol w:w="621"/>
        <w:gridCol w:w="540"/>
        <w:gridCol w:w="703"/>
        <w:gridCol w:w="559"/>
        <w:gridCol w:w="716"/>
        <w:gridCol w:w="758"/>
        <w:gridCol w:w="708"/>
      </w:tblGrid>
      <w:tr w14:paraId="5D41F380">
        <w:tblPrEx>
          <w:tblCellMar>
            <w:top w:w="0" w:type="dxa"/>
            <w:left w:w="108" w:type="dxa"/>
            <w:bottom w:w="0" w:type="dxa"/>
            <w:right w:w="108" w:type="dxa"/>
          </w:tblCellMar>
        </w:tblPrEx>
        <w:trPr>
          <w:trHeight w:val="349" w:hRule="atLeast"/>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04075">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工况</w:t>
            </w:r>
          </w:p>
        </w:tc>
        <w:tc>
          <w:tcPr>
            <w:tcW w:w="310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1787">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改造前</w:t>
            </w:r>
          </w:p>
        </w:tc>
        <w:tc>
          <w:tcPr>
            <w:tcW w:w="304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0B37">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改造后</w:t>
            </w:r>
          </w:p>
        </w:tc>
        <w:tc>
          <w:tcPr>
            <w:tcW w:w="218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2DD7">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指标优化幅度</w:t>
            </w:r>
          </w:p>
        </w:tc>
      </w:tr>
      <w:tr w14:paraId="4446A486">
        <w:tblPrEx>
          <w:tblCellMar>
            <w:top w:w="0" w:type="dxa"/>
            <w:left w:w="108" w:type="dxa"/>
            <w:bottom w:w="0" w:type="dxa"/>
            <w:right w:w="108" w:type="dxa"/>
          </w:tblCellMar>
        </w:tblPrEx>
        <w:trPr>
          <w:trHeight w:val="679" w:hRule="atLeast"/>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5F90">
            <w:pPr>
              <w:pageBreakBefore w:val="0"/>
              <w:kinsoku/>
              <w:wordWrap/>
              <w:overflowPunct/>
              <w:topLinePunct w:val="0"/>
              <w:autoSpaceDE/>
              <w:autoSpaceDN/>
              <w:bidi w:val="0"/>
              <w:spacing w:line="400" w:lineRule="exact"/>
              <w:jc w:val="center"/>
              <w:rPr>
                <w:rFonts w:hint="eastAsia" w:ascii="宋体" w:hAnsi="宋体" w:eastAsia="宋体" w:cs="宋体"/>
                <w:sz w:val="18"/>
                <w:szCs w:val="18"/>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B17B">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金量(g/t)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AE38">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银量(g/t)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F0AA">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铜量（%）</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374D">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As2O3（%）</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74903">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其他（%）</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F88C">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金量(g/t)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F4BC4">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银量(g/t)</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E29C">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铜量（%）</w:t>
            </w:r>
          </w:p>
        </w:tc>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6BAD">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As2O3（%）</w:t>
            </w:r>
          </w:p>
        </w:tc>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9824">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其他（%）</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5673">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金</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F043">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银</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26F4">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铜</w:t>
            </w:r>
          </w:p>
        </w:tc>
      </w:tr>
      <w:tr w14:paraId="20D174E6">
        <w:tblPrEx>
          <w:tblCellMar>
            <w:top w:w="0" w:type="dxa"/>
            <w:left w:w="108" w:type="dxa"/>
            <w:bottom w:w="0" w:type="dxa"/>
            <w:right w:w="108" w:type="dxa"/>
          </w:tblCellMar>
        </w:tblPrEx>
        <w:trPr>
          <w:trHeight w:val="349"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B28CE">
            <w:pPr>
              <w:pageBreakBefore w:val="0"/>
              <w:widowControl/>
              <w:kinsoku/>
              <w:wordWrap/>
              <w:overflowPunct/>
              <w:topLinePunct w:val="0"/>
              <w:autoSpaceDE/>
              <w:autoSpaceDN/>
              <w:bidi w:val="0"/>
              <w:spacing w:line="400" w:lineRule="exact"/>
              <w:jc w:val="lef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工况1</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43AE1">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0.62</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A345F">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21.74</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C673F">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0.63</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6A4B1">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76.46</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0DBA">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22.91</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14F78">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0.03</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7B43">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4.82</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BC1B">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0.18</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60600">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98.25</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36E07">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1.57</w:t>
            </w:r>
          </w:p>
        </w:tc>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170C2">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95.16%</w:t>
            </w: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0FE00">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77.83%</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8546">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71.43%</w:t>
            </w:r>
          </w:p>
        </w:tc>
      </w:tr>
      <w:tr w14:paraId="6553C65A">
        <w:tblPrEx>
          <w:tblCellMar>
            <w:top w:w="0" w:type="dxa"/>
            <w:left w:w="108" w:type="dxa"/>
            <w:bottom w:w="0" w:type="dxa"/>
            <w:right w:w="108" w:type="dxa"/>
          </w:tblCellMar>
        </w:tblPrEx>
        <w:trPr>
          <w:trHeight w:val="349"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2079">
            <w:pPr>
              <w:pageBreakBefore w:val="0"/>
              <w:widowControl/>
              <w:kinsoku/>
              <w:wordWrap/>
              <w:overflowPunct/>
              <w:topLinePunct w:val="0"/>
              <w:autoSpaceDE/>
              <w:autoSpaceDN/>
              <w:bidi w:val="0"/>
              <w:spacing w:line="400" w:lineRule="exact"/>
              <w:jc w:val="lef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工况2</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D6609">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0.75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2B1C">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22.35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C6E55">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0.75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785F6">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75.58</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74B2">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23.67</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B14C">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0.03</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AD685">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1.63</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D7F1">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0.17</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66BF">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98.65</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FE37">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1.18</w:t>
            </w:r>
          </w:p>
        </w:tc>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BC4BC">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96.00%</w:t>
            </w: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8B75">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92.71%</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91376">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77.33%</w:t>
            </w:r>
          </w:p>
        </w:tc>
      </w:tr>
      <w:tr w14:paraId="4BFDC23A">
        <w:tblPrEx>
          <w:tblCellMar>
            <w:top w:w="0" w:type="dxa"/>
            <w:left w:w="108" w:type="dxa"/>
            <w:bottom w:w="0" w:type="dxa"/>
            <w:right w:w="108" w:type="dxa"/>
          </w:tblCellMar>
        </w:tblPrEx>
        <w:trPr>
          <w:trHeight w:val="349"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16A5E">
            <w:pPr>
              <w:pageBreakBefore w:val="0"/>
              <w:widowControl/>
              <w:kinsoku/>
              <w:wordWrap/>
              <w:overflowPunct/>
              <w:topLinePunct w:val="0"/>
              <w:autoSpaceDE/>
              <w:autoSpaceDN/>
              <w:bidi w:val="0"/>
              <w:spacing w:line="400" w:lineRule="exact"/>
              <w:jc w:val="lef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工况3</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1957">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0.78</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73A4">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30.37</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9B5D9">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0.68</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8D4E9">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72.96</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84564">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26.36</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FB78">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0.04</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7EF5B">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4.15</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5365">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0.17</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BA5B">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98.13</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1FFF">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1.7</w:t>
            </w:r>
          </w:p>
        </w:tc>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B53A8">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94.87%</w:t>
            </w: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916B">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86.34%</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2417">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75.00%</w:t>
            </w:r>
          </w:p>
        </w:tc>
      </w:tr>
      <w:tr w14:paraId="35F706F1">
        <w:tblPrEx>
          <w:tblCellMar>
            <w:top w:w="0" w:type="dxa"/>
            <w:left w:w="108" w:type="dxa"/>
            <w:bottom w:w="0" w:type="dxa"/>
            <w:right w:w="108" w:type="dxa"/>
          </w:tblCellMar>
        </w:tblPrEx>
        <w:trPr>
          <w:trHeight w:val="369"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9128">
            <w:pPr>
              <w:pageBreakBefore w:val="0"/>
              <w:widowControl/>
              <w:kinsoku/>
              <w:wordWrap/>
              <w:overflowPunct/>
              <w:topLinePunct w:val="0"/>
              <w:autoSpaceDE/>
              <w:autoSpaceDN/>
              <w:bidi w:val="0"/>
              <w:spacing w:line="400" w:lineRule="exact"/>
              <w:jc w:val="lef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平均</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1D08A">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 xml:space="preserve">0.72 </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F4FBC">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 xml:space="preserve">24.82 </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3FADE">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 xml:space="preserve">0.69 </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C1257">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 xml:space="preserve">75.00 </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D19F0">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 xml:space="preserve">24.31 </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F65E">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 xml:space="preserve">0.03 </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AC08">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 xml:space="preserve">3.53 </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F8BC">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 xml:space="preserve">0.17 </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224A">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 xml:space="preserve">98.34 </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A3D9">
            <w:pPr>
              <w:pageBreakBefore w:val="0"/>
              <w:widowControl/>
              <w:kinsoku/>
              <w:wordWrap/>
              <w:overflowPunct/>
              <w:topLinePunct w:val="0"/>
              <w:autoSpaceDE/>
              <w:autoSpaceDN/>
              <w:bidi w:val="0"/>
              <w:spacing w:line="400" w:lineRule="exact"/>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 xml:space="preserve">1.48 </w:t>
            </w:r>
          </w:p>
        </w:tc>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5D2B3">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95.35%</w:t>
            </w:r>
          </w:p>
        </w:tc>
        <w:tc>
          <w:tcPr>
            <w:tcW w:w="7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9C561">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85.76%</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7E47">
            <w:pPr>
              <w:pageBreakBefore w:val="0"/>
              <w:widowControl/>
              <w:kinsoku/>
              <w:wordWrap/>
              <w:overflowPunct/>
              <w:topLinePunct w:val="0"/>
              <w:autoSpaceDE/>
              <w:autoSpaceDN/>
              <w:bidi w:val="0"/>
              <w:spacing w:line="400" w:lineRule="exact"/>
              <w:jc w:val="right"/>
              <w:textAlignment w:val="center"/>
              <w:rPr>
                <w:rFonts w:hint="eastAsia" w:ascii="宋体" w:hAnsi="宋体" w:eastAsia="宋体" w:cs="宋体"/>
                <w:sz w:val="18"/>
                <w:szCs w:val="18"/>
              </w:rPr>
            </w:pPr>
            <w:r>
              <w:rPr>
                <w:rFonts w:hint="eastAsia" w:ascii="宋体" w:hAnsi="宋体" w:eastAsia="宋体" w:cs="宋体"/>
                <w:kern w:val="0"/>
                <w:sz w:val="18"/>
                <w:szCs w:val="18"/>
                <w:lang w:bidi="ar"/>
              </w:rPr>
              <w:t>74.76%</w:t>
            </w:r>
          </w:p>
        </w:tc>
      </w:tr>
    </w:tbl>
    <w:p w14:paraId="0060F42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0" w:name="_GoBack"/>
      <w:bookmarkEnd w:id="0"/>
      <w:r>
        <w:rPr>
          <w:rFonts w:hint="eastAsia" w:ascii="宋体" w:hAnsi="宋体" w:eastAsia="宋体" w:cs="宋体"/>
          <w:b/>
          <w:bCs/>
          <w:sz w:val="21"/>
          <w:szCs w:val="21"/>
          <w:lang w:val="en-US" w:eastAsia="zh-CN"/>
        </w:rPr>
        <w:t>4效益分析</w:t>
      </w:r>
    </w:p>
    <w:p w14:paraId="04A8A3DA">
      <w:pPr>
        <w:pageBreakBefore w:val="0"/>
        <w:kinsoku/>
        <w:wordWrap/>
        <w:overflowPunct/>
        <w:topLinePunct w:val="0"/>
        <w:autoSpaceDE/>
        <w:autoSpaceDN/>
        <w:bidi w:val="0"/>
        <w:spacing w:line="400" w:lineRule="exact"/>
        <w:ind w:left="0" w:leftChars="0" w:firstLine="420" w:firstLineChars="200"/>
        <w:rPr>
          <w:rFonts w:hint="eastAsia" w:ascii="宋体" w:hAnsi="宋体" w:eastAsia="宋体" w:cs="宋体"/>
          <w:sz w:val="21"/>
          <w:szCs w:val="21"/>
        </w:rPr>
      </w:pPr>
      <w:r>
        <w:rPr>
          <w:rFonts w:hint="eastAsia" w:ascii="宋体" w:hAnsi="宋体" w:eastAsia="宋体" w:cs="宋体"/>
          <w:sz w:val="21"/>
          <w:szCs w:val="21"/>
        </w:rPr>
        <w:t>以改造前年产10000t的75%纯度粗砷规模的</w:t>
      </w:r>
      <w:r>
        <w:rPr>
          <w:rFonts w:hint="eastAsia" w:ascii="宋体" w:hAnsi="宋体" w:eastAsia="宋体" w:cs="宋体"/>
          <w:sz w:val="21"/>
          <w:szCs w:val="21"/>
          <w:lang w:val="en-US" w:eastAsia="zh-CN"/>
        </w:rPr>
        <w:t>系统</w:t>
      </w:r>
      <w:r>
        <w:rPr>
          <w:rFonts w:hint="eastAsia" w:ascii="宋体" w:hAnsi="宋体" w:eastAsia="宋体" w:cs="宋体"/>
          <w:sz w:val="21"/>
          <w:szCs w:val="21"/>
        </w:rPr>
        <w:t>进行效益核算：</w:t>
      </w:r>
    </w:p>
    <w:p w14:paraId="68EDFC19">
      <w:pPr>
        <w:pageBreakBefore w:val="0"/>
        <w:numPr>
          <w:ilvl w:val="0"/>
          <w:numId w:val="0"/>
        </w:numPr>
        <w:kinsoku/>
        <w:wordWrap/>
        <w:overflowPunct/>
        <w:topLinePunct w:val="0"/>
        <w:autoSpaceDE/>
        <w:autoSpaceDN/>
        <w:bidi w:val="0"/>
        <w:spacing w:line="400" w:lineRule="exact"/>
        <w:ind w:left="0" w:leftChars="0" w:firstLine="420" w:firstLineChars="200"/>
        <w:rPr>
          <w:rFonts w:hint="eastAsia" w:ascii="宋体" w:hAnsi="宋体" w:eastAsia="宋体" w:cs="宋体"/>
          <w:sz w:val="21"/>
          <w:szCs w:val="21"/>
        </w:rPr>
      </w:pPr>
      <w:r>
        <w:rPr>
          <w:rFonts w:hint="eastAsia" w:ascii="宋体" w:hAnsi="宋体" w:eastAsia="宋体" w:cs="宋体"/>
          <w:kern w:val="2"/>
          <w:sz w:val="21"/>
          <w:szCs w:val="21"/>
          <w:lang w:val="en-US" w:eastAsia="zh-CN" w:bidi="ar-SA"/>
        </w:rPr>
        <w:t>1）</w:t>
      </w:r>
      <w:r>
        <w:rPr>
          <w:rFonts w:hint="eastAsia" w:ascii="宋体" w:hAnsi="宋体" w:eastAsia="宋体" w:cs="宋体"/>
          <w:sz w:val="21"/>
          <w:szCs w:val="21"/>
        </w:rPr>
        <w:t>改造后因粗砷纯度由75%提升至98.34%，每年产生的粗砷量为7626.6t，粗砷每年减少2373.4t，每吨粗砷按照目前市场处置费用3</w:t>
      </w:r>
      <w:r>
        <w:rPr>
          <w:rFonts w:hint="eastAsia" w:ascii="宋体" w:hAnsi="宋体" w:eastAsia="宋体" w:cs="宋体"/>
          <w:sz w:val="21"/>
          <w:szCs w:val="21"/>
          <w:lang w:val="en-US" w:eastAsia="zh-CN"/>
        </w:rPr>
        <w:t>0</w:t>
      </w:r>
      <w:r>
        <w:rPr>
          <w:rFonts w:hint="eastAsia" w:ascii="宋体" w:hAnsi="宋体" w:eastAsia="宋体" w:cs="宋体"/>
          <w:sz w:val="21"/>
          <w:szCs w:val="21"/>
        </w:rPr>
        <w:t>00元核算，每年可</w:t>
      </w:r>
      <w:r>
        <w:rPr>
          <w:rFonts w:hint="eastAsia" w:ascii="宋体" w:hAnsi="宋体" w:eastAsia="宋体" w:cs="宋体"/>
          <w:sz w:val="21"/>
          <w:szCs w:val="21"/>
          <w:lang w:val="en-US" w:eastAsia="zh-CN"/>
        </w:rPr>
        <w:t>减少</w:t>
      </w:r>
      <w:r>
        <w:rPr>
          <w:rFonts w:hint="eastAsia" w:ascii="宋体" w:hAnsi="宋体" w:eastAsia="宋体" w:cs="宋体"/>
          <w:sz w:val="21"/>
          <w:szCs w:val="21"/>
        </w:rPr>
        <w:t>粗砷处置费用</w:t>
      </w:r>
      <w:r>
        <w:rPr>
          <w:rFonts w:hint="eastAsia" w:ascii="宋体" w:hAnsi="宋体" w:eastAsia="宋体" w:cs="宋体"/>
          <w:sz w:val="21"/>
          <w:szCs w:val="21"/>
          <w:lang w:val="en-US" w:eastAsia="zh-CN"/>
        </w:rPr>
        <w:t>712.02</w:t>
      </w:r>
      <w:r>
        <w:rPr>
          <w:rFonts w:hint="eastAsia" w:ascii="宋体" w:hAnsi="宋体" w:eastAsia="宋体" w:cs="宋体"/>
          <w:sz w:val="21"/>
          <w:szCs w:val="21"/>
        </w:rPr>
        <w:t>万元。</w:t>
      </w:r>
    </w:p>
    <w:p w14:paraId="12964B49">
      <w:pPr>
        <w:pageBreakBefore w:val="0"/>
        <w:numPr>
          <w:ilvl w:val="0"/>
          <w:numId w:val="0"/>
        </w:numPr>
        <w:kinsoku/>
        <w:wordWrap/>
        <w:overflowPunct/>
        <w:topLinePunct w:val="0"/>
        <w:autoSpaceDE/>
        <w:autoSpaceDN/>
        <w:bidi w:val="0"/>
        <w:spacing w:line="400" w:lineRule="exact"/>
        <w:ind w:left="0" w:leftChars="0" w:firstLine="420" w:firstLineChars="200"/>
        <w:rPr>
          <w:rFonts w:hint="eastAsia" w:ascii="宋体" w:hAnsi="宋体" w:eastAsia="宋体" w:cs="宋体"/>
          <w:sz w:val="21"/>
          <w:szCs w:val="21"/>
        </w:rPr>
      </w:pPr>
      <w:r>
        <w:rPr>
          <w:rFonts w:hint="eastAsia" w:ascii="宋体" w:hAnsi="宋体" w:eastAsia="宋体" w:cs="宋体"/>
          <w:kern w:val="2"/>
          <w:sz w:val="21"/>
          <w:szCs w:val="21"/>
          <w:lang w:val="en-US" w:eastAsia="zh-CN" w:bidi="ar-SA"/>
        </w:rPr>
        <w:t>2）</w:t>
      </w:r>
      <w:r>
        <w:rPr>
          <w:rFonts w:hint="eastAsia" w:ascii="宋体" w:hAnsi="宋体" w:eastAsia="宋体" w:cs="宋体"/>
          <w:sz w:val="21"/>
          <w:szCs w:val="21"/>
        </w:rPr>
        <w:t>改造前粗砷中金金属含量7200g，改造后为228.8g，减少金金属含量6971.2g，按照目前金价400元/g核算，可以减少损失278.848万元。</w:t>
      </w:r>
    </w:p>
    <w:p w14:paraId="5613ED82">
      <w:pPr>
        <w:pageBreakBefore w:val="0"/>
        <w:numPr>
          <w:ilvl w:val="0"/>
          <w:numId w:val="0"/>
        </w:numPr>
        <w:kinsoku/>
        <w:wordWrap/>
        <w:overflowPunct/>
        <w:topLinePunct w:val="0"/>
        <w:autoSpaceDE/>
        <w:autoSpaceDN/>
        <w:bidi w:val="0"/>
        <w:spacing w:line="400" w:lineRule="exact"/>
        <w:ind w:left="0" w:leftChars="0" w:firstLine="420" w:firstLineChars="200"/>
        <w:rPr>
          <w:rFonts w:hint="eastAsia" w:ascii="宋体" w:hAnsi="宋体" w:eastAsia="宋体" w:cs="宋体"/>
          <w:sz w:val="21"/>
          <w:szCs w:val="21"/>
        </w:rPr>
      </w:pPr>
      <w:r>
        <w:rPr>
          <w:rFonts w:hint="eastAsia" w:ascii="宋体" w:hAnsi="宋体" w:eastAsia="宋体" w:cs="宋体"/>
          <w:kern w:val="2"/>
          <w:sz w:val="21"/>
          <w:szCs w:val="21"/>
          <w:lang w:val="en-US" w:eastAsia="zh-CN" w:bidi="ar-SA"/>
        </w:rPr>
        <w:t>3）</w:t>
      </w:r>
      <w:r>
        <w:rPr>
          <w:rFonts w:hint="eastAsia" w:ascii="宋体" w:hAnsi="宋体" w:eastAsia="宋体" w:cs="宋体"/>
          <w:sz w:val="21"/>
          <w:szCs w:val="21"/>
        </w:rPr>
        <w:t>改造前粗砷中银金属含量248200g，改造后为26922g，减少银金属含量221278g，按照目前银价5.0元/g核算，可以减少损失110.639万元。</w:t>
      </w:r>
    </w:p>
    <w:p w14:paraId="17815835">
      <w:pPr>
        <w:pageBreakBefore w:val="0"/>
        <w:kinsoku/>
        <w:wordWrap/>
        <w:overflowPunct/>
        <w:topLinePunct w:val="0"/>
        <w:autoSpaceDE/>
        <w:autoSpaceDN/>
        <w:bidi w:val="0"/>
        <w:spacing w:line="400" w:lineRule="exact"/>
        <w:ind w:left="0" w:leftChars="0" w:firstLine="420" w:firstLineChars="200"/>
        <w:rPr>
          <w:rFonts w:hint="eastAsia" w:ascii="宋体" w:hAnsi="宋体" w:eastAsia="宋体" w:cs="宋体"/>
          <w:sz w:val="21"/>
          <w:szCs w:val="21"/>
        </w:rPr>
      </w:pPr>
      <w:r>
        <w:rPr>
          <w:rFonts w:hint="eastAsia" w:ascii="宋体" w:hAnsi="宋体" w:eastAsia="宋体" w:cs="宋体"/>
          <w:sz w:val="21"/>
          <w:szCs w:val="21"/>
        </w:rPr>
        <w:t>不考虑其他效益，仅此三项共计每年即可</w:t>
      </w:r>
      <w:r>
        <w:rPr>
          <w:rFonts w:hint="eastAsia" w:ascii="宋体" w:hAnsi="宋体" w:eastAsia="宋体" w:cs="宋体"/>
          <w:sz w:val="21"/>
          <w:szCs w:val="21"/>
          <w:lang w:val="en-US" w:eastAsia="zh-CN"/>
        </w:rPr>
        <w:t>创造效益1101.507</w:t>
      </w:r>
      <w:r>
        <w:rPr>
          <w:rFonts w:hint="eastAsia" w:ascii="宋体" w:hAnsi="宋体" w:eastAsia="宋体" w:cs="宋体"/>
          <w:sz w:val="21"/>
          <w:szCs w:val="21"/>
        </w:rPr>
        <w:t>万元。</w:t>
      </w:r>
    </w:p>
    <w:p w14:paraId="150FB0D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5结论</w:t>
      </w:r>
    </w:p>
    <w:p w14:paraId="05BACE2D">
      <w:pPr>
        <w:pageBreakBefore w:val="0"/>
        <w:kinsoku/>
        <w:wordWrap/>
        <w:overflowPunct/>
        <w:topLinePunct w:val="0"/>
        <w:autoSpaceDE/>
        <w:autoSpaceDN/>
        <w:bidi w:val="0"/>
        <w:spacing w:line="400" w:lineRule="exact"/>
        <w:ind w:firstLine="420" w:firstLineChars="200"/>
        <w:rPr>
          <w:rFonts w:hint="eastAsia"/>
          <w:lang w:val="en-US" w:eastAsia="zh-CN"/>
        </w:rPr>
      </w:pPr>
      <w:r>
        <w:rPr>
          <w:rFonts w:hint="eastAsia" w:ascii="宋体" w:hAnsi="宋体" w:eastAsia="宋体" w:cs="宋体"/>
          <w:sz w:val="21"/>
          <w:szCs w:val="21"/>
        </w:rPr>
        <w:t>有色冶炼含砷烟气分级处理新工艺，可有效解决目前铜冶炼行业处理含砷烟气干法收砷粗砷品位较低、有价金属含量高的问题，同时也可解决余热锅炉结焦、电除尘器效率低下和设备腐蚀等问题，提高了设备的使用寿命，</w:t>
      </w:r>
      <w:r>
        <w:rPr>
          <w:rFonts w:hint="eastAsia" w:ascii="宋体" w:hAnsi="宋体" w:eastAsia="宋体" w:cs="宋体"/>
          <w:sz w:val="21"/>
          <w:szCs w:val="21"/>
          <w:lang w:val="en-US" w:eastAsia="zh-CN"/>
        </w:rPr>
        <w:t>稳定</w:t>
      </w:r>
      <w:r>
        <w:rPr>
          <w:rFonts w:hint="eastAsia" w:ascii="宋体" w:hAnsi="宋体" w:eastAsia="宋体" w:cs="宋体"/>
          <w:sz w:val="21"/>
          <w:szCs w:val="21"/>
        </w:rPr>
        <w:t>后续制酸及污水处理工段的</w:t>
      </w:r>
      <w:r>
        <w:rPr>
          <w:rFonts w:hint="eastAsia" w:ascii="宋体" w:hAnsi="宋体" w:eastAsia="宋体" w:cs="宋体"/>
          <w:sz w:val="21"/>
          <w:szCs w:val="21"/>
          <w:lang w:val="en-US" w:eastAsia="zh-CN"/>
        </w:rPr>
        <w:t>运行</w:t>
      </w:r>
      <w:r>
        <w:rPr>
          <w:rFonts w:hint="eastAsia" w:ascii="宋体" w:hAnsi="宋体" w:eastAsia="宋体" w:cs="宋体"/>
          <w:sz w:val="21"/>
          <w:szCs w:val="21"/>
        </w:rPr>
        <w:t>，大幅降低收砷系统粗砷产量及相应的处置费用，更利于砷的资源化</w:t>
      </w:r>
      <w:r>
        <w:rPr>
          <w:rFonts w:hint="eastAsia" w:ascii="宋体" w:hAnsi="宋体" w:eastAsia="宋体" w:cs="宋体"/>
          <w:sz w:val="21"/>
          <w:szCs w:val="21"/>
          <w:lang w:val="en-US" w:eastAsia="zh-CN"/>
        </w:rPr>
        <w:t>回收</w:t>
      </w:r>
      <w:r>
        <w:rPr>
          <w:rFonts w:hint="eastAsia" w:ascii="宋体" w:hAnsi="宋体" w:eastAsia="宋体" w:cs="宋体"/>
          <w:sz w:val="21"/>
          <w:szCs w:val="21"/>
        </w:rPr>
        <w:t>利用</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在危废资源化减量化方面有</w:t>
      </w:r>
      <w:r>
        <w:rPr>
          <w:rFonts w:hint="eastAsia" w:ascii="宋体" w:hAnsi="宋体" w:eastAsia="宋体" w:cs="宋体"/>
          <w:sz w:val="21"/>
          <w:szCs w:val="21"/>
        </w:rPr>
        <w:t>较好的推广意义，</w:t>
      </w:r>
      <w:r>
        <w:rPr>
          <w:rFonts w:hint="eastAsia" w:ascii="宋体" w:hAnsi="宋体" w:eastAsia="宋体" w:cs="宋体"/>
          <w:sz w:val="21"/>
          <w:szCs w:val="21"/>
          <w:lang w:val="en-US" w:eastAsia="zh-CN"/>
        </w:rPr>
        <w:t>同时</w:t>
      </w:r>
      <w:r>
        <w:rPr>
          <w:rFonts w:hint="eastAsia" w:ascii="宋体" w:hAnsi="宋体" w:eastAsia="宋体" w:cs="宋体"/>
          <w:sz w:val="21"/>
          <w:szCs w:val="21"/>
        </w:rPr>
        <w:t>有效提高企业的经济效益。</w:t>
      </w:r>
      <w:r>
        <w:rPr>
          <w:rFonts w:hint="eastAsia"/>
          <w:color w:val="FFFFFF" w:themeColor="background1"/>
          <w:sz w:val="24"/>
          <w14:textFill>
            <w14:solidFill>
              <w14:schemeClr w14:val="bg1"/>
            </w14:solidFill>
          </w14:textFill>
        </w:rPr>
        <w:t>介：</w:t>
      </w:r>
      <w:r>
        <w:rPr>
          <w:rFonts w:hint="eastAsia" w:ascii="楷体" w:hAnsi="楷体" w:eastAsia="楷体" w:cs="楷体"/>
          <w:color w:val="FFFFFF" w:themeColor="background1"/>
          <w:sz w:val="30"/>
          <w:szCs w:val="30"/>
          <w14:textFill>
            <w14:solidFill>
              <w14:schemeClr w14:val="bg1"/>
            </w14:solidFill>
          </w14:textFill>
        </w:rPr>
        <w:t>苏江峰，男，1990年09月，河南灵宝人，工程师，大学本科，主要从事有色冶炼烟气处理及生产技术管理工作，现任国投金城冶金有限责任</w:t>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7A5887"/>
    <w:rsid w:val="08BA0844"/>
    <w:rsid w:val="091A7E4E"/>
    <w:rsid w:val="09931095"/>
    <w:rsid w:val="09D37E32"/>
    <w:rsid w:val="09F00295"/>
    <w:rsid w:val="0A4B20AA"/>
    <w:rsid w:val="0AC3556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AD6EE0"/>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5CE3E83"/>
    <w:rsid w:val="16132CB9"/>
    <w:rsid w:val="16846935"/>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EF056A"/>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0A4A78"/>
    <w:rsid w:val="29F55569"/>
    <w:rsid w:val="2A6D1762"/>
    <w:rsid w:val="2A9C2048"/>
    <w:rsid w:val="2AF37C49"/>
    <w:rsid w:val="2C1A3224"/>
    <w:rsid w:val="2C5F332D"/>
    <w:rsid w:val="2CDC497D"/>
    <w:rsid w:val="2DA03BFD"/>
    <w:rsid w:val="2DA336ED"/>
    <w:rsid w:val="2DD45655"/>
    <w:rsid w:val="2DF45CF7"/>
    <w:rsid w:val="2E7221A8"/>
    <w:rsid w:val="2EC67693"/>
    <w:rsid w:val="2EE30245"/>
    <w:rsid w:val="2F087CAC"/>
    <w:rsid w:val="2F0E4B96"/>
    <w:rsid w:val="2F1A353B"/>
    <w:rsid w:val="2F1F6DA3"/>
    <w:rsid w:val="2F397E65"/>
    <w:rsid w:val="2F620882"/>
    <w:rsid w:val="2F633134"/>
    <w:rsid w:val="2F882B9B"/>
    <w:rsid w:val="2FA86D99"/>
    <w:rsid w:val="301F409E"/>
    <w:rsid w:val="312F3756"/>
    <w:rsid w:val="31496359"/>
    <w:rsid w:val="315E0057"/>
    <w:rsid w:val="31741628"/>
    <w:rsid w:val="318D4498"/>
    <w:rsid w:val="3199108F"/>
    <w:rsid w:val="319F16AA"/>
    <w:rsid w:val="31CC4FC0"/>
    <w:rsid w:val="31F167D5"/>
    <w:rsid w:val="3216448E"/>
    <w:rsid w:val="321D581C"/>
    <w:rsid w:val="323963CE"/>
    <w:rsid w:val="3273368E"/>
    <w:rsid w:val="32963820"/>
    <w:rsid w:val="32E20814"/>
    <w:rsid w:val="337771AE"/>
    <w:rsid w:val="33F94067"/>
    <w:rsid w:val="34164C19"/>
    <w:rsid w:val="34480B4A"/>
    <w:rsid w:val="34821AD6"/>
    <w:rsid w:val="3578720D"/>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1447D4"/>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4ED5E27"/>
    <w:rsid w:val="44F75334"/>
    <w:rsid w:val="45554E75"/>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8648C"/>
    <w:rsid w:val="54AF45A2"/>
    <w:rsid w:val="54C142D5"/>
    <w:rsid w:val="55254864"/>
    <w:rsid w:val="553C395C"/>
    <w:rsid w:val="55BA1450"/>
    <w:rsid w:val="56037691"/>
    <w:rsid w:val="56083D8A"/>
    <w:rsid w:val="56135E24"/>
    <w:rsid w:val="564017AC"/>
    <w:rsid w:val="567B0721"/>
    <w:rsid w:val="56861332"/>
    <w:rsid w:val="56F97D56"/>
    <w:rsid w:val="57081D47"/>
    <w:rsid w:val="57E97DCB"/>
    <w:rsid w:val="57EF1159"/>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817FC"/>
    <w:rsid w:val="5EDA046D"/>
    <w:rsid w:val="5EE237C6"/>
    <w:rsid w:val="5EFF7ED4"/>
    <w:rsid w:val="5F7679C4"/>
    <w:rsid w:val="5F7F2DC3"/>
    <w:rsid w:val="5FBF1411"/>
    <w:rsid w:val="601A09BC"/>
    <w:rsid w:val="60395667"/>
    <w:rsid w:val="60AA0313"/>
    <w:rsid w:val="610D33E8"/>
    <w:rsid w:val="615E35D8"/>
    <w:rsid w:val="619568CD"/>
    <w:rsid w:val="61E67129"/>
    <w:rsid w:val="61F555BE"/>
    <w:rsid w:val="621A5025"/>
    <w:rsid w:val="62CC27C3"/>
    <w:rsid w:val="635A7DCF"/>
    <w:rsid w:val="637D586B"/>
    <w:rsid w:val="63872EA4"/>
    <w:rsid w:val="63F26259"/>
    <w:rsid w:val="64061D04"/>
    <w:rsid w:val="640A365A"/>
    <w:rsid w:val="640E2967"/>
    <w:rsid w:val="64754794"/>
    <w:rsid w:val="64FD7B2B"/>
    <w:rsid w:val="657B402C"/>
    <w:rsid w:val="65850114"/>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55BE9"/>
    <w:rsid w:val="6CDF30F3"/>
    <w:rsid w:val="6CE34991"/>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86F45"/>
    <w:rsid w:val="78C94F9D"/>
    <w:rsid w:val="78FD502C"/>
    <w:rsid w:val="790A7749"/>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2">
    <w:name w:val="heading 2"/>
    <w:basedOn w:val="1"/>
    <w:next w:val="1"/>
    <w:link w:val="25"/>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6"/>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7"/>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30"/>
    <w:autoRedefine/>
    <w:unhideWhenUsed/>
    <w:qFormat/>
    <w:uiPriority w:val="99"/>
    <w:pPr>
      <w:tabs>
        <w:tab w:val="center" w:pos="4153"/>
        <w:tab w:val="right" w:pos="8306"/>
      </w:tabs>
      <w:snapToGrid w:val="0"/>
      <w:jc w:val="left"/>
    </w:pPr>
    <w:rPr>
      <w:sz w:val="18"/>
      <w:szCs w:val="18"/>
    </w:rPr>
  </w:style>
  <w:style w:type="paragraph" w:styleId="11">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2"/>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link w:val="28"/>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Emphasis"/>
    <w:basedOn w:val="19"/>
    <w:qFormat/>
    <w:uiPriority w:val="0"/>
    <w:rPr>
      <w:i/>
    </w:rPr>
  </w:style>
  <w:style w:type="character" w:styleId="22">
    <w:name w:val="Hyperlink"/>
    <w:basedOn w:val="19"/>
    <w:qFormat/>
    <w:uiPriority w:val="0"/>
    <w:rPr>
      <w:color w:val="0000FF"/>
      <w:u w:val="single"/>
    </w:rPr>
  </w:style>
  <w:style w:type="paragraph" w:customStyle="1" w:styleId="23">
    <w:name w:val="0正文"/>
    <w:basedOn w:val="1"/>
    <w:qFormat/>
    <w:uiPriority w:val="0"/>
    <w:pPr>
      <w:ind w:firstLine="480" w:firstLineChars="200"/>
    </w:pPr>
  </w:style>
  <w:style w:type="character" w:customStyle="1" w:styleId="24">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5">
    <w:name w:val="标题 2 字符1"/>
    <w:link w:val="2"/>
    <w:autoRedefine/>
    <w:qFormat/>
    <w:uiPriority w:val="9"/>
    <w:rPr>
      <w:rFonts w:ascii="宋体" w:hAnsi="宋体" w:eastAsia="宋体" w:cs="宋体"/>
      <w:b/>
      <w:bCs/>
      <w:kern w:val="0"/>
      <w:sz w:val="28"/>
      <w:szCs w:val="28"/>
    </w:rPr>
  </w:style>
  <w:style w:type="character" w:customStyle="1" w:styleId="26">
    <w:name w:val="标题 3 字符"/>
    <w:basedOn w:val="19"/>
    <w:link w:val="4"/>
    <w:autoRedefine/>
    <w:semiHidden/>
    <w:qFormat/>
    <w:uiPriority w:val="9"/>
    <w:rPr>
      <w:b/>
      <w:bCs/>
      <w:sz w:val="32"/>
      <w:szCs w:val="32"/>
    </w:rPr>
  </w:style>
  <w:style w:type="character" w:customStyle="1" w:styleId="27">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8">
    <w:name w:val="标题 字符"/>
    <w:basedOn w:val="19"/>
    <w:link w:val="14"/>
    <w:autoRedefine/>
    <w:qFormat/>
    <w:uiPriority w:val="10"/>
    <w:rPr>
      <w:rFonts w:ascii="黑体" w:hAnsi="黑体" w:eastAsia="黑体" w:cs="黑体"/>
      <w:b/>
      <w:bCs/>
      <w:sz w:val="24"/>
      <w:szCs w:val="24"/>
    </w:rPr>
  </w:style>
  <w:style w:type="character" w:customStyle="1" w:styleId="29">
    <w:name w:val="页眉 字符"/>
    <w:basedOn w:val="19"/>
    <w:link w:val="11"/>
    <w:autoRedefine/>
    <w:qFormat/>
    <w:uiPriority w:val="99"/>
    <w:rPr>
      <w:sz w:val="18"/>
      <w:szCs w:val="18"/>
    </w:rPr>
  </w:style>
  <w:style w:type="character" w:customStyle="1" w:styleId="30">
    <w:name w:val="页脚 字符"/>
    <w:basedOn w:val="19"/>
    <w:link w:val="10"/>
    <w:autoRedefine/>
    <w:qFormat/>
    <w:uiPriority w:val="99"/>
    <w:rPr>
      <w:sz w:val="18"/>
      <w:szCs w:val="18"/>
    </w:rPr>
  </w:style>
  <w:style w:type="character" w:customStyle="1" w:styleId="31">
    <w:name w:val="标题 1 字符"/>
    <w:basedOn w:val="19"/>
    <w:link w:val="3"/>
    <w:autoRedefine/>
    <w:qFormat/>
    <w:uiPriority w:val="0"/>
    <w:rPr>
      <w:rFonts w:ascii="Calibri" w:hAnsi="Calibri" w:eastAsia="宋体" w:cs="Times New Roman"/>
      <w:b/>
      <w:bCs/>
      <w:kern w:val="44"/>
      <w:sz w:val="44"/>
      <w:szCs w:val="44"/>
    </w:rPr>
  </w:style>
  <w:style w:type="character" w:customStyle="1" w:styleId="32">
    <w:name w:val="副标题 字符"/>
    <w:basedOn w:val="19"/>
    <w:link w:val="12"/>
    <w:autoRedefine/>
    <w:qFormat/>
    <w:uiPriority w:val="0"/>
    <w:rPr>
      <w:rFonts w:ascii="Calibri" w:hAnsi="Calibri" w:eastAsia="楷体" w:cs="Times New Roman"/>
      <w:b/>
      <w:bCs/>
      <w:kern w:val="28"/>
      <w:szCs w:val="32"/>
    </w:rPr>
  </w:style>
  <w:style w:type="paragraph" w:styleId="33">
    <w:name w:val="List Paragraph"/>
    <w:basedOn w:val="1"/>
    <w:autoRedefine/>
    <w:qFormat/>
    <w:uiPriority w:val="34"/>
    <w:pPr>
      <w:ind w:firstLine="420" w:firstLineChars="200"/>
    </w:pPr>
  </w:style>
  <w:style w:type="paragraph" w:customStyle="1" w:styleId="34">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6">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7">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8">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9">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40">
    <w:name w:val="font21"/>
    <w:basedOn w:val="19"/>
    <w:qFormat/>
    <w:uiPriority w:val="0"/>
    <w:rPr>
      <w:rFonts w:hint="eastAsia" w:ascii="华文楷体" w:hAnsi="华文楷体" w:eastAsia="华文楷体" w:cs="华文楷体"/>
      <w:color w:val="000000"/>
      <w:sz w:val="22"/>
      <w:szCs w:val="22"/>
      <w:u w:val="none"/>
    </w:rPr>
  </w:style>
  <w:style w:type="character" w:customStyle="1" w:styleId="41">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2">
    <w:name w:val="font11"/>
    <w:basedOn w:val="19"/>
    <w:qFormat/>
    <w:uiPriority w:val="0"/>
    <w:rPr>
      <w:rFonts w:hint="eastAsia" w:ascii="华文楷体" w:hAnsi="华文楷体" w:eastAsia="华文楷体" w:cs="华文楷体"/>
      <w:color w:val="000000"/>
      <w:sz w:val="22"/>
      <w:szCs w:val="22"/>
      <w:u w:val="none"/>
    </w:rPr>
  </w:style>
  <w:style w:type="paragraph" w:customStyle="1" w:styleId="43">
    <w:name w:val="EndNote Bibliography"/>
    <w:basedOn w:val="1"/>
    <w:autoRedefine/>
    <w:qFormat/>
    <w:uiPriority w:val="0"/>
    <w:pPr>
      <w:ind w:firstLine="200" w:firstLineChars="200"/>
      <w:jc w:val="left"/>
    </w:pPr>
    <w:rPr>
      <w:sz w:val="20"/>
    </w:rPr>
  </w:style>
  <w:style w:type="paragraph" w:customStyle="1" w:styleId="44">
    <w:name w:val="列出段落1"/>
    <w:basedOn w:val="1"/>
    <w:qFormat/>
    <w:uiPriority w:val="34"/>
    <w:pPr>
      <w:ind w:firstLine="420" w:firstLineChars="200"/>
    </w:pPr>
  </w:style>
  <w:style w:type="paragraph" w:customStyle="1" w:styleId="45">
    <w:name w:val="正文文本1"/>
    <w:basedOn w:val="1"/>
    <w:qFormat/>
    <w:uiPriority w:val="0"/>
    <w:pPr>
      <w:shd w:val="clear" w:color="auto" w:fill="FFFFFF"/>
      <w:spacing w:line="610" w:lineRule="exact"/>
      <w:jc w:val="center"/>
    </w:pPr>
    <w:rPr>
      <w:rFonts w:ascii="宋体" w:hAnsi="宋体" w:eastAsia="宋体" w:cs="宋体"/>
      <w:sz w:val="28"/>
      <w:szCs w:val="28"/>
    </w:rPr>
  </w:style>
  <w:style w:type="paragraph" w:customStyle="1" w:styleId="46">
    <w:name w:val="题注1"/>
    <w:next w:val="1"/>
    <w:qFormat/>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339</Words>
  <Characters>352</Characters>
  <Lines>35</Lines>
  <Paragraphs>9</Paragraphs>
  <TotalTime>0</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2026-06-01T02:42:56Z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