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7E9B0">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p>
    <w:p w14:paraId="0D05C22A">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r>
        <w:rPr>
          <w:rFonts w:hint="eastAsia" w:ascii="隶书" w:hAnsi="隶书" w:eastAsia="隶书" w:cs="隶书"/>
          <w:lang w:val="en-US" w:eastAsia="zh-CN"/>
        </w:rPr>
        <w:t>环集安保塔与脱硝塔循环碱液梯级利用技术研究及工业应用</w:t>
      </w:r>
    </w:p>
    <w:p w14:paraId="75D1FD37">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default"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周健</w:t>
      </w:r>
      <w:r>
        <w:rPr>
          <w:rFonts w:hint="eastAsia" w:ascii="楷体" w:hAnsi="楷体" w:eastAsia="楷体" w:cs="楷体"/>
          <w:color w:val="auto"/>
          <w:sz w:val="21"/>
          <w:szCs w:val="21"/>
          <w:vertAlign w:val="superscript"/>
          <w:lang w:val="en-US" w:eastAsia="zh-CN"/>
        </w:rPr>
        <w:t>1</w:t>
      </w:r>
      <w:r>
        <w:rPr>
          <w:rFonts w:hint="eastAsia" w:ascii="楷体" w:hAnsi="楷体" w:eastAsia="楷体" w:cs="楷体"/>
          <w:color w:val="auto"/>
          <w:sz w:val="21"/>
          <w:szCs w:val="21"/>
          <w:lang w:val="en-US" w:eastAsia="zh-CN"/>
        </w:rPr>
        <w:t xml:space="preserve"> 李小伟</w:t>
      </w:r>
      <w:r>
        <w:rPr>
          <w:rFonts w:hint="eastAsia" w:ascii="楷体" w:hAnsi="楷体" w:eastAsia="楷体" w:cs="楷体"/>
          <w:color w:val="auto"/>
          <w:sz w:val="21"/>
          <w:szCs w:val="21"/>
          <w:vertAlign w:val="superscript"/>
          <w:lang w:val="en-US" w:eastAsia="zh-CN"/>
        </w:rPr>
        <w:t>1</w:t>
      </w:r>
      <w:r>
        <w:rPr>
          <w:rFonts w:hint="eastAsia" w:ascii="楷体" w:hAnsi="楷体" w:eastAsia="楷体" w:cs="楷体"/>
          <w:color w:val="auto"/>
          <w:sz w:val="21"/>
          <w:szCs w:val="21"/>
          <w:lang w:val="en-US" w:eastAsia="zh-CN"/>
        </w:rPr>
        <w:t xml:space="preserve"> 李桂珍</w:t>
      </w:r>
      <w:r>
        <w:rPr>
          <w:rFonts w:hint="eastAsia" w:ascii="楷体" w:hAnsi="楷体" w:eastAsia="楷体" w:cs="楷体"/>
          <w:color w:val="auto"/>
          <w:sz w:val="21"/>
          <w:szCs w:val="21"/>
          <w:vertAlign w:val="superscript"/>
          <w:lang w:val="en-US" w:eastAsia="zh-CN"/>
        </w:rPr>
        <w:t>1，2</w:t>
      </w:r>
    </w:p>
    <w:p w14:paraId="3F622B83">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vertAlign w:val="superscript"/>
          <w:lang w:val="en-US" w:eastAsia="zh-CN"/>
        </w:rPr>
        <w:t>1</w:t>
      </w:r>
      <w:r>
        <w:rPr>
          <w:rFonts w:hint="eastAsia" w:ascii="楷体" w:hAnsi="楷体" w:eastAsia="楷体" w:cs="楷体"/>
          <w:color w:val="auto"/>
          <w:sz w:val="21"/>
          <w:szCs w:val="21"/>
          <w:lang w:val="en-US" w:eastAsia="zh-CN"/>
        </w:rPr>
        <w:t xml:space="preserve">大冶有色金属有限责任公司 </w:t>
      </w:r>
      <w:r>
        <w:rPr>
          <w:rFonts w:hint="eastAsia" w:ascii="楷体" w:hAnsi="楷体" w:eastAsia="楷体" w:cs="楷体"/>
          <w:color w:val="auto"/>
          <w:sz w:val="21"/>
          <w:szCs w:val="21"/>
          <w:vertAlign w:val="superscript"/>
          <w:lang w:val="en-US" w:eastAsia="zh-CN"/>
        </w:rPr>
        <w:t>2</w:t>
      </w:r>
      <w:r>
        <w:rPr>
          <w:rFonts w:hint="eastAsia" w:ascii="楷体" w:hAnsi="楷体" w:eastAsia="楷体" w:cs="楷体"/>
          <w:color w:val="auto"/>
          <w:sz w:val="21"/>
          <w:szCs w:val="21"/>
          <w:lang w:val="en-US" w:eastAsia="zh-CN"/>
        </w:rPr>
        <w:t>有色金属冶金与循环利用湖北省重点实验室</w:t>
      </w:r>
    </w:p>
    <w:p w14:paraId="09B578E2">
      <w:pPr>
        <w:pStyle w:val="7"/>
        <w:ind w:left="0" w:leftChars="0" w:firstLine="0" w:firstLineChars="0"/>
        <w:rPr>
          <w:rFonts w:ascii="Times New Roman" w:hAnsi="Times New Roman" w:eastAsia="宋体" w:cs="Times New Roman"/>
          <w:b/>
          <w:bCs/>
          <w:sz w:val="24"/>
          <w:szCs w:val="24"/>
        </w:rPr>
      </w:pPr>
      <w:bookmarkStart w:id="0" w:name="heading_0"/>
    </w:p>
    <w:p w14:paraId="75CDEC26">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val="0"/>
          <w:bCs/>
          <w:sz w:val="21"/>
          <w:szCs w:val="21"/>
          <w:lang w:val="en-US" w:eastAsia="zh-CN"/>
        </w:rPr>
      </w:pPr>
      <w:r>
        <w:rPr>
          <w:rFonts w:hint="eastAsia" w:ascii="宋体" w:hAnsi="宋体" w:eastAsia="宋体" w:cs="宋体"/>
          <w:b/>
          <w:bCs w:val="0"/>
          <w:sz w:val="21"/>
          <w:szCs w:val="21"/>
          <w:lang w:val="en-US" w:eastAsia="zh-CN"/>
        </w:rPr>
        <w:t>摘要</w:t>
      </w:r>
      <w:bookmarkEnd w:id="0"/>
      <w:r>
        <w:rPr>
          <w:rFonts w:hint="eastAsia" w:ascii="宋体" w:hAnsi="宋体" w:eastAsia="宋体" w:cs="宋体"/>
          <w:b/>
          <w:bCs w:val="0"/>
          <w:sz w:val="21"/>
          <w:szCs w:val="21"/>
          <w:lang w:val="en-US" w:eastAsia="zh-CN"/>
        </w:rPr>
        <w:t>：</w:t>
      </w:r>
      <w:r>
        <w:rPr>
          <w:rFonts w:hint="eastAsia" w:ascii="宋体" w:hAnsi="宋体" w:eastAsia="宋体" w:cs="宋体"/>
          <w:b w:val="0"/>
          <w:bCs/>
          <w:sz w:val="21"/>
          <w:szCs w:val="21"/>
          <w:lang w:val="en-US" w:eastAsia="zh-CN"/>
        </w:rPr>
        <w:t>针对工业废气处理过程中环集安保塔与脱硝塔循环碱液系统独立运行导致的资源浪费、废碱液 COD 超标、中小型企业改造门槛高等问题，本研究开发了一种 “碱液梯级利用 + 臭氧协同氧化” 的一体化技术，通过将安保塔达到运行下限的废碱液输送至脱硝塔循环系统进行梯级利用，同时协同利用脱硝前端未反应的臭氧对废碱液中的 COD 进行深度氧化去除。该技术同时支持自动化控制与手动操作双模式，可适配不同自动化水平的企业场景。工业应用结果表明，该技术可将安保塔废碱液 COD 从 3000mg/L 降至 30mg/L 以内，减少碱剂消耗 30% 左右，同时降低污酸处理负荷，改造周期短，投资回报周期不足 6 个月，为冶金、化工等行业的废气处理系统降本增效、绿色升级提供了可行的技术方案。</w:t>
      </w:r>
    </w:p>
    <w:p w14:paraId="42278D90">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val="0"/>
          <w:bCs/>
          <w:sz w:val="21"/>
          <w:szCs w:val="21"/>
          <w:lang w:val="en-US" w:eastAsia="zh-CN"/>
        </w:rPr>
      </w:pPr>
      <w:r>
        <w:rPr>
          <w:rFonts w:hint="eastAsia" w:ascii="宋体" w:hAnsi="宋体" w:eastAsia="宋体" w:cs="宋体"/>
          <w:b/>
          <w:bCs w:val="0"/>
          <w:sz w:val="21"/>
          <w:szCs w:val="21"/>
          <w:lang w:val="en-US" w:eastAsia="zh-CN"/>
        </w:rPr>
        <w:t>关键词：</w:t>
      </w:r>
      <w:r>
        <w:rPr>
          <w:rFonts w:hint="eastAsia" w:ascii="宋体" w:hAnsi="宋体" w:eastAsia="宋体" w:cs="宋体"/>
          <w:b w:val="0"/>
          <w:bCs/>
          <w:sz w:val="21"/>
          <w:szCs w:val="21"/>
          <w:lang w:val="en-US" w:eastAsia="zh-CN"/>
        </w:rPr>
        <w:t>环集安保塔 脱硝塔 碱液梯级利用 臭氧协同氧化 废气处理 降本增效</w:t>
      </w:r>
    </w:p>
    <w:p w14:paraId="7FBE862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 w:val="21"/>
          <w:szCs w:val="21"/>
          <w:lang w:val="en-US" w:eastAsia="zh-CN"/>
        </w:rPr>
      </w:pPr>
    </w:p>
    <w:p w14:paraId="218E0E9D">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1" w:name="heading_1"/>
      <w:r>
        <w:rPr>
          <w:rFonts w:hint="eastAsia" w:ascii="宋体" w:hAnsi="宋体" w:eastAsia="宋体" w:cs="宋体"/>
          <w:b/>
          <w:bCs/>
          <w:sz w:val="21"/>
          <w:szCs w:val="21"/>
          <w:lang w:val="en-US" w:eastAsia="zh-CN"/>
        </w:rPr>
        <w:t>1 引言</w:t>
      </w:r>
      <w:bookmarkEnd w:id="1"/>
    </w:p>
    <w:p w14:paraId="4D6E4475">
      <w:pPr>
        <w:pStyle w:val="7"/>
        <w:keepNext w:val="0"/>
        <w:keepLines w:val="0"/>
        <w:pageBreakBefore w:val="0"/>
        <w:widowControl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有色金属冶炼是国民经济的重要支柱产业，但冶炼过程中会产生大量含酸工业废气，其中包含二氧化硫、氮氧化物等多种污染物，若处理不当将引发严重的大气污染问题，威胁生态环境与人体健康。随着国家环保政策的日趋严格及 “双碳” 战略的深入推进，有色金属冶炼企业面临着前所未有的环保治理压力，亟需运用高效、稳定、经济的废气处理技术，在实现达标排放的同时，提升资源利用效率，降低运营成本。</w:t>
      </w:r>
    </w:p>
    <w:p w14:paraId="2C7D4AEB">
      <w:pPr>
        <w:pStyle w:val="7"/>
        <w:keepNext w:val="0"/>
        <w:keepLines w:val="0"/>
        <w:pageBreakBefore w:val="0"/>
        <w:widowControl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 xml:space="preserve">当前，多数冶炼企业会配套环集脱硫系统与脱硝系统来处理冶炼烟气，其中环集脱硫系统主要负责烟气中二氧化硫的脱除，为了应对冶炼烟气工况波动带来的尾排超标风险，通常会在环集系统末端配套安保塔作为兜底处理设施，通过循环碱液喷淋中和酸性污染物，保障尾排稳定达标。而脱硝系统则主要负责烟气中氮氧化物的去除，通常采用臭氧氧化结合碱液吸收的工艺，实现氮氧化物的高效脱除，该工艺在铅冶炼、铜冶炼等行业的尾气处理中已得到广泛应用 </w:t>
      </w:r>
      <w:r>
        <w:rPr>
          <w:rFonts w:hint="eastAsia" w:ascii="宋体" w:hAnsi="宋体" w:eastAsia="宋体" w:cs="宋体"/>
          <w:sz w:val="21"/>
          <w:szCs w:val="21"/>
          <w:vertAlign w:val="superscript"/>
        </w:rPr>
        <w:t>[4]</w:t>
      </w:r>
      <w:r>
        <w:rPr>
          <w:rFonts w:hint="eastAsia" w:ascii="宋体" w:hAnsi="宋体" w:eastAsia="宋体" w:cs="宋体"/>
          <w:sz w:val="21"/>
          <w:szCs w:val="21"/>
        </w:rPr>
        <w:t>。</w:t>
      </w:r>
    </w:p>
    <w:p w14:paraId="79C9740F">
      <w:pPr>
        <w:pStyle w:val="7"/>
        <w:keepNext w:val="0"/>
        <w:keepLines w:val="0"/>
        <w:pageBreakBefore w:val="0"/>
        <w:widowControl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然而，在实际运行过程中，这两个系统的循环碱液系统往往相互独立运行，暴露出一系列亟待解决的问题：一方面，安保塔的循环碱液在使用过程中，pH 值与碱度逐渐下降，当达到其运行下限时，通常会直接排出至污水处理系统，这些废碱液中仍残留有一定的碱度，直接排放造成了碱资源的浪费，同时废碱液中 COD 含量较高，大幅增加了后续污酸污水处理的负荷与成本；另一方面，脱硝系统前端的臭氧发生系统会产生部分未反应的臭氧，这部分臭氧通常直接随烟气排放，既造成了臭氧资源的浪费，也存在臭氧泄漏污染的潜在风险。此外，部分中小型冶炼或化工企业受限于成本投入，未配备完善的自动化监控设备，现有的梯级利用技术多依赖自动化传感器与控制系统，难以适配这类企业的应用场景，限制了相关技术的推广应用。</w:t>
      </w:r>
    </w:p>
    <w:p w14:paraId="0A25ACF8">
      <w:pPr>
        <w:pStyle w:val="7"/>
        <w:keepNext w:val="0"/>
        <w:keepLines w:val="0"/>
        <w:pageBreakBefore w:val="0"/>
        <w:widowControl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针对上述问题，本研究开发了一种环集安保塔与脱硝塔循环碱液梯级利用技术，通过碱液的梯级利用实现残留碱度的回收，同时协同利用未反应臭氧实现废碱液 COD 的深度去除，并且该技术可同时适配自动化与手动操作模式，满足不同企业的应用需求，为行业废气处理系统的降本增效、绿色升级提供了新的技术路径。</w:t>
      </w:r>
    </w:p>
    <w:p w14:paraId="12D87AA1">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2" w:name="heading_2"/>
      <w:r>
        <w:rPr>
          <w:rFonts w:hint="eastAsia" w:ascii="宋体" w:hAnsi="宋体" w:eastAsia="宋体" w:cs="宋体"/>
          <w:b/>
          <w:bCs/>
          <w:sz w:val="21"/>
          <w:szCs w:val="21"/>
          <w:lang w:val="en-US" w:eastAsia="zh-CN"/>
        </w:rPr>
        <w:t>2 研究现状</w:t>
      </w:r>
      <w:bookmarkEnd w:id="2"/>
    </w:p>
    <w:p w14:paraId="48046402">
      <w:pPr>
        <w:pStyle w:val="7"/>
        <w:keepNext w:val="0"/>
        <w:keepLines w:val="0"/>
        <w:pageBreakBefore w:val="0"/>
        <w:widowControl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在工业废气处理领域，碱液吸收法是一种成熟且应用广泛的酸性污染物处理技术，通过碱性溶液与酸性气体的中和反应实现污染物的脱除，该技术具有处理效率高、适应性强等优点，被广泛应用于冶金、化工等行业的脱硫、脱硝工艺中</w:t>
      </w:r>
      <w:r>
        <w:rPr>
          <w:rFonts w:hint="eastAsia" w:ascii="宋体" w:hAnsi="宋体" w:eastAsia="宋体" w:cs="宋体"/>
          <w:sz w:val="21"/>
          <w:szCs w:val="21"/>
          <w:vertAlign w:val="superscript"/>
        </w:rPr>
        <w:t xml:space="preserve"> [1]</w:t>
      </w:r>
      <w:r>
        <w:rPr>
          <w:rFonts w:hint="eastAsia" w:ascii="宋体" w:hAnsi="宋体" w:eastAsia="宋体" w:cs="宋体"/>
          <w:sz w:val="21"/>
          <w:szCs w:val="21"/>
        </w:rPr>
        <w:t>。</w:t>
      </w:r>
    </w:p>
    <w:p w14:paraId="1C13CC6D">
      <w:pPr>
        <w:pStyle w:val="7"/>
        <w:keepNext w:val="0"/>
        <w:keepLines w:val="0"/>
        <w:pageBreakBefore w:val="0"/>
        <w:widowControl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针对碱液资源的回收与梯级利用，国内外学者开展了大量的研究工作。部分研究提出了将不同处理单元的废碱液进行串联利用的思路，通过将高碱度的废碱液输送至碱度需求较低的处理单元，实现碱资源的充分利用，从而减少新鲜碱液的消耗。例如，孙军军等</w:t>
      </w:r>
      <w:r>
        <w:rPr>
          <w:rFonts w:hint="eastAsia" w:ascii="宋体" w:hAnsi="宋体" w:eastAsia="宋体" w:cs="宋体"/>
          <w:sz w:val="21"/>
          <w:szCs w:val="21"/>
          <w:vertAlign w:val="superscript"/>
        </w:rPr>
        <w:t xml:space="preserve"> [1] </w:t>
      </w:r>
      <w:r>
        <w:rPr>
          <w:rFonts w:hint="eastAsia" w:ascii="宋体" w:hAnsi="宋体" w:eastAsia="宋体" w:cs="宋体"/>
          <w:sz w:val="21"/>
          <w:szCs w:val="21"/>
        </w:rPr>
        <w:t>在催化裂化再生烟气处理的研究中，采用 “高效袋式除尘 + 臭氧脱硝 + 钠法脱硫” 的一体化工艺，通过碱液的协同利用，有效降低了系统的碱剂消耗，处理后粉尘、SO₂、NOₓ浓度分别降至 17、17、32 mg/m³，远低于国家排放标准。秦煜栋</w:t>
      </w:r>
      <w:r>
        <w:rPr>
          <w:rFonts w:hint="eastAsia" w:ascii="宋体" w:hAnsi="宋体" w:eastAsia="宋体" w:cs="宋体"/>
          <w:sz w:val="21"/>
          <w:szCs w:val="21"/>
          <w:vertAlign w:val="superscript"/>
        </w:rPr>
        <w:t xml:space="preserve"> [2]</w:t>
      </w:r>
      <w:r>
        <w:rPr>
          <w:rFonts w:hint="eastAsia" w:ascii="宋体" w:hAnsi="宋体" w:eastAsia="宋体" w:cs="宋体"/>
          <w:sz w:val="21"/>
          <w:szCs w:val="21"/>
        </w:rPr>
        <w:t xml:space="preserve"> 的研究也表明，在催化裂化烟气的脱硫脱硝工艺中，通过优化碱液的利用方式，可实现 SO₂脱除率达 97.37%、NOₓ脱除率达 94.49%，同时有效降低了碱剂的消耗。闫友 </w:t>
      </w:r>
      <w:r>
        <w:rPr>
          <w:rFonts w:hint="eastAsia" w:ascii="宋体" w:hAnsi="宋体" w:eastAsia="宋体" w:cs="宋体"/>
          <w:sz w:val="21"/>
          <w:szCs w:val="21"/>
          <w:vertAlign w:val="superscript"/>
        </w:rPr>
        <w:t xml:space="preserve">[6] </w:t>
      </w:r>
      <w:r>
        <w:rPr>
          <w:rFonts w:hint="eastAsia" w:ascii="宋体" w:hAnsi="宋体" w:eastAsia="宋体" w:cs="宋体"/>
          <w:sz w:val="21"/>
          <w:szCs w:val="21"/>
        </w:rPr>
        <w:t>在铅冶炼厂的烟气处理改造中，通过调整脱硫与脱硝系统的碱液走向，实现了碱液的梯级利用，有效解决了系统运行不稳定的问题，保障了污染物的稳定达标排放。但这类研究多关注于碱度的回收，忽略了废碱液中高浓度 COD 的处理问题，导致梯级利用后的废碱液仍会对后续处理系统造成冲击。</w:t>
      </w:r>
    </w:p>
    <w:p w14:paraId="2A02071E">
      <w:pPr>
        <w:pStyle w:val="7"/>
        <w:keepNext w:val="0"/>
        <w:keepLines w:val="0"/>
        <w:pageBreakBefore w:val="0"/>
        <w:widowControl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针对废碱液中 COD 的处理，臭氧氧化技术因其氧化能力强、反应速度快等优点，被广泛应用于高浓度有机废水的处理。研究表明，碱性环境可以有效强化臭氧的氧化活性，提升臭氧对有机污染物的降解效率。刘灵辉等</w:t>
      </w:r>
      <w:r>
        <w:rPr>
          <w:rFonts w:hint="eastAsia" w:ascii="宋体" w:hAnsi="宋体" w:eastAsia="宋体" w:cs="宋体"/>
          <w:sz w:val="21"/>
          <w:szCs w:val="21"/>
          <w:vertAlign w:val="superscript"/>
        </w:rPr>
        <w:t xml:space="preserve"> [3] </w:t>
      </w:r>
      <w:r>
        <w:rPr>
          <w:rFonts w:hint="eastAsia" w:ascii="宋体" w:hAnsi="宋体" w:eastAsia="宋体" w:cs="宋体"/>
          <w:sz w:val="21"/>
          <w:szCs w:val="21"/>
        </w:rPr>
        <w:t>的研究显示，针对碱浓度为 80 g/L 的丝光废碱液，采用臭氧进行净化处理，在曝气量为 0.25 m³/h、接触反应时间为 4 h 的条件下，脱色率可达到 99.3%，处理后的废碱液可实现循环利用。余政哲等</w:t>
      </w:r>
      <w:r>
        <w:rPr>
          <w:rFonts w:hint="eastAsia" w:ascii="宋体" w:hAnsi="宋体" w:eastAsia="宋体" w:cs="宋体"/>
          <w:sz w:val="21"/>
          <w:szCs w:val="21"/>
          <w:vertAlign w:val="superscript"/>
        </w:rPr>
        <w:t xml:space="preserve"> [5]</w:t>
      </w:r>
      <w:r>
        <w:rPr>
          <w:rFonts w:hint="eastAsia" w:ascii="宋体" w:hAnsi="宋体" w:eastAsia="宋体" w:cs="宋体"/>
          <w:sz w:val="21"/>
          <w:szCs w:val="21"/>
        </w:rPr>
        <w:t xml:space="preserve"> 在乙烯生产废碱液的处理研究中发现，UV/O₃氧化体系可有效降解废碱液中的 COD，在最佳条件下，COD 的去除率可达到 54%，同时可将废水的可生化性 BOD/COD 值从 0.22 提升至 0.48，大幅改善了废水的可处理性。这为利用脱硝系统的未反应臭氧处理安保塔废碱液中的 COD 提供了理论基础。但目前相关研究多将臭氧氧化作为独立的废水处理工序，需要额外投加臭氧，增加了处理成本，未能实现臭氧资源的协同回收利用。</w:t>
      </w:r>
    </w:p>
    <w:p w14:paraId="5A520FC0">
      <w:pPr>
        <w:pStyle w:val="7"/>
        <w:keepNext w:val="0"/>
        <w:keepLines w:val="0"/>
        <w:pageBreakBefore w:val="0"/>
        <w:widowControl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此外，现有的碱液梯级利用技术多依赖完善的自动化监控系统，通过传感器实时监测碱液的 pH、密度等参数，结合自动控制阀实现碱液输送与参数调节的自动化控制。但对于大量中小型企业而言，这类自动化设备的投入成本较高，改造难度大，导致这类技术难以在中小型企业中推广应用，限制了技术的覆盖范围。</w:t>
      </w:r>
    </w:p>
    <w:p w14:paraId="55953E2F">
      <w:pPr>
        <w:pStyle w:val="7"/>
        <w:keepNext w:val="0"/>
        <w:keepLines w:val="0"/>
        <w:pageBreakBefore w:val="0"/>
        <w:widowControl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总体而言，现有技术尚未能同时实现碱液梯级利用、臭氧协同除 COD 以及多场景适配的一体化解决方案，难以满足当前行业的实际需求。因此，开发一种兼顾资源回收、污染治理与场景适配的新型技术，具有重要的现实意义。</w:t>
      </w:r>
    </w:p>
    <w:p w14:paraId="73C64A0A">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3" w:name="heading_3"/>
      <w:r>
        <w:rPr>
          <w:rFonts w:hint="eastAsia" w:ascii="宋体" w:hAnsi="宋体" w:eastAsia="宋体" w:cs="宋体"/>
          <w:b/>
          <w:bCs/>
          <w:sz w:val="21"/>
          <w:szCs w:val="21"/>
          <w:lang w:val="en-US" w:eastAsia="zh-CN"/>
        </w:rPr>
        <w:t>3 技术方案</w:t>
      </w:r>
      <w:bookmarkEnd w:id="3"/>
    </w:p>
    <w:p w14:paraId="77082F1A">
      <w:pPr>
        <w:pStyle w:val="7"/>
        <w:keepNext w:val="0"/>
        <w:keepLines w:val="0"/>
        <w:pageBreakBefore w:val="0"/>
        <w:widowControl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本研究提出的环集安保塔与脱硝塔循环碱液梯级利用技术，通过 “碱液梯级利用 + 臭氧协同氧化” 的双重机制，实现碱资源与臭氧资源的双重回收，同时完成废碱液 COD 的深度去除，并且系统可同时支持自动化与手动操作双模式，适配不同的应用场景。</w:t>
      </w:r>
    </w:p>
    <w:p w14:paraId="3C476CF6">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4" w:name="heading_4"/>
      <w:r>
        <w:rPr>
          <w:rFonts w:hint="eastAsia" w:ascii="宋体" w:hAnsi="宋体" w:eastAsia="宋体" w:cs="宋体"/>
          <w:b/>
          <w:bCs/>
          <w:sz w:val="21"/>
          <w:szCs w:val="21"/>
          <w:lang w:val="en-US" w:eastAsia="zh-CN"/>
        </w:rPr>
        <w:t>3.1 系统组成</w:t>
      </w:r>
      <w:bookmarkEnd w:id="4"/>
    </w:p>
    <w:p w14:paraId="1283F3B8">
      <w:pPr>
        <w:pStyle w:val="7"/>
        <w:keepNext w:val="0"/>
        <w:keepLines w:val="0"/>
        <w:pageBreakBefore w:val="0"/>
        <w:widowControl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该梯级利用系统主要由环集安保塔单元、脱硝塔单元、梯级输送单元、补碱单元以及安全防护组件组成，可在现有设备基础上进行改造，无需大规模更换设备。</w:t>
      </w:r>
    </w:p>
    <w:p w14:paraId="0BF2C562">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5" w:name="heading_5"/>
      <w:r>
        <w:rPr>
          <w:rFonts w:hint="eastAsia" w:ascii="宋体" w:hAnsi="宋体" w:eastAsia="宋体" w:cs="宋体"/>
          <w:b/>
          <w:bCs/>
          <w:sz w:val="21"/>
          <w:szCs w:val="21"/>
          <w:lang w:val="en-US" w:eastAsia="zh-CN"/>
        </w:rPr>
        <w:t>3.1.1 环集安保塔单元</w:t>
      </w:r>
      <w:bookmarkEnd w:id="5"/>
    </w:p>
    <w:p w14:paraId="412A54F6">
      <w:pPr>
        <w:pStyle w:val="7"/>
        <w:keepNext w:val="0"/>
        <w:keepLines w:val="0"/>
        <w:pageBreakBefore w:val="0"/>
        <w:widowControl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环集安保塔单元主要包括第一循环碱液槽、第一循环泵，用于为安保塔提供循环碱液，实现酸性污染物的中和处理。为了适配不同的操作模式，该单元的碱液槽配置了 pH 检测口、密度检测口，可支持手动取样检测；同时也可选装第一 pH 传感器、第一密度传感器，用于自动化实时检测。槽体配备了透明液位计或刻度线，可支持手动模式下的液位观察，也可选装液位传感器，用于自动化模式下的液位监测。</w:t>
      </w:r>
    </w:p>
    <w:p w14:paraId="6257511D">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6" w:name="heading_6"/>
      <w:r>
        <w:rPr>
          <w:rFonts w:hint="eastAsia" w:ascii="宋体" w:hAnsi="宋体" w:eastAsia="宋体" w:cs="宋体"/>
          <w:b/>
          <w:bCs/>
          <w:sz w:val="21"/>
          <w:szCs w:val="21"/>
          <w:lang w:val="en-US" w:eastAsia="zh-CN"/>
        </w:rPr>
        <w:t>3.1.2 脱硝塔单元</w:t>
      </w:r>
      <w:bookmarkEnd w:id="6"/>
    </w:p>
    <w:p w14:paraId="4E10164E">
      <w:pPr>
        <w:pStyle w:val="7"/>
        <w:keepNext w:val="0"/>
        <w:keepLines w:val="0"/>
        <w:pageBreakBefore w:val="0"/>
        <w:widowControl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脱硝塔单元包括第二循环碱液槽、第二循环泵，用于脱硝过程的碱液循环吸收。同时，该单元配置了臭氧导入管，用于将脱硝塔前端臭氧发生系统的未反应臭氧尾气导入第二循环碱液槽，导入管的出口端设置了微孔曝气头，用于增加臭氧与碱液的接触面积，提升氧化反应效率。与安保塔单元类似，第二循环碱液槽也配置了 pH 检测口，支持手动取样检测，也可选装第二 pH 传感器用于自动化检测。</w:t>
      </w:r>
    </w:p>
    <w:p w14:paraId="073372ED">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7" w:name="heading_7"/>
      <w:r>
        <w:rPr>
          <w:rFonts w:hint="eastAsia" w:ascii="宋体" w:hAnsi="宋体" w:eastAsia="宋体" w:cs="宋体"/>
          <w:b/>
          <w:bCs/>
          <w:sz w:val="21"/>
          <w:szCs w:val="21"/>
          <w:lang w:val="en-US" w:eastAsia="zh-CN"/>
        </w:rPr>
        <w:t>3.1.3 梯级输送单元</w:t>
      </w:r>
      <w:bookmarkEnd w:id="7"/>
    </w:p>
    <w:p w14:paraId="30E9F9F9">
      <w:pPr>
        <w:pStyle w:val="7"/>
        <w:keepNext w:val="0"/>
        <w:keepLines w:val="0"/>
        <w:pageBreakBefore w:val="0"/>
        <w:widowControl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梯级输送单元是实现碱液梯级利用的核心单元，包括输送管路、控制阀以及过滤装置。输送管路的两端分别连接第一循环碱液槽的出液口与第二循环碱液槽的进液口，用于将安保塔的废碱液输送至脱硝塔的碱液槽。控制阀可选用手动控制阀或电磁控制阀，分别适配手动操作与自动化控制模式。过滤装置选用 10</w:t>
      </w:r>
      <w:r>
        <w:rPr>
          <w:rFonts w:hint="eastAsia" w:ascii="宋体" w:hAnsi="宋体" w:eastAsia="宋体" w:cs="宋体"/>
          <w:sz w:val="21"/>
          <w:szCs w:val="21"/>
          <w:lang w:val="en-US" w:eastAsia="zh-CN"/>
        </w:rPr>
        <w:t>~</w:t>
      </w:r>
      <w:r>
        <w:rPr>
          <w:rFonts w:hint="eastAsia" w:ascii="宋体" w:hAnsi="宋体" w:eastAsia="宋体" w:cs="宋体"/>
          <w:sz w:val="21"/>
          <w:szCs w:val="21"/>
        </w:rPr>
        <w:t>50μm 的精密过滤器或篮式过滤器，串联在输送管路上，用于过滤废碱液中的悬浮物与颗粒物，避免对脱硝塔系统造成堵塞。</w:t>
      </w:r>
    </w:p>
    <w:p w14:paraId="24834359">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8" w:name="heading_8"/>
      <w:r>
        <w:rPr>
          <w:rFonts w:hint="eastAsia" w:ascii="宋体" w:hAnsi="宋体" w:eastAsia="宋体" w:cs="宋体"/>
          <w:b/>
          <w:bCs/>
          <w:sz w:val="21"/>
          <w:szCs w:val="21"/>
          <w:lang w:val="en-US" w:eastAsia="zh-CN"/>
        </w:rPr>
        <w:t>3.1.4 补碱单元</w:t>
      </w:r>
      <w:bookmarkEnd w:id="8"/>
    </w:p>
    <w:p w14:paraId="279E967A">
      <w:pPr>
        <w:pStyle w:val="7"/>
        <w:keepNext w:val="0"/>
        <w:keepLines w:val="0"/>
        <w:pageBreakBefore w:val="0"/>
        <w:widowControl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补碱单元包括补碱罐、补碱管路以及补碱阀，补碱管路连接补碱罐与第二循环碱液槽，补碱罐内存储 30% 的氢氧化钠溶液，与环集安保塔的初始碱液一致，用于在脱硝塔碱液 pH 不足时补充新鲜碱液，维持脱硝反应所需的碱度。补碱阀同样支持手动与自动两种模式，适配不同的操作场景。</w:t>
      </w:r>
    </w:p>
    <w:p w14:paraId="1C0AD2AD">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9" w:name="heading_9"/>
      <w:r>
        <w:rPr>
          <w:rFonts w:hint="eastAsia" w:ascii="宋体" w:hAnsi="宋体" w:eastAsia="宋体" w:cs="宋体"/>
          <w:b/>
          <w:bCs/>
          <w:sz w:val="21"/>
          <w:szCs w:val="21"/>
          <w:lang w:val="en-US" w:eastAsia="zh-CN"/>
        </w:rPr>
        <w:t>3.1.5 安全防护组件</w:t>
      </w:r>
      <w:bookmarkEnd w:id="9"/>
    </w:p>
    <w:p w14:paraId="512DB536">
      <w:pPr>
        <w:pStyle w:val="7"/>
        <w:keepNext w:val="0"/>
        <w:keepLines w:val="0"/>
        <w:pageBreakBefore w:val="0"/>
        <w:widowControl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为了保障系统的运行安全，系统配置了相应的安全防护组件，包括臭氧泄漏传感器，安装在臭氧导入管路附近，报警阈值设置为 0.1mg/m³，用于监测臭氧泄漏情况，避免臭氧泄漏造成的安全风险。同时，输送管路接口采用防泄漏接头，取样点配备了耐碱防护工具存放位，保障操作人员的安全。</w:t>
      </w:r>
    </w:p>
    <w:p w14:paraId="0F82B128">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10" w:name="heading_10"/>
      <w:r>
        <w:rPr>
          <w:rFonts w:hint="eastAsia" w:ascii="宋体" w:hAnsi="宋体" w:eastAsia="宋体" w:cs="宋体"/>
          <w:b/>
          <w:bCs/>
          <w:sz w:val="21"/>
          <w:szCs w:val="21"/>
          <w:lang w:val="en-US" w:eastAsia="zh-CN"/>
        </w:rPr>
        <w:t>3.2 运行方法</w:t>
      </w:r>
      <w:bookmarkEnd w:id="10"/>
    </w:p>
    <w:p w14:paraId="7AD6FFF2">
      <w:pPr>
        <w:pStyle w:val="7"/>
        <w:keepNext w:val="0"/>
        <w:keepLines w:val="0"/>
        <w:pageBreakBefore w:val="0"/>
        <w:widowControl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该技术的运行流程主要包括以下几个步骤，可根据企业的自动化水平选择手动操作或自动化控制模式：</w:t>
      </w:r>
    </w:p>
    <w:p w14:paraId="0FBB569B">
      <w:pPr>
        <w:pStyle w:val="7"/>
        <w:keepNext w:val="0"/>
        <w:keepLines w:val="0"/>
        <w:pageBreakBefore w:val="0"/>
        <w:widowControl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 xml:space="preserve">（1）环集安保塔稳定运行：启动第一循环泵，使第一循环碱液槽内的碱液在环集安保塔内循环，通过中和反应处理烟气中的酸性污染物。运行过程中，通过手动定时取样检测（每 </w:t>
      </w:r>
      <w:r>
        <w:rPr>
          <w:rFonts w:hint="eastAsia" w:ascii="宋体" w:hAnsi="宋体" w:eastAsia="宋体" w:cs="宋体"/>
          <w:sz w:val="21"/>
          <w:szCs w:val="21"/>
          <w:lang w:val="en-US" w:eastAsia="zh-CN"/>
        </w:rPr>
        <w:t>1~</w:t>
      </w:r>
      <w:r>
        <w:rPr>
          <w:rFonts w:hint="eastAsia" w:ascii="宋体" w:hAnsi="宋体" w:eastAsia="宋体" w:cs="宋体"/>
          <w:sz w:val="21"/>
          <w:szCs w:val="21"/>
        </w:rPr>
        <w:t>2 小时检测一次，采用 pH 试纸或便携式检测仪、密度计）或传感器实时检测，维持碱液的 pH 在 10</w:t>
      </w:r>
      <w:r>
        <w:rPr>
          <w:rFonts w:hint="eastAsia" w:ascii="宋体" w:hAnsi="宋体" w:eastAsia="宋体" w:cs="宋体"/>
          <w:sz w:val="21"/>
          <w:szCs w:val="21"/>
          <w:lang w:val="en-US" w:eastAsia="zh-CN"/>
        </w:rPr>
        <w:t>~</w:t>
      </w:r>
      <w:r>
        <w:rPr>
          <w:rFonts w:hint="eastAsia" w:ascii="宋体" w:hAnsi="宋体" w:eastAsia="宋体" w:cs="宋体"/>
          <w:sz w:val="21"/>
          <w:szCs w:val="21"/>
        </w:rPr>
        <w:t>12、密度在 1.1</w:t>
      </w:r>
      <w:r>
        <w:rPr>
          <w:rFonts w:hint="eastAsia" w:ascii="宋体" w:hAnsi="宋体" w:eastAsia="宋体" w:cs="宋体"/>
          <w:sz w:val="21"/>
          <w:szCs w:val="21"/>
          <w:lang w:val="en-US" w:eastAsia="zh-CN"/>
        </w:rPr>
        <w:t>~</w:t>
      </w:r>
      <w:r>
        <w:rPr>
          <w:rFonts w:hint="eastAsia" w:ascii="宋体" w:hAnsi="宋体" w:eastAsia="宋体" w:cs="宋体"/>
          <w:sz w:val="21"/>
          <w:szCs w:val="21"/>
        </w:rPr>
        <w:t>1.2g/L，保障安保塔的处理效果。</w:t>
      </w:r>
    </w:p>
    <w:p w14:paraId="63FB0067">
      <w:pPr>
        <w:pStyle w:val="7"/>
        <w:keepNext w:val="0"/>
        <w:keepLines w:val="0"/>
        <w:pageBreakBefore w:val="0"/>
        <w:widowControl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（2）梯级利用判定：当第一循环碱液槽内的碱液 pH 降至 10</w:t>
      </w:r>
      <w:r>
        <w:rPr>
          <w:rFonts w:hint="eastAsia" w:ascii="宋体" w:hAnsi="宋体" w:eastAsia="宋体" w:cs="宋体"/>
          <w:sz w:val="21"/>
          <w:szCs w:val="21"/>
          <w:lang w:val="en-US" w:eastAsia="zh-CN"/>
        </w:rPr>
        <w:t>~</w:t>
      </w:r>
      <w:r>
        <w:rPr>
          <w:rFonts w:hint="eastAsia" w:ascii="宋体" w:hAnsi="宋体" w:eastAsia="宋体" w:cs="宋体"/>
          <w:sz w:val="21"/>
          <w:szCs w:val="21"/>
        </w:rPr>
        <w:t>10.5、密度降至 1.1</w:t>
      </w:r>
      <w:r>
        <w:rPr>
          <w:rFonts w:hint="eastAsia" w:ascii="宋体" w:hAnsi="宋体" w:eastAsia="宋体" w:cs="宋体"/>
          <w:sz w:val="21"/>
          <w:szCs w:val="21"/>
          <w:lang w:val="en-US" w:eastAsia="zh-CN"/>
        </w:rPr>
        <w:t>~</w:t>
      </w:r>
      <w:r>
        <w:rPr>
          <w:rFonts w:hint="eastAsia" w:ascii="宋体" w:hAnsi="宋体" w:eastAsia="宋体" w:cs="宋体"/>
          <w:sz w:val="21"/>
          <w:szCs w:val="21"/>
        </w:rPr>
        <w:t>1.12g/L，达到安保塔的运行下限时，判定该碱液为梯级利用合格碱液，可输送至脱硝塔系统进行进一步利用。</w:t>
      </w:r>
    </w:p>
    <w:p w14:paraId="07C00771">
      <w:pPr>
        <w:pStyle w:val="7"/>
        <w:keepNext w:val="0"/>
        <w:keepLines w:val="0"/>
        <w:pageBreakBefore w:val="0"/>
        <w:widowControl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（3）碱液梯级输送：打开梯级输送单元的控制阀，将合格的废碱液经过滤装置过滤后，通过输送管路输送至第二循环碱液槽，输送流量控制为第一循环泵额定流量的 10%</w:t>
      </w:r>
      <w:r>
        <w:rPr>
          <w:rFonts w:hint="eastAsia" w:ascii="宋体" w:hAnsi="宋体" w:eastAsia="宋体" w:cs="宋体"/>
          <w:sz w:val="21"/>
          <w:szCs w:val="21"/>
          <w:lang w:val="en-US" w:eastAsia="zh-CN"/>
        </w:rPr>
        <w:t>~</w:t>
      </w:r>
      <w:r>
        <w:rPr>
          <w:rFonts w:hint="eastAsia" w:ascii="宋体" w:hAnsi="宋体" w:eastAsia="宋体" w:cs="宋体"/>
          <w:sz w:val="21"/>
          <w:szCs w:val="21"/>
        </w:rPr>
        <w:t>30%，避免流量过大对两个系统的运行造成冲击。</w:t>
      </w:r>
    </w:p>
    <w:p w14:paraId="6CFAD1C4">
      <w:pPr>
        <w:pStyle w:val="7"/>
        <w:keepNext w:val="0"/>
        <w:keepLines w:val="0"/>
        <w:pageBreakBefore w:val="0"/>
        <w:widowControl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（4）臭氧协同除 COD：在碱液输送与混合过程中，脱硝塔前端的未反应臭氧（浓度为 80</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150mg/m³）通过臭氧导入管与曝气头持续通入第二循环碱液槽，臭氧与废碱液中的 COD 污染物发生氧化反应，接触时间不低于 30min。废碱液的碱性环境（pH≥7）可有效强化臭氧的氧化活性，实现 COD 的深度去除，这与现有研究中碱性环境可强化臭氧氧化效率的结论一致 </w:t>
      </w:r>
      <w:r>
        <w:rPr>
          <w:rFonts w:hint="eastAsia" w:ascii="宋体" w:hAnsi="宋体" w:eastAsia="宋体" w:cs="宋体"/>
          <w:sz w:val="21"/>
          <w:szCs w:val="21"/>
          <w:vertAlign w:val="superscript"/>
        </w:rPr>
        <w:t>[3,5]</w:t>
      </w:r>
      <w:r>
        <w:rPr>
          <w:rFonts w:hint="eastAsia" w:ascii="宋体" w:hAnsi="宋体" w:eastAsia="宋体" w:cs="宋体"/>
          <w:sz w:val="21"/>
          <w:szCs w:val="21"/>
        </w:rPr>
        <w:t>。</w:t>
      </w:r>
    </w:p>
    <w:p w14:paraId="5B45ABC9">
      <w:pPr>
        <w:pStyle w:val="7"/>
        <w:keepNext w:val="0"/>
        <w:keepLines w:val="0"/>
        <w:pageBreakBefore w:val="0"/>
        <w:widowControl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 xml:space="preserve">（5）脱硝塔碱液调节：运行过程中，通过手动定时取样检测或第二 pH 传感器实时检测第二循环碱液槽内混合碱液的 pH 值，当 pH 低于 7 时，通过手动打开补碱阀或控制器控制自动补碱阀补充新鲜碱液，维持碱液 pH≥7，保障脱硝反应的效率。手动补碱时，可根据槽体容积与 pH 差值计算补碱量，例如 8m³ 的槽体，当 pH 为 6.5 时，补充 </w:t>
      </w:r>
      <w:r>
        <w:rPr>
          <w:rFonts w:hint="eastAsia" w:ascii="宋体" w:hAnsi="宋体" w:eastAsia="宋体" w:cs="宋体"/>
          <w:sz w:val="21"/>
          <w:szCs w:val="21"/>
          <w:lang w:val="en-US" w:eastAsia="zh-CN"/>
        </w:rPr>
        <w:t>3</w:t>
      </w:r>
      <w:r>
        <w:rPr>
          <w:rFonts w:hint="eastAsia" w:ascii="宋体" w:hAnsi="宋体" w:eastAsia="宋体" w:cs="宋体"/>
          <w:sz w:val="21"/>
          <w:szCs w:val="21"/>
        </w:rPr>
        <w:t>0% 氢氧化钠溶液 50</w:t>
      </w:r>
      <w:r>
        <w:rPr>
          <w:rFonts w:hint="eastAsia" w:ascii="宋体" w:hAnsi="宋体" w:eastAsia="宋体" w:cs="宋体"/>
          <w:sz w:val="21"/>
          <w:szCs w:val="21"/>
          <w:lang w:val="en-US" w:eastAsia="zh-CN"/>
        </w:rPr>
        <w:t>~</w:t>
      </w:r>
      <w:r>
        <w:rPr>
          <w:rFonts w:hint="eastAsia" w:ascii="宋体" w:hAnsi="宋体" w:eastAsia="宋体" w:cs="宋体"/>
          <w:sz w:val="21"/>
          <w:szCs w:val="21"/>
        </w:rPr>
        <w:t>80L 即可满足需求。</w:t>
      </w:r>
    </w:p>
    <w:p w14:paraId="12691107">
      <w:pPr>
        <w:pStyle w:val="7"/>
        <w:keepNext w:val="0"/>
        <w:keepLines w:val="0"/>
        <w:pageBreakBefore w:val="0"/>
        <w:widowControl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6）循环更新：当第一循环碱液槽内的碱液体积低于设定阈值时，手动模式下通过液位计观察，自动化模式下通过液位传感器检测，关闭输送阀门，停止梯级输送，向第一循环碱液槽补充新鲜碱液，恢复至正常运行参数后，重复上述步骤，实现系统的循环运行。</w:t>
      </w:r>
    </w:p>
    <w:p w14:paraId="73D76876">
      <w:pPr>
        <w:pStyle w:val="7"/>
        <w:keepNext w:val="0"/>
        <w:keepLines w:val="0"/>
        <w:pageBreakBefore w:val="0"/>
        <w:widowControl w:val="0"/>
        <w:kinsoku/>
        <w:wordWrap/>
        <w:overflowPunct/>
        <w:topLinePunct w:val="0"/>
        <w:autoSpaceDE/>
        <w:autoSpaceDN/>
        <w:bidi w:val="0"/>
        <w:adjustRightInd/>
        <w:snapToGrid/>
        <w:spacing w:after="0" w:afterLines="0" w:line="400" w:lineRule="exac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（7）达标处理：经臭氧协同氧化后，梯级利用的废碱液 COD 含量可从 3000mg/L 降至 30mg/L 以内，最终随脱硝塔循环液参与后续处理，无需额外增加 COD 处理工序。</w:t>
      </w:r>
    </w:p>
    <w:p w14:paraId="3C98226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11" w:name="heading_11"/>
      <w:r>
        <w:rPr>
          <w:rFonts w:hint="eastAsia" w:ascii="宋体" w:hAnsi="宋体" w:eastAsia="宋体" w:cs="宋体"/>
          <w:b/>
          <w:bCs/>
          <w:sz w:val="21"/>
          <w:szCs w:val="21"/>
          <w:lang w:val="en-US" w:eastAsia="zh-CN"/>
        </w:rPr>
        <w:t>4 工业应用案例</w:t>
      </w:r>
      <w:bookmarkEnd w:id="11"/>
    </w:p>
    <w:p w14:paraId="35D18B90">
      <w:pPr>
        <w:pStyle w:val="7"/>
        <w:keepNext w:val="0"/>
        <w:keepLines w:val="0"/>
        <w:pageBreakBefore w:val="0"/>
        <w:widowControl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为了验证该技术的实际应用效果，本研究分别在不同自动化水平的企业开展了工业应用测试，具体情况如下：</w:t>
      </w:r>
    </w:p>
    <w:p w14:paraId="3AEF6AA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12" w:name="heading_12"/>
      <w:r>
        <w:rPr>
          <w:rFonts w:hint="eastAsia" w:ascii="宋体" w:hAnsi="宋体" w:eastAsia="宋体" w:cs="宋体"/>
          <w:b/>
          <w:bCs/>
          <w:sz w:val="21"/>
          <w:szCs w:val="21"/>
          <w:lang w:val="en-US" w:eastAsia="zh-CN"/>
        </w:rPr>
        <w:t>4.1 手动操作模式应用案例</w:t>
      </w:r>
      <w:bookmarkEnd w:id="12"/>
    </w:p>
    <w:p w14:paraId="22852EEE">
      <w:pPr>
        <w:pStyle w:val="7"/>
        <w:keepNext w:val="0"/>
        <w:keepLines w:val="0"/>
        <w:pageBreakBefore w:val="0"/>
        <w:widowControl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某中大型冶金厂的含酸废气处理系统，受限于原有设备配置，未配备自动化传感器与控制器，采用手动操作模式运行。该企业的环集安保塔第一循环碱液槽容积为 5m³，安保塔废碱液的初始 COD 值为 2980mg/L；脱硝塔前端臭氧发生系统的尾气臭氧浓度为 80</w:t>
      </w:r>
      <w:r>
        <w:rPr>
          <w:rFonts w:hint="eastAsia" w:ascii="宋体" w:hAnsi="宋体" w:eastAsia="宋体" w:cs="宋体"/>
          <w:sz w:val="21"/>
          <w:szCs w:val="21"/>
          <w:lang w:val="en-US" w:eastAsia="zh-CN"/>
        </w:rPr>
        <w:t>~</w:t>
      </w:r>
      <w:r>
        <w:rPr>
          <w:rFonts w:hint="eastAsia" w:ascii="宋体" w:hAnsi="宋体" w:eastAsia="宋体" w:cs="宋体"/>
          <w:sz w:val="21"/>
          <w:szCs w:val="21"/>
        </w:rPr>
        <w:t>120mg/m³，第二循环碱液槽容积为 8m³。</w:t>
      </w:r>
    </w:p>
    <w:p w14:paraId="2660CB2F">
      <w:pPr>
        <w:pStyle w:val="7"/>
        <w:keepNext w:val="0"/>
        <w:keepLines w:val="0"/>
        <w:pageBreakBefore w:val="0"/>
        <w:widowControl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 xml:space="preserve">应用本研究的技术后，操作人员每 1.5 小时手动取样检测第一循环碱液槽的碱液参数，当 pH 降至 10.3、密度降至 1.11g/L 时，手动打开输送管路的手动控制阀，调节阀门开度，使输送流量为 5m³/h，为第一循环泵额定流量 20m³/h 的 25%。同时，脱硝塔前的未反应臭氧通过导入管与曝气头持续通入第二循环碱液槽，与梯级输送的废碱液混合反应，接触时间不低于 30min。操作人员每 2 小时检测第二循环碱液槽的 pH 值，混合后碱液 pH 为 7.6，无需补充新鲜碱液。当第一循环碱液槽的液位降至 1/2（约 2.5m³）时，手动关闭输送阀门，补充 2.5m³ 的新鲜 </w:t>
      </w:r>
      <w:r>
        <w:rPr>
          <w:rFonts w:hint="eastAsia" w:ascii="宋体" w:hAnsi="宋体" w:eastAsia="宋体" w:cs="宋体"/>
          <w:sz w:val="21"/>
          <w:szCs w:val="21"/>
          <w:lang w:val="en-US" w:eastAsia="zh-CN"/>
        </w:rPr>
        <w:t>3</w:t>
      </w:r>
      <w:r>
        <w:rPr>
          <w:rFonts w:hint="eastAsia" w:ascii="宋体" w:hAnsi="宋体" w:eastAsia="宋体" w:cs="宋体"/>
          <w:sz w:val="21"/>
          <w:szCs w:val="21"/>
        </w:rPr>
        <w:t>0% 氢氧化钠溶液，恢复碱液 pH 至 11.2、密度至 1.15g/L，进入下一个循环。</w:t>
      </w:r>
    </w:p>
    <w:p w14:paraId="4DE545FD">
      <w:pPr>
        <w:pStyle w:val="7"/>
        <w:keepNext w:val="0"/>
        <w:keepLines w:val="0"/>
        <w:pageBreakBefore w:val="0"/>
        <w:widowControl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系统稳定运行 1 个月后，监测结果显示，环集安保塔的废碱液排放量减少了 62%，梯级利用后的废碱液 COD 稳定在 26</w:t>
      </w:r>
      <w:r>
        <w:rPr>
          <w:rFonts w:hint="eastAsia" w:ascii="宋体" w:hAnsi="宋体" w:eastAsia="宋体" w:cs="宋体"/>
          <w:sz w:val="21"/>
          <w:szCs w:val="21"/>
          <w:lang w:val="en-US" w:eastAsia="zh-CN"/>
        </w:rPr>
        <w:t>~</w:t>
      </w:r>
      <w:r>
        <w:rPr>
          <w:rFonts w:hint="eastAsia" w:ascii="宋体" w:hAnsi="宋体" w:eastAsia="宋体" w:cs="宋体"/>
          <w:sz w:val="21"/>
          <w:szCs w:val="21"/>
        </w:rPr>
        <w:t>29mg/L，满足排放标准要求；同时，脱硝塔的碱液消耗成本降低了 33%，整个过程未新增自动化设备投资，完全通过手动操作实现了系统的稳定运行。</w:t>
      </w:r>
    </w:p>
    <w:p w14:paraId="573C625F">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13" w:name="heading_13"/>
      <w:r>
        <w:rPr>
          <w:rFonts w:hint="eastAsia" w:ascii="宋体" w:hAnsi="宋体" w:eastAsia="宋体" w:cs="宋体"/>
          <w:b/>
          <w:bCs/>
          <w:sz w:val="21"/>
          <w:szCs w:val="21"/>
          <w:lang w:val="en-US" w:eastAsia="zh-CN"/>
        </w:rPr>
        <w:t>4.2 部分自动化模式应用案例</w:t>
      </w:r>
      <w:bookmarkEnd w:id="13"/>
    </w:p>
    <w:p w14:paraId="56CC70A0">
      <w:pPr>
        <w:pStyle w:val="7"/>
        <w:keepNext w:val="0"/>
        <w:keepLines w:val="0"/>
        <w:pageBreakBefore w:val="0"/>
        <w:widowControl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某化工企业的废气处理系统，配备了部分 pH 传感器，但未配备密度传感器，采用部分自动化的运行模式。该企业脱硝塔前的未反应臭氧浓度为 100</w:t>
      </w:r>
      <w:r>
        <w:rPr>
          <w:rFonts w:hint="eastAsia" w:ascii="宋体" w:hAnsi="宋体" w:eastAsia="宋体" w:cs="宋体"/>
          <w:sz w:val="21"/>
          <w:szCs w:val="21"/>
          <w:lang w:val="en-US" w:eastAsia="zh-CN"/>
        </w:rPr>
        <w:t>~</w:t>
      </w:r>
      <w:r>
        <w:rPr>
          <w:rFonts w:hint="eastAsia" w:ascii="宋体" w:hAnsi="宋体" w:eastAsia="宋体" w:cs="宋体"/>
          <w:sz w:val="21"/>
          <w:szCs w:val="21"/>
        </w:rPr>
        <w:t>150mg/m³，环集安保塔的废碱液初始 COD 值为 3</w:t>
      </w:r>
      <w:r>
        <w:rPr>
          <w:rFonts w:hint="eastAsia" w:ascii="宋体" w:hAnsi="宋体" w:eastAsia="宋体" w:cs="宋体"/>
          <w:sz w:val="21"/>
          <w:szCs w:val="21"/>
          <w:lang w:val="en-US" w:eastAsia="zh-CN"/>
        </w:rPr>
        <w:t>000</w:t>
      </w:r>
      <w:r>
        <w:rPr>
          <w:rFonts w:hint="eastAsia" w:ascii="宋体" w:hAnsi="宋体" w:eastAsia="宋体" w:cs="宋体"/>
          <w:sz w:val="21"/>
          <w:szCs w:val="21"/>
        </w:rPr>
        <w:t>mg/L。</w:t>
      </w:r>
    </w:p>
    <w:p w14:paraId="1AA80D04">
      <w:pPr>
        <w:pStyle w:val="7"/>
        <w:keepNext w:val="0"/>
        <w:keepLines w:val="0"/>
        <w:pageBreakBefore w:val="0"/>
        <w:widowControl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应用本技术后，第一循环碱液槽通过 pH 传感器实时监测 pH 值，密度则通过手动每日检测 2 次。当 pH 降至 10.5、密度降至 1.12g/L 时，控制器自动打开电磁控制阀，输送流量为第一循环泵额定流量的 15%。臭氧导入管与曝气头将未反应臭氧通入第二循环碱液槽，与废碱液协同氧化 COD，接触时间不低于 30min。第二 pH 传感器实时监测碱液的 pH 值，当 pH 降至 7.1 时，控制器自动启动补碱阀补充新鲜碱液，维持碱液的碱度。</w:t>
      </w:r>
    </w:p>
    <w:p w14:paraId="1D1AF508">
      <w:pPr>
        <w:pStyle w:val="7"/>
        <w:keepNext w:val="0"/>
        <w:keepLines w:val="0"/>
        <w:pageBreakBefore w:val="0"/>
        <w:widowControl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运行结果表明，该系统运行稳定，废碱液的 COD 降至 24</w:t>
      </w:r>
      <w:r>
        <w:rPr>
          <w:rFonts w:hint="eastAsia" w:ascii="宋体" w:hAnsi="宋体" w:eastAsia="宋体" w:cs="宋体"/>
          <w:sz w:val="21"/>
          <w:szCs w:val="21"/>
          <w:lang w:val="en-US" w:eastAsia="zh-CN"/>
        </w:rPr>
        <w:t>~</w:t>
      </w:r>
      <w:r>
        <w:rPr>
          <w:rFonts w:hint="eastAsia" w:ascii="宋体" w:hAnsi="宋体" w:eastAsia="宋体" w:cs="宋体"/>
          <w:sz w:val="21"/>
          <w:szCs w:val="21"/>
        </w:rPr>
        <w:t>28mg/L，污酸处理总量减少了 58%，碱剂的单耗降低了 29%，取得了良好的应用效果。</w:t>
      </w:r>
    </w:p>
    <w:p w14:paraId="0827E6E9">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14" w:name="heading_14"/>
      <w:r>
        <w:rPr>
          <w:rFonts w:hint="eastAsia" w:ascii="宋体" w:hAnsi="宋体" w:eastAsia="宋体" w:cs="宋体"/>
          <w:b/>
          <w:bCs/>
          <w:sz w:val="21"/>
          <w:szCs w:val="21"/>
          <w:lang w:val="en-US" w:eastAsia="zh-CN"/>
        </w:rPr>
        <w:t>5 结果与分析</w:t>
      </w:r>
      <w:bookmarkEnd w:id="14"/>
    </w:p>
    <w:p w14:paraId="043C0ED5">
      <w:pPr>
        <w:pStyle w:val="7"/>
        <w:keepNext w:val="0"/>
        <w:keepLines w:val="0"/>
        <w:pageBreakBefore w:val="0"/>
        <w:widowControl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通过两个工业应用案例的运行数据，对本研究技术的应用效果进行分析，结果表明该技术具有以下显著优势：</w:t>
      </w:r>
    </w:p>
    <w:p w14:paraId="24B125E0">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15" w:name="heading_15"/>
      <w:r>
        <w:rPr>
          <w:rFonts w:hint="eastAsia" w:ascii="宋体" w:hAnsi="宋体" w:eastAsia="宋体" w:cs="宋体"/>
          <w:b/>
          <w:bCs/>
          <w:sz w:val="21"/>
          <w:szCs w:val="21"/>
          <w:lang w:val="en-US" w:eastAsia="zh-CN"/>
        </w:rPr>
        <w:t>5.1 协同除 COD 效果显著</w:t>
      </w:r>
      <w:bookmarkEnd w:id="15"/>
    </w:p>
    <w:p w14:paraId="65787646">
      <w:pPr>
        <w:pStyle w:val="7"/>
        <w:keepNext w:val="0"/>
        <w:keepLines w:val="0"/>
        <w:pageBreakBefore w:val="0"/>
        <w:widowControl w:val="0"/>
        <w:kinsoku/>
        <w:wordWrap/>
        <w:overflowPunct/>
        <w:topLinePunct w:val="0"/>
        <w:autoSpaceDE/>
        <w:autoSpaceDN/>
        <w:bidi w:val="0"/>
        <w:adjustRightInd/>
        <w:snapToGrid/>
        <w:spacing w:after="0" w:afterLines="0" w:line="400" w:lineRule="exact"/>
        <w:textAlignment w:val="auto"/>
        <w:rPr>
          <w:rFonts w:hint="eastAsia" w:ascii="宋体" w:hAnsi="宋体" w:eastAsia="宋体" w:cs="宋体"/>
          <w:sz w:val="21"/>
          <w:szCs w:val="21"/>
        </w:rPr>
      </w:pPr>
      <w:r>
        <w:rPr>
          <w:rFonts w:hint="eastAsia" w:ascii="宋体" w:hAnsi="宋体" w:eastAsia="宋体" w:cs="宋体"/>
          <w:sz w:val="21"/>
          <w:szCs w:val="21"/>
        </w:rPr>
        <w:t>本技术利用脱硝塔前端的未反应臭氧，在梯级碱液的碱性环境中强化臭氧的氧化反应，有效降解了废碱液中的有机污染物。两个案例的运行结果均显示，安保塔废碱液的 COD 可从 3000mg/L 左右降至 30mg/L 以内，去除率超过 99%，远高于现有单独臭氧氧化处理废碱液的 54% 的去除率</w:t>
      </w:r>
      <w:r>
        <w:rPr>
          <w:rFonts w:hint="eastAsia" w:ascii="宋体" w:hAnsi="宋体" w:eastAsia="宋体" w:cs="宋体"/>
          <w:sz w:val="21"/>
          <w:szCs w:val="21"/>
          <w:vertAlign w:val="superscript"/>
        </w:rPr>
        <w:t xml:space="preserve"> [5]</w:t>
      </w:r>
      <w:r>
        <w:rPr>
          <w:rFonts w:hint="eastAsia" w:ascii="宋体" w:hAnsi="宋体" w:eastAsia="宋体" w:cs="宋体"/>
          <w:sz w:val="21"/>
          <w:szCs w:val="21"/>
        </w:rPr>
        <w:t>，大幅降低了污酸污水处理的压力，解决了传统梯级利用技术中废碱液 COD 超标的难题。</w:t>
      </w:r>
    </w:p>
    <w:p w14:paraId="08929FB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16" w:name="heading_16"/>
      <w:r>
        <w:rPr>
          <w:rFonts w:hint="eastAsia" w:ascii="宋体" w:hAnsi="宋体" w:eastAsia="宋体" w:cs="宋体"/>
          <w:b/>
          <w:bCs/>
          <w:sz w:val="21"/>
          <w:szCs w:val="21"/>
          <w:lang w:val="en-US" w:eastAsia="zh-CN"/>
        </w:rPr>
        <w:t>5.2 资源回收效率高</w:t>
      </w:r>
      <w:bookmarkEnd w:id="16"/>
    </w:p>
    <w:p w14:paraId="1FD17FAC">
      <w:pPr>
        <w:pStyle w:val="7"/>
        <w:keepNext w:val="0"/>
        <w:keepLines w:val="0"/>
        <w:pageBreakBefore w:val="0"/>
        <w:widowControl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该技术实现了碱液与臭氧的双重资源回收：一方面，充分利用了安保塔废碱液的残留碱度，将其用于脱硝塔的碱液补充，减少了脱硝塔新鲜碱液的消耗，两个案例中碱剂消耗分别降低了 33% 与 29%，综合降低了企业的运行成本，这与现有梯级利用技术的碱耗降低效果相当</w:t>
      </w:r>
      <w:r>
        <w:rPr>
          <w:rFonts w:hint="eastAsia" w:ascii="宋体" w:hAnsi="宋体" w:eastAsia="宋体" w:cs="宋体"/>
          <w:sz w:val="21"/>
          <w:szCs w:val="21"/>
          <w:vertAlign w:val="superscript"/>
        </w:rPr>
        <w:t xml:space="preserve"> [1,6]</w:t>
      </w:r>
      <w:r>
        <w:rPr>
          <w:rFonts w:hint="eastAsia" w:ascii="宋体" w:hAnsi="宋体" w:eastAsia="宋体" w:cs="宋体"/>
          <w:sz w:val="21"/>
          <w:szCs w:val="21"/>
        </w:rPr>
        <w:t>；另一方面，回收利用了脱硝系统的未反应臭氧，避免了臭氧直接排放造成的资源浪费与潜在污染，实现了资源的高效利用。</w:t>
      </w:r>
    </w:p>
    <w:p w14:paraId="4A6F0FD6">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17" w:name="heading_17"/>
      <w:r>
        <w:rPr>
          <w:rFonts w:hint="eastAsia" w:ascii="宋体" w:hAnsi="宋体" w:eastAsia="宋体" w:cs="宋体"/>
          <w:b/>
          <w:bCs/>
          <w:sz w:val="21"/>
          <w:szCs w:val="21"/>
          <w:lang w:val="en-US" w:eastAsia="zh-CN"/>
        </w:rPr>
        <w:t>5.3 场景适配性强</w:t>
      </w:r>
      <w:bookmarkEnd w:id="17"/>
    </w:p>
    <w:p w14:paraId="624DEA6A">
      <w:pPr>
        <w:pStyle w:val="7"/>
        <w:keepNext w:val="0"/>
        <w:keepLines w:val="0"/>
        <w:pageBreakBefore w:val="0"/>
        <w:widowControl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该技术同时支持自动化控制与手动操作两种模式，对于配备完善自动化设备的企业，可通过传感器与自动控制阀实现全自动化运行；对于未配备自动化设备的中小型企业，仅通过手动取样检测与阀门调节即可实现稳定运行，无需额外投入自动化设备，大幅降低了企业的改造门槛，使得该技术可适配不同规模、不同自动化水平的企业，解决了现有技术仅能适配自动化企业的局限性，具有广泛的适用性。</w:t>
      </w:r>
    </w:p>
    <w:p w14:paraId="35593530">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18" w:name="heading_18"/>
      <w:r>
        <w:rPr>
          <w:rFonts w:hint="eastAsia" w:ascii="宋体" w:hAnsi="宋体" w:eastAsia="宋体" w:cs="宋体"/>
          <w:b/>
          <w:bCs/>
          <w:sz w:val="21"/>
          <w:szCs w:val="21"/>
          <w:lang w:val="en-US" w:eastAsia="zh-CN"/>
        </w:rPr>
        <w:t>5.4 改造成本低、回报周期短</w:t>
      </w:r>
      <w:bookmarkEnd w:id="18"/>
    </w:p>
    <w:p w14:paraId="002F2BB5">
      <w:pPr>
        <w:pStyle w:val="7"/>
        <w:keepNext w:val="0"/>
        <w:keepLines w:val="0"/>
        <w:pageBreakBefore w:val="0"/>
        <w:widowControl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该技术仅需在现有设备基础上增设输送管路、臭氧导入管、过滤装置以及相应的阀门，改造难度低，改造周期仅需 13 天，即可完成系统的升级。根据应用案例的成本核算，该技术的投资回报周期不超过 6 个月，企业可在短时间内收回改造成本，具有良好的经济效益。</w:t>
      </w:r>
    </w:p>
    <w:p w14:paraId="2DA2616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19" w:name="heading_19"/>
      <w:r>
        <w:rPr>
          <w:rFonts w:hint="eastAsia" w:ascii="宋体" w:hAnsi="宋体" w:eastAsia="宋体" w:cs="宋体"/>
          <w:b/>
          <w:bCs/>
          <w:sz w:val="21"/>
          <w:szCs w:val="21"/>
          <w:lang w:val="en-US" w:eastAsia="zh-CN"/>
        </w:rPr>
        <w:t>6 结论</w:t>
      </w:r>
      <w:bookmarkEnd w:id="19"/>
    </w:p>
    <w:p w14:paraId="230AA41A">
      <w:pPr>
        <w:pStyle w:val="7"/>
        <w:keepNext w:val="0"/>
        <w:keepLines w:val="0"/>
        <w:pageBreakBefore w:val="0"/>
        <w:widowControl w:val="0"/>
        <w:kinsoku/>
        <w:wordWrap/>
        <w:overflowPunct/>
        <w:topLinePunct w:val="0"/>
        <w:autoSpaceDE/>
        <w:autoSpaceDN/>
        <w:bidi w:val="0"/>
        <w:adjustRightInd/>
        <w:snapToGrid/>
        <w:spacing w:after="0" w:afterLines="0"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针对工业废气处理过程中环集安保塔与脱硝塔系统独立运行存在的资源浪费、废碱液 COD 超标、场景适配性差等问题，本研究开发了一种 “碱液梯级利用 + 臭氧协同氧化” 的一体化技术，实现了碱资源与臭氧资源的双重回收，同时完成了废碱液 COD 的深度去除，并且该技术可同时适配自动化与手动操作模式，满足不同企业的应用需求。</w:t>
      </w:r>
    </w:p>
    <w:p w14:paraId="7B7DBFB3">
      <w:pPr>
        <w:pStyle w:val="7"/>
        <w:keepNext w:val="0"/>
        <w:keepLines w:val="0"/>
        <w:pageBreakBefore w:val="0"/>
        <w:widowControl w:val="0"/>
        <w:kinsoku/>
        <w:wordWrap/>
        <w:overflowPunct/>
        <w:topLinePunct w:val="0"/>
        <w:autoSpaceDE/>
        <w:autoSpaceDN/>
        <w:bidi w:val="0"/>
        <w:adjustRightInd/>
        <w:snapToGrid/>
        <w:spacing w:after="0" w:afterLines="0" w:line="400" w:lineRule="exact"/>
        <w:textAlignment w:val="auto"/>
        <w:rPr>
          <w:rFonts w:hint="eastAsia" w:ascii="宋体" w:hAnsi="宋体" w:eastAsia="宋体" w:cs="宋体"/>
          <w:sz w:val="21"/>
          <w:szCs w:val="21"/>
        </w:rPr>
      </w:pPr>
      <w:r>
        <w:rPr>
          <w:rFonts w:hint="eastAsia" w:ascii="宋体" w:hAnsi="宋体" w:eastAsia="宋体" w:cs="宋体"/>
          <w:sz w:val="21"/>
          <w:szCs w:val="21"/>
        </w:rPr>
        <w:t>工业应用结果表明，该技术可将安保塔废碱液的 COD 从 3000mg/L 降至 30mg/L 以内，碱剂消耗降低 28%</w:t>
      </w:r>
      <w:r>
        <w:rPr>
          <w:rFonts w:hint="eastAsia" w:ascii="宋体" w:hAnsi="宋体" w:eastAsia="宋体" w:cs="宋体"/>
          <w:sz w:val="21"/>
          <w:szCs w:val="21"/>
          <w:lang w:val="en-US" w:eastAsia="zh-CN"/>
        </w:rPr>
        <w:t>~</w:t>
      </w:r>
      <w:r>
        <w:rPr>
          <w:rFonts w:hint="eastAsia" w:ascii="宋体" w:hAnsi="宋体" w:eastAsia="宋体" w:cs="宋体"/>
          <w:sz w:val="21"/>
          <w:szCs w:val="21"/>
        </w:rPr>
        <w:t>35%，废碱液排放量减少 58%</w:t>
      </w:r>
      <w:r>
        <w:rPr>
          <w:rFonts w:hint="eastAsia" w:ascii="宋体" w:hAnsi="宋体" w:eastAsia="宋体" w:cs="宋体"/>
          <w:sz w:val="21"/>
          <w:szCs w:val="21"/>
          <w:lang w:val="en-US" w:eastAsia="zh-CN"/>
        </w:rPr>
        <w:t>~</w:t>
      </w:r>
      <w:r>
        <w:rPr>
          <w:rFonts w:hint="eastAsia" w:ascii="宋体" w:hAnsi="宋体" w:eastAsia="宋体" w:cs="宋体"/>
          <w:sz w:val="21"/>
          <w:szCs w:val="21"/>
        </w:rPr>
        <w:t>62%，同时改造周期短，投资回报周期不足 6 个月，可在现有设备基础上快速完成升级改造。该技术为冶金、化工等行业的废气处理系统提供了一种高效、经济、适配性强的升级方案，对推动行业的降本增效、绿色低碳转型具有重要的意义。</w:t>
      </w:r>
    </w:p>
    <w:p w14:paraId="769B9786">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20" w:name="heading_20"/>
    </w:p>
    <w:p w14:paraId="7779417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参考文献</w:t>
      </w:r>
      <w:bookmarkEnd w:id="20"/>
    </w:p>
    <w:p w14:paraId="47AFD6BA">
      <w:pPr>
        <w:keepNext w:val="0"/>
        <w:keepLines w:val="0"/>
        <w:pageBreakBefore w:val="0"/>
        <w:widowControl w:val="0"/>
        <w:kinsoku/>
        <w:wordWrap/>
        <w:overflowPunct/>
        <w:topLinePunct w:val="0"/>
        <w:autoSpaceDE/>
        <w:autoSpaceDN/>
        <w:bidi w:val="0"/>
        <w:adjustRightInd/>
        <w:snapToGrid/>
        <w:spacing w:line="400" w:lineRule="exact"/>
        <w:ind w:left="0"/>
        <w:jc w:val="left"/>
        <w:textAlignment w:val="auto"/>
        <w:rPr>
          <w:rFonts w:hint="eastAsia" w:ascii="宋体" w:hAnsi="宋体" w:eastAsia="宋体" w:cs="宋体"/>
          <w:sz w:val="21"/>
          <w:szCs w:val="21"/>
        </w:rPr>
      </w:pPr>
      <w:r>
        <w:rPr>
          <w:rFonts w:hint="eastAsia" w:ascii="宋体" w:hAnsi="宋体" w:eastAsia="宋体" w:cs="宋体"/>
          <w:sz w:val="21"/>
          <w:szCs w:val="21"/>
        </w:rPr>
        <w:t>[1] 孙军军，向荣，王曌。催化裂化再生烟气净化新工艺的应用 [J]. 工业安全与环保，2014.</w:t>
      </w:r>
      <w:r>
        <w:rPr>
          <w:rFonts w:hint="eastAsia" w:ascii="宋体" w:hAnsi="宋体" w:eastAsia="宋体" w:cs="宋体"/>
          <w:sz w:val="21"/>
          <w:szCs w:val="21"/>
        </w:rPr>
        <w:br w:type="textWrapping"/>
      </w:r>
      <w:r>
        <w:rPr>
          <w:rFonts w:hint="eastAsia" w:ascii="宋体" w:hAnsi="宋体" w:eastAsia="宋体" w:cs="宋体"/>
          <w:sz w:val="21"/>
          <w:szCs w:val="21"/>
        </w:rPr>
        <w:t>[2] 秦煜栋。催化裂化再生烟气处理技术的工业应用 [J]. 能源化工，2018.</w:t>
      </w:r>
      <w:r>
        <w:rPr>
          <w:rFonts w:hint="eastAsia" w:ascii="宋体" w:hAnsi="宋体" w:eastAsia="宋体" w:cs="宋体"/>
          <w:sz w:val="21"/>
          <w:szCs w:val="21"/>
        </w:rPr>
        <w:br w:type="textWrapping"/>
      </w:r>
      <w:r>
        <w:rPr>
          <w:rFonts w:hint="eastAsia" w:ascii="宋体" w:hAnsi="宋体" w:eastAsia="宋体" w:cs="宋体"/>
          <w:sz w:val="21"/>
          <w:szCs w:val="21"/>
        </w:rPr>
        <w:t>[3] 刘灵辉，何国伟，梁祥京。丝光废碱液净化处理工艺研究 [J]. 环境工程学报，2011.</w:t>
      </w:r>
      <w:r>
        <w:rPr>
          <w:rFonts w:hint="eastAsia" w:ascii="宋体" w:hAnsi="宋体" w:eastAsia="宋体" w:cs="宋体"/>
          <w:sz w:val="21"/>
          <w:szCs w:val="21"/>
        </w:rPr>
        <w:br w:type="textWrapping"/>
      </w:r>
      <w:r>
        <w:rPr>
          <w:rFonts w:hint="eastAsia" w:ascii="宋体" w:hAnsi="宋体" w:eastAsia="宋体" w:cs="宋体"/>
          <w:sz w:val="21"/>
          <w:szCs w:val="21"/>
        </w:rPr>
        <w:t>[4] 解维平，代昕璐。臭氧脱硝技术在铅冶炼制酸尾气处理中的应用 [J]. 硫酸工业，2021.</w:t>
      </w:r>
      <w:r>
        <w:rPr>
          <w:rFonts w:hint="eastAsia" w:ascii="宋体" w:hAnsi="宋体" w:eastAsia="宋体" w:cs="宋体"/>
          <w:sz w:val="21"/>
          <w:szCs w:val="21"/>
        </w:rPr>
        <w:br w:type="textWrapping"/>
      </w:r>
      <w:r>
        <w:rPr>
          <w:rFonts w:hint="eastAsia" w:ascii="宋体" w:hAnsi="宋体" w:eastAsia="宋体" w:cs="宋体"/>
          <w:sz w:val="21"/>
          <w:szCs w:val="21"/>
        </w:rPr>
        <w:t>[5] 余政哲，孙德智，史鹏飞，等。基于高级氧化技术处理乙烯生产废碱液的研究 [J]. 东北电力学院学报，2005.</w:t>
      </w:r>
      <w:r>
        <w:rPr>
          <w:rFonts w:hint="eastAsia" w:ascii="宋体" w:hAnsi="宋体" w:eastAsia="宋体" w:cs="宋体"/>
          <w:sz w:val="21"/>
          <w:szCs w:val="21"/>
        </w:rPr>
        <w:br w:type="textWrapping"/>
      </w:r>
      <w:r>
        <w:rPr>
          <w:rFonts w:hint="eastAsia" w:ascii="宋体" w:hAnsi="宋体" w:eastAsia="宋体" w:cs="宋体"/>
          <w:sz w:val="21"/>
          <w:szCs w:val="21"/>
        </w:rPr>
        <w:t>[6] 闫友。铅冶炼厂有机胺脱硫烟气处理工艺优化改造 [J]. 绿色矿冶，2023.</w:t>
      </w:r>
    </w:p>
    <w:p w14:paraId="44B01BB1">
      <w:pPr>
        <w:spacing w:before="120" w:after="120" w:line="288" w:lineRule="auto"/>
        <w:ind w:left="0"/>
        <w:jc w:val="left"/>
      </w:pPr>
    </w:p>
    <w:p w14:paraId="3A85B4D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bookmarkStart w:id="21" w:name="_GoBack"/>
      <w:bookmarkEnd w:id="21"/>
    </w:p>
    <w:sectPr>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ZmMwZTNkY2FjMjU1Y2Y4ZTlkNzhjNmI4MDEyNjcifQ=="/>
  </w:docVars>
  <w:rsids>
    <w:rsidRoot w:val="00DD4CC1"/>
    <w:rsid w:val="00036B5E"/>
    <w:rsid w:val="00047FC0"/>
    <w:rsid w:val="00060599"/>
    <w:rsid w:val="0008730F"/>
    <w:rsid w:val="000A4D30"/>
    <w:rsid w:val="001570A5"/>
    <w:rsid w:val="001653DA"/>
    <w:rsid w:val="00170655"/>
    <w:rsid w:val="001F16B8"/>
    <w:rsid w:val="001F268C"/>
    <w:rsid w:val="00205F95"/>
    <w:rsid w:val="00223CAE"/>
    <w:rsid w:val="00252BF1"/>
    <w:rsid w:val="00264F57"/>
    <w:rsid w:val="002A2FE8"/>
    <w:rsid w:val="002A6E7F"/>
    <w:rsid w:val="002D3AD9"/>
    <w:rsid w:val="0032324D"/>
    <w:rsid w:val="00326DED"/>
    <w:rsid w:val="00452666"/>
    <w:rsid w:val="0046021A"/>
    <w:rsid w:val="00472F07"/>
    <w:rsid w:val="00495E28"/>
    <w:rsid w:val="004A7308"/>
    <w:rsid w:val="004B658B"/>
    <w:rsid w:val="004E5974"/>
    <w:rsid w:val="004E639D"/>
    <w:rsid w:val="0052555F"/>
    <w:rsid w:val="00550EFD"/>
    <w:rsid w:val="005A641B"/>
    <w:rsid w:val="005B2031"/>
    <w:rsid w:val="006054C1"/>
    <w:rsid w:val="006278D9"/>
    <w:rsid w:val="006525A5"/>
    <w:rsid w:val="006B4EF3"/>
    <w:rsid w:val="006B523C"/>
    <w:rsid w:val="006C7D50"/>
    <w:rsid w:val="00704818"/>
    <w:rsid w:val="00735E72"/>
    <w:rsid w:val="00756BF6"/>
    <w:rsid w:val="007958E0"/>
    <w:rsid w:val="007A04D9"/>
    <w:rsid w:val="007C2153"/>
    <w:rsid w:val="007D0764"/>
    <w:rsid w:val="007F00BC"/>
    <w:rsid w:val="00844F2C"/>
    <w:rsid w:val="00852987"/>
    <w:rsid w:val="0087425D"/>
    <w:rsid w:val="00874940"/>
    <w:rsid w:val="009168ED"/>
    <w:rsid w:val="0093495B"/>
    <w:rsid w:val="0094356F"/>
    <w:rsid w:val="009819FE"/>
    <w:rsid w:val="00987F1F"/>
    <w:rsid w:val="00A0752B"/>
    <w:rsid w:val="00A1502F"/>
    <w:rsid w:val="00A3470B"/>
    <w:rsid w:val="00A633AE"/>
    <w:rsid w:val="00A81B9E"/>
    <w:rsid w:val="00AA011A"/>
    <w:rsid w:val="00AD6D59"/>
    <w:rsid w:val="00B05911"/>
    <w:rsid w:val="00B226D2"/>
    <w:rsid w:val="00B86F3C"/>
    <w:rsid w:val="00BD25C3"/>
    <w:rsid w:val="00BF5402"/>
    <w:rsid w:val="00C31229"/>
    <w:rsid w:val="00C76433"/>
    <w:rsid w:val="00CF58F8"/>
    <w:rsid w:val="00D203A8"/>
    <w:rsid w:val="00D36A6E"/>
    <w:rsid w:val="00D829F0"/>
    <w:rsid w:val="00DD4CC1"/>
    <w:rsid w:val="00DE0390"/>
    <w:rsid w:val="00DF0139"/>
    <w:rsid w:val="00E52C97"/>
    <w:rsid w:val="00E67BF2"/>
    <w:rsid w:val="00EC1DD6"/>
    <w:rsid w:val="00ED67A0"/>
    <w:rsid w:val="00F153FF"/>
    <w:rsid w:val="00F22786"/>
    <w:rsid w:val="00F834FB"/>
    <w:rsid w:val="00F9257D"/>
    <w:rsid w:val="00FB3EEC"/>
    <w:rsid w:val="00FD2258"/>
    <w:rsid w:val="01520363"/>
    <w:rsid w:val="01C963F3"/>
    <w:rsid w:val="01D27561"/>
    <w:rsid w:val="01DE1C5C"/>
    <w:rsid w:val="02203B3A"/>
    <w:rsid w:val="02276739"/>
    <w:rsid w:val="02B86B51"/>
    <w:rsid w:val="03304250"/>
    <w:rsid w:val="0374238F"/>
    <w:rsid w:val="03A5079A"/>
    <w:rsid w:val="03C50E3C"/>
    <w:rsid w:val="03C527A5"/>
    <w:rsid w:val="0462668B"/>
    <w:rsid w:val="048748A1"/>
    <w:rsid w:val="04CC1D57"/>
    <w:rsid w:val="04DC643E"/>
    <w:rsid w:val="056106F1"/>
    <w:rsid w:val="05AE130F"/>
    <w:rsid w:val="05FB3670"/>
    <w:rsid w:val="06112117"/>
    <w:rsid w:val="062077BC"/>
    <w:rsid w:val="065F10D4"/>
    <w:rsid w:val="068B1EC9"/>
    <w:rsid w:val="0730481F"/>
    <w:rsid w:val="076E5F7E"/>
    <w:rsid w:val="07B471FE"/>
    <w:rsid w:val="07C05BA3"/>
    <w:rsid w:val="07E3246F"/>
    <w:rsid w:val="07F7358F"/>
    <w:rsid w:val="08564759"/>
    <w:rsid w:val="08BA0844"/>
    <w:rsid w:val="091A7E4E"/>
    <w:rsid w:val="09931095"/>
    <w:rsid w:val="09F00295"/>
    <w:rsid w:val="0A1C72DC"/>
    <w:rsid w:val="0A4B20AA"/>
    <w:rsid w:val="0AB1211B"/>
    <w:rsid w:val="0AEE6ECB"/>
    <w:rsid w:val="0AFF2E86"/>
    <w:rsid w:val="0B664CB3"/>
    <w:rsid w:val="0C0E77A3"/>
    <w:rsid w:val="0C2B45A8"/>
    <w:rsid w:val="0C580AA0"/>
    <w:rsid w:val="0C8E44C1"/>
    <w:rsid w:val="0CBD0681"/>
    <w:rsid w:val="0CDE6ACB"/>
    <w:rsid w:val="0CE82491"/>
    <w:rsid w:val="0CF56428"/>
    <w:rsid w:val="0D525F6F"/>
    <w:rsid w:val="0D731909"/>
    <w:rsid w:val="0DA11FD2"/>
    <w:rsid w:val="0E470192"/>
    <w:rsid w:val="0E5352AC"/>
    <w:rsid w:val="0E792F4F"/>
    <w:rsid w:val="0EC8358F"/>
    <w:rsid w:val="0F543075"/>
    <w:rsid w:val="0FEE51C5"/>
    <w:rsid w:val="0FEF171B"/>
    <w:rsid w:val="0FF00FEF"/>
    <w:rsid w:val="0FF705D0"/>
    <w:rsid w:val="102313C5"/>
    <w:rsid w:val="103C5A23"/>
    <w:rsid w:val="10523A58"/>
    <w:rsid w:val="10667503"/>
    <w:rsid w:val="108035FE"/>
    <w:rsid w:val="108F6A5A"/>
    <w:rsid w:val="10B85FB1"/>
    <w:rsid w:val="10BB15FD"/>
    <w:rsid w:val="10D34B99"/>
    <w:rsid w:val="111156C1"/>
    <w:rsid w:val="111B6540"/>
    <w:rsid w:val="11407D54"/>
    <w:rsid w:val="11F50B3F"/>
    <w:rsid w:val="123F1DBA"/>
    <w:rsid w:val="128048BE"/>
    <w:rsid w:val="12CF1390"/>
    <w:rsid w:val="12DB7D35"/>
    <w:rsid w:val="12E60488"/>
    <w:rsid w:val="13001868"/>
    <w:rsid w:val="132A2A6A"/>
    <w:rsid w:val="13CB5FFB"/>
    <w:rsid w:val="145D3907"/>
    <w:rsid w:val="148A7C64"/>
    <w:rsid w:val="14B4083D"/>
    <w:rsid w:val="156C2EC6"/>
    <w:rsid w:val="15C56B00"/>
    <w:rsid w:val="16132CB9"/>
    <w:rsid w:val="16B20DAC"/>
    <w:rsid w:val="16B25250"/>
    <w:rsid w:val="16B8213B"/>
    <w:rsid w:val="16D2144F"/>
    <w:rsid w:val="17836BED"/>
    <w:rsid w:val="178C5AA1"/>
    <w:rsid w:val="17AD77C6"/>
    <w:rsid w:val="180933FC"/>
    <w:rsid w:val="185C6006"/>
    <w:rsid w:val="18616F2E"/>
    <w:rsid w:val="191221DB"/>
    <w:rsid w:val="19235F91"/>
    <w:rsid w:val="19800B64"/>
    <w:rsid w:val="19836A30"/>
    <w:rsid w:val="199944A6"/>
    <w:rsid w:val="19FD4A34"/>
    <w:rsid w:val="1A533F79"/>
    <w:rsid w:val="1A5A1E87"/>
    <w:rsid w:val="1B2F179A"/>
    <w:rsid w:val="1B6F3710"/>
    <w:rsid w:val="1C250273"/>
    <w:rsid w:val="1D01483C"/>
    <w:rsid w:val="1D5D57EA"/>
    <w:rsid w:val="1E171E3D"/>
    <w:rsid w:val="1EBA2EF4"/>
    <w:rsid w:val="1EC41FC5"/>
    <w:rsid w:val="1EFE3E02"/>
    <w:rsid w:val="1F78690B"/>
    <w:rsid w:val="1FA40E26"/>
    <w:rsid w:val="20181E55"/>
    <w:rsid w:val="20200F8C"/>
    <w:rsid w:val="20482782"/>
    <w:rsid w:val="204B20BB"/>
    <w:rsid w:val="204F1D62"/>
    <w:rsid w:val="205C7FDB"/>
    <w:rsid w:val="20CA763A"/>
    <w:rsid w:val="211803A6"/>
    <w:rsid w:val="21294361"/>
    <w:rsid w:val="21661758"/>
    <w:rsid w:val="227635D6"/>
    <w:rsid w:val="22BA5BB9"/>
    <w:rsid w:val="230D784D"/>
    <w:rsid w:val="23B95F13"/>
    <w:rsid w:val="24174945"/>
    <w:rsid w:val="24212C83"/>
    <w:rsid w:val="244020ED"/>
    <w:rsid w:val="248B32E5"/>
    <w:rsid w:val="24B17D3C"/>
    <w:rsid w:val="24EE1B49"/>
    <w:rsid w:val="25867FD4"/>
    <w:rsid w:val="259C77F7"/>
    <w:rsid w:val="262A3A04"/>
    <w:rsid w:val="269C7383"/>
    <w:rsid w:val="26B66697"/>
    <w:rsid w:val="273D46C2"/>
    <w:rsid w:val="27435A51"/>
    <w:rsid w:val="27466F3A"/>
    <w:rsid w:val="276F4A98"/>
    <w:rsid w:val="283B6E9A"/>
    <w:rsid w:val="28414686"/>
    <w:rsid w:val="28713BDB"/>
    <w:rsid w:val="287C746C"/>
    <w:rsid w:val="288D3427"/>
    <w:rsid w:val="28C3509B"/>
    <w:rsid w:val="28D44D60"/>
    <w:rsid w:val="29F55569"/>
    <w:rsid w:val="2A6D1762"/>
    <w:rsid w:val="2A9C2048"/>
    <w:rsid w:val="2AF37C49"/>
    <w:rsid w:val="2C1A3224"/>
    <w:rsid w:val="2C5F332D"/>
    <w:rsid w:val="2CDC497D"/>
    <w:rsid w:val="2DA03BFD"/>
    <w:rsid w:val="2DA336ED"/>
    <w:rsid w:val="2DD45655"/>
    <w:rsid w:val="2E7221A8"/>
    <w:rsid w:val="2EC67693"/>
    <w:rsid w:val="2EDC0C65"/>
    <w:rsid w:val="2EE30245"/>
    <w:rsid w:val="2F087CAC"/>
    <w:rsid w:val="2F0E4B96"/>
    <w:rsid w:val="2F1A353B"/>
    <w:rsid w:val="2F1F6DA3"/>
    <w:rsid w:val="2F397E65"/>
    <w:rsid w:val="2F620882"/>
    <w:rsid w:val="2F633134"/>
    <w:rsid w:val="2F882B9B"/>
    <w:rsid w:val="2FA86D99"/>
    <w:rsid w:val="300F6E18"/>
    <w:rsid w:val="312F3756"/>
    <w:rsid w:val="31496359"/>
    <w:rsid w:val="315E0057"/>
    <w:rsid w:val="318D4498"/>
    <w:rsid w:val="3199108F"/>
    <w:rsid w:val="319F16AA"/>
    <w:rsid w:val="31CC4FC0"/>
    <w:rsid w:val="31F167D5"/>
    <w:rsid w:val="3216448E"/>
    <w:rsid w:val="321D581C"/>
    <w:rsid w:val="323963CE"/>
    <w:rsid w:val="3273368E"/>
    <w:rsid w:val="32963820"/>
    <w:rsid w:val="32E20814"/>
    <w:rsid w:val="337771AE"/>
    <w:rsid w:val="33F94067"/>
    <w:rsid w:val="34480B4A"/>
    <w:rsid w:val="34821AD6"/>
    <w:rsid w:val="35A52FD0"/>
    <w:rsid w:val="35D501BC"/>
    <w:rsid w:val="36407D2B"/>
    <w:rsid w:val="36BE3BE8"/>
    <w:rsid w:val="36DA26A7"/>
    <w:rsid w:val="36DB5CA6"/>
    <w:rsid w:val="37227431"/>
    <w:rsid w:val="3756532C"/>
    <w:rsid w:val="37B01725"/>
    <w:rsid w:val="38061044"/>
    <w:rsid w:val="381C3783"/>
    <w:rsid w:val="389E342F"/>
    <w:rsid w:val="38C5276A"/>
    <w:rsid w:val="39783C80"/>
    <w:rsid w:val="399551B1"/>
    <w:rsid w:val="39D619B3"/>
    <w:rsid w:val="3A445910"/>
    <w:rsid w:val="3A557B1D"/>
    <w:rsid w:val="3A726921"/>
    <w:rsid w:val="3A765FE2"/>
    <w:rsid w:val="3B653D90"/>
    <w:rsid w:val="3B7D732B"/>
    <w:rsid w:val="3BAE3989"/>
    <w:rsid w:val="3BCC3E0F"/>
    <w:rsid w:val="3BD66A3C"/>
    <w:rsid w:val="3C424796"/>
    <w:rsid w:val="3CC044ED"/>
    <w:rsid w:val="3CC25530"/>
    <w:rsid w:val="3CC52D38"/>
    <w:rsid w:val="3CD13DD3"/>
    <w:rsid w:val="3D0715A3"/>
    <w:rsid w:val="3DA212CB"/>
    <w:rsid w:val="3DBB238D"/>
    <w:rsid w:val="3DBD6105"/>
    <w:rsid w:val="3E4405D4"/>
    <w:rsid w:val="3E9C5D1B"/>
    <w:rsid w:val="3F375A43"/>
    <w:rsid w:val="3FA4757D"/>
    <w:rsid w:val="3FB6105E"/>
    <w:rsid w:val="3FE444E6"/>
    <w:rsid w:val="40583EC3"/>
    <w:rsid w:val="40642868"/>
    <w:rsid w:val="407A652F"/>
    <w:rsid w:val="40923879"/>
    <w:rsid w:val="40984D90"/>
    <w:rsid w:val="410F592B"/>
    <w:rsid w:val="411424E0"/>
    <w:rsid w:val="41641264"/>
    <w:rsid w:val="41700BEB"/>
    <w:rsid w:val="41B9225D"/>
    <w:rsid w:val="426C3C56"/>
    <w:rsid w:val="42786A9F"/>
    <w:rsid w:val="42BC1743"/>
    <w:rsid w:val="42EE53FF"/>
    <w:rsid w:val="436037BB"/>
    <w:rsid w:val="43E4263E"/>
    <w:rsid w:val="45554E75"/>
    <w:rsid w:val="459D60E3"/>
    <w:rsid w:val="45B70627"/>
    <w:rsid w:val="45CA5863"/>
    <w:rsid w:val="45E5444B"/>
    <w:rsid w:val="46362EF9"/>
    <w:rsid w:val="465515D1"/>
    <w:rsid w:val="468E4AE3"/>
    <w:rsid w:val="46F10BCE"/>
    <w:rsid w:val="46F54E2D"/>
    <w:rsid w:val="46FD57C4"/>
    <w:rsid w:val="471E7C15"/>
    <w:rsid w:val="47925F0D"/>
    <w:rsid w:val="47A143DA"/>
    <w:rsid w:val="47E81E53"/>
    <w:rsid w:val="4876582E"/>
    <w:rsid w:val="48A028AB"/>
    <w:rsid w:val="48B545A9"/>
    <w:rsid w:val="495C0DBE"/>
    <w:rsid w:val="49CB1BAA"/>
    <w:rsid w:val="4A070E34"/>
    <w:rsid w:val="4A4F4589"/>
    <w:rsid w:val="4AB60164"/>
    <w:rsid w:val="4B7F2C4C"/>
    <w:rsid w:val="4B8E06C7"/>
    <w:rsid w:val="4C934BC0"/>
    <w:rsid w:val="4CFB09F8"/>
    <w:rsid w:val="4D057181"/>
    <w:rsid w:val="4D447CA9"/>
    <w:rsid w:val="4D5123C6"/>
    <w:rsid w:val="4D6B792C"/>
    <w:rsid w:val="4DA16EA9"/>
    <w:rsid w:val="4DDA060D"/>
    <w:rsid w:val="4DED1912"/>
    <w:rsid w:val="4E257ADB"/>
    <w:rsid w:val="4E353A96"/>
    <w:rsid w:val="4E6B6CEB"/>
    <w:rsid w:val="4EAD187E"/>
    <w:rsid w:val="4EB175C0"/>
    <w:rsid w:val="4EB62E28"/>
    <w:rsid w:val="4F0911AA"/>
    <w:rsid w:val="4F78309C"/>
    <w:rsid w:val="4F7E394E"/>
    <w:rsid w:val="4FFC486B"/>
    <w:rsid w:val="50A20D13"/>
    <w:rsid w:val="50AD3DB7"/>
    <w:rsid w:val="50AF7B2F"/>
    <w:rsid w:val="50B02F71"/>
    <w:rsid w:val="50C26CF2"/>
    <w:rsid w:val="50EC0D83"/>
    <w:rsid w:val="50FE0CB7"/>
    <w:rsid w:val="512D188F"/>
    <w:rsid w:val="51363DAD"/>
    <w:rsid w:val="513B5867"/>
    <w:rsid w:val="5144673C"/>
    <w:rsid w:val="519D207E"/>
    <w:rsid w:val="51EC090F"/>
    <w:rsid w:val="51FB00AC"/>
    <w:rsid w:val="52E57838"/>
    <w:rsid w:val="542B3971"/>
    <w:rsid w:val="54335EE7"/>
    <w:rsid w:val="5463310B"/>
    <w:rsid w:val="54AF45A2"/>
    <w:rsid w:val="54C142D5"/>
    <w:rsid w:val="55254864"/>
    <w:rsid w:val="553C395C"/>
    <w:rsid w:val="55BA1450"/>
    <w:rsid w:val="56037691"/>
    <w:rsid w:val="56083D8A"/>
    <w:rsid w:val="56135E24"/>
    <w:rsid w:val="564017AC"/>
    <w:rsid w:val="567B0721"/>
    <w:rsid w:val="56F97D56"/>
    <w:rsid w:val="57081D47"/>
    <w:rsid w:val="57E97DCB"/>
    <w:rsid w:val="57EF1159"/>
    <w:rsid w:val="57F7381E"/>
    <w:rsid w:val="583059FA"/>
    <w:rsid w:val="5847689F"/>
    <w:rsid w:val="58532B2C"/>
    <w:rsid w:val="58984204"/>
    <w:rsid w:val="58C47EF0"/>
    <w:rsid w:val="59285798"/>
    <w:rsid w:val="596F60AE"/>
    <w:rsid w:val="5A2A0227"/>
    <w:rsid w:val="5A7B0A82"/>
    <w:rsid w:val="5B0311A3"/>
    <w:rsid w:val="5B4672E2"/>
    <w:rsid w:val="5BB5218E"/>
    <w:rsid w:val="5BFE5E0F"/>
    <w:rsid w:val="5CAA564F"/>
    <w:rsid w:val="5E361890"/>
    <w:rsid w:val="5EDA046D"/>
    <w:rsid w:val="5EE237C6"/>
    <w:rsid w:val="5EFF7ED4"/>
    <w:rsid w:val="5F7679C4"/>
    <w:rsid w:val="5F7F2DC3"/>
    <w:rsid w:val="5FBF1411"/>
    <w:rsid w:val="601A09BC"/>
    <w:rsid w:val="60395667"/>
    <w:rsid w:val="606275FF"/>
    <w:rsid w:val="606C3347"/>
    <w:rsid w:val="60AA0313"/>
    <w:rsid w:val="610D33E8"/>
    <w:rsid w:val="614813F8"/>
    <w:rsid w:val="615E35D8"/>
    <w:rsid w:val="619568CD"/>
    <w:rsid w:val="61E67129"/>
    <w:rsid w:val="621A5025"/>
    <w:rsid w:val="62CC27C3"/>
    <w:rsid w:val="635A7DCF"/>
    <w:rsid w:val="637D586B"/>
    <w:rsid w:val="63872EA4"/>
    <w:rsid w:val="63F26259"/>
    <w:rsid w:val="64061D04"/>
    <w:rsid w:val="640A365A"/>
    <w:rsid w:val="640E2967"/>
    <w:rsid w:val="64754794"/>
    <w:rsid w:val="64FD7B2B"/>
    <w:rsid w:val="657B402C"/>
    <w:rsid w:val="65C07C91"/>
    <w:rsid w:val="66270365"/>
    <w:rsid w:val="66CA526B"/>
    <w:rsid w:val="676C00D0"/>
    <w:rsid w:val="67B37AAD"/>
    <w:rsid w:val="67C12792"/>
    <w:rsid w:val="67DD0FCE"/>
    <w:rsid w:val="687436E1"/>
    <w:rsid w:val="687A681D"/>
    <w:rsid w:val="68D73C6F"/>
    <w:rsid w:val="690B56C7"/>
    <w:rsid w:val="696A4D66"/>
    <w:rsid w:val="69867965"/>
    <w:rsid w:val="699456BD"/>
    <w:rsid w:val="6A4E3ABD"/>
    <w:rsid w:val="6A9A31A7"/>
    <w:rsid w:val="6AD06BC8"/>
    <w:rsid w:val="6B3929BF"/>
    <w:rsid w:val="6B3D425E"/>
    <w:rsid w:val="6B431148"/>
    <w:rsid w:val="6B56531F"/>
    <w:rsid w:val="6B575C91"/>
    <w:rsid w:val="6BB8040C"/>
    <w:rsid w:val="6C5C6966"/>
    <w:rsid w:val="6C6E5E1A"/>
    <w:rsid w:val="6C8E2897"/>
    <w:rsid w:val="6CDF30F3"/>
    <w:rsid w:val="6D282CEC"/>
    <w:rsid w:val="6D921E65"/>
    <w:rsid w:val="6DCC18C9"/>
    <w:rsid w:val="6DF606F4"/>
    <w:rsid w:val="6E267136"/>
    <w:rsid w:val="6E2D67FA"/>
    <w:rsid w:val="6E6E0BD2"/>
    <w:rsid w:val="6E91041D"/>
    <w:rsid w:val="6ECB392F"/>
    <w:rsid w:val="6F562B93"/>
    <w:rsid w:val="6FA348AB"/>
    <w:rsid w:val="6FBB39A3"/>
    <w:rsid w:val="6FD23894"/>
    <w:rsid w:val="6FE23626"/>
    <w:rsid w:val="70383246"/>
    <w:rsid w:val="703D260A"/>
    <w:rsid w:val="7060279C"/>
    <w:rsid w:val="70626FA0"/>
    <w:rsid w:val="70756EB2"/>
    <w:rsid w:val="70A95EF1"/>
    <w:rsid w:val="7258197D"/>
    <w:rsid w:val="72A61BB4"/>
    <w:rsid w:val="72C60FDD"/>
    <w:rsid w:val="72EB27F1"/>
    <w:rsid w:val="730241B0"/>
    <w:rsid w:val="731A1328"/>
    <w:rsid w:val="73587D13"/>
    <w:rsid w:val="743B50B2"/>
    <w:rsid w:val="74BF5CE3"/>
    <w:rsid w:val="750977D2"/>
    <w:rsid w:val="75263FB5"/>
    <w:rsid w:val="75693EA1"/>
    <w:rsid w:val="75B25848"/>
    <w:rsid w:val="766528BB"/>
    <w:rsid w:val="768F268A"/>
    <w:rsid w:val="76C92E49"/>
    <w:rsid w:val="77617526"/>
    <w:rsid w:val="777A05E8"/>
    <w:rsid w:val="781A1483"/>
    <w:rsid w:val="781F0851"/>
    <w:rsid w:val="7820118F"/>
    <w:rsid w:val="782A7918"/>
    <w:rsid w:val="78B00E0E"/>
    <w:rsid w:val="78C94F9D"/>
    <w:rsid w:val="78FD502C"/>
    <w:rsid w:val="79420C91"/>
    <w:rsid w:val="796450AB"/>
    <w:rsid w:val="79EB30D7"/>
    <w:rsid w:val="7A293F0A"/>
    <w:rsid w:val="7A5E24AA"/>
    <w:rsid w:val="7ACB4CB6"/>
    <w:rsid w:val="7B02692A"/>
    <w:rsid w:val="7B486307"/>
    <w:rsid w:val="7B5B603A"/>
    <w:rsid w:val="7B5C744A"/>
    <w:rsid w:val="7B71585E"/>
    <w:rsid w:val="7BA55C3B"/>
    <w:rsid w:val="7BD858DD"/>
    <w:rsid w:val="7BE9361F"/>
    <w:rsid w:val="7C6B49A3"/>
    <w:rsid w:val="7C765821"/>
    <w:rsid w:val="7C856E44"/>
    <w:rsid w:val="7CD24A22"/>
    <w:rsid w:val="7D366D5F"/>
    <w:rsid w:val="7DD722F0"/>
    <w:rsid w:val="7DFD162B"/>
    <w:rsid w:val="7E32210A"/>
    <w:rsid w:val="7E901DF9"/>
    <w:rsid w:val="7EB10D93"/>
    <w:rsid w:val="7EC87E8B"/>
    <w:rsid w:val="7EF70770"/>
    <w:rsid w:val="7F052E8D"/>
    <w:rsid w:val="7F270942"/>
    <w:rsid w:val="7F413799"/>
    <w:rsid w:val="7F480FCB"/>
    <w:rsid w:val="7F5D6825"/>
    <w:rsid w:val="7F671451"/>
    <w:rsid w:val="7F674918"/>
    <w:rsid w:val="7FB83A5B"/>
    <w:rsid w:val="7FBA3C77"/>
    <w:rsid w:val="7FEC7BA9"/>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0"/>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24"/>
    <w:autoRedefine/>
    <w:unhideWhenUsed/>
    <w:qFormat/>
    <w:uiPriority w:val="9"/>
    <w:pPr>
      <w:keepNext/>
      <w:keepLines/>
      <w:widowControl/>
      <w:adjustRightInd w:val="0"/>
      <w:snapToGrid w:val="0"/>
      <w:spacing w:line="360" w:lineRule="auto"/>
      <w:jc w:val="left"/>
      <w:outlineLvl w:val="1"/>
    </w:pPr>
    <w:rPr>
      <w:rFonts w:ascii="宋体" w:hAnsi="宋体" w:eastAsia="宋体" w:cs="宋体"/>
      <w:b/>
      <w:bCs/>
      <w:kern w:val="0"/>
      <w:sz w:val="28"/>
      <w:szCs w:val="28"/>
    </w:rPr>
  </w:style>
  <w:style w:type="paragraph" w:styleId="4">
    <w:name w:val="heading 3"/>
    <w:basedOn w:val="1"/>
    <w:next w:val="1"/>
    <w:link w:val="25"/>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6"/>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7"/>
    <w:basedOn w:val="1"/>
    <w:next w:val="1"/>
    <w:unhideWhenUsed/>
    <w:qFormat/>
    <w:uiPriority w:val="0"/>
    <w:pPr>
      <w:keepNext/>
      <w:keepLines/>
      <w:spacing w:before="260" w:after="120" w:line="320" w:lineRule="auto"/>
      <w:outlineLvl w:val="6"/>
    </w:pPr>
    <w:rPr>
      <w:rFonts w:ascii="Times New Roman" w:hAnsi="Times New Roman" w:eastAsia="楷体" w:cstheme="minorBidi"/>
      <w:b/>
      <w:bCs/>
      <w:sz w:val="24"/>
      <w:szCs w:val="24"/>
    </w:rPr>
  </w:style>
  <w:style w:type="character" w:default="1" w:styleId="19">
    <w:name w:val="Default Paragraph Font"/>
    <w:autoRedefine/>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7">
    <w:name w:val="Body Text"/>
    <w:basedOn w:val="1"/>
    <w:autoRedefine/>
    <w:qFormat/>
    <w:uiPriority w:val="0"/>
    <w:pPr>
      <w:spacing w:after="120" w:afterLines="0" w:afterAutospacing="0"/>
    </w:pPr>
  </w:style>
  <w:style w:type="paragraph" w:styleId="8">
    <w:name w:val="Body Text Indent"/>
    <w:basedOn w:val="1"/>
    <w:next w:val="9"/>
    <w:qFormat/>
    <w:uiPriority w:val="0"/>
    <w:pPr>
      <w:spacing w:after="120" w:afterLines="0" w:afterAutospacing="0"/>
      <w:ind w:left="420" w:leftChars="200"/>
    </w:pPr>
  </w:style>
  <w:style w:type="paragraph" w:customStyle="1" w:styleId="9">
    <w:name w:val="样式 正文文本缩进 + 行距: 1.5 倍行距"/>
    <w:basedOn w:val="1"/>
    <w:qFormat/>
    <w:uiPriority w:val="0"/>
    <w:pPr>
      <w:spacing w:after="120"/>
      <w:ind w:left="90" w:leftChars="32" w:firstLine="560"/>
    </w:pPr>
    <w:rPr>
      <w:rFonts w:cs="宋体"/>
    </w:rPr>
  </w:style>
  <w:style w:type="paragraph" w:styleId="10">
    <w:name w:val="footer"/>
    <w:basedOn w:val="1"/>
    <w:link w:val="29"/>
    <w:autoRedefine/>
    <w:unhideWhenUsed/>
    <w:qFormat/>
    <w:uiPriority w:val="99"/>
    <w:pPr>
      <w:tabs>
        <w:tab w:val="center" w:pos="4153"/>
        <w:tab w:val="right" w:pos="8306"/>
      </w:tabs>
      <w:snapToGrid w:val="0"/>
      <w:jc w:val="left"/>
    </w:pPr>
    <w:rPr>
      <w:sz w:val="18"/>
      <w:szCs w:val="18"/>
    </w:rPr>
  </w:style>
  <w:style w:type="paragraph" w:styleId="11">
    <w:name w:val="header"/>
    <w:basedOn w:val="1"/>
    <w:link w:val="2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link w:val="31"/>
    <w:autoRedefine/>
    <w:qFormat/>
    <w:uiPriority w:val="0"/>
    <w:pPr>
      <w:spacing w:line="400" w:lineRule="exact"/>
      <w:jc w:val="center"/>
    </w:pPr>
    <w:rPr>
      <w:rFonts w:ascii="Calibri" w:hAnsi="Calibri" w:eastAsia="楷体" w:cs="Times New Roman"/>
      <w:b/>
      <w:bCs/>
      <w:kern w:val="28"/>
      <w:szCs w:val="32"/>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5"/>
    <w:link w:val="27"/>
    <w:qFormat/>
    <w:uiPriority w:val="10"/>
    <w:pPr>
      <w:adjustRightInd w:val="0"/>
      <w:snapToGrid w:val="0"/>
      <w:spacing w:before="0" w:after="0" w:line="360" w:lineRule="auto"/>
      <w:jc w:val="center"/>
    </w:pPr>
    <w:rPr>
      <w:rFonts w:ascii="黑体" w:hAnsi="黑体" w:eastAsia="黑体" w:cs="黑体"/>
      <w:sz w:val="24"/>
      <w:szCs w:val="24"/>
    </w:rPr>
  </w:style>
  <w:style w:type="paragraph" w:styleId="15">
    <w:name w:val="Body Text First Indent"/>
    <w:basedOn w:val="7"/>
    <w:autoRedefine/>
    <w:qFormat/>
    <w:uiPriority w:val="0"/>
    <w:pPr>
      <w:ind w:firstLine="420" w:firstLineChars="100"/>
    </w:pPr>
  </w:style>
  <w:style w:type="paragraph" w:styleId="16">
    <w:name w:val="Body Text First Indent 2"/>
    <w:basedOn w:val="8"/>
    <w:next w:val="1"/>
    <w:qFormat/>
    <w:uiPriority w:val="0"/>
    <w:pPr>
      <w:ind w:firstLine="420" w:firstLineChars="200"/>
    </w:pPr>
  </w:style>
  <w:style w:type="table" w:styleId="18">
    <w:name w:val="Table Grid"/>
    <w:basedOn w:val="17"/>
    <w:autoRedefine/>
    <w:qFormat/>
    <w:uiPriority w:val="59"/>
    <w:rPr>
      <w:rFonts w:ascii="Calibri" w:hAnsi="Calibri" w:eastAsia="微软雅黑"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paragraph" w:customStyle="1" w:styleId="22">
    <w:name w:val="0正文"/>
    <w:basedOn w:val="1"/>
    <w:qFormat/>
    <w:uiPriority w:val="0"/>
    <w:pPr>
      <w:ind w:firstLine="480" w:firstLineChars="200"/>
    </w:pPr>
  </w:style>
  <w:style w:type="character" w:customStyle="1" w:styleId="23">
    <w:name w:val="标题 2 字符"/>
    <w:basedOn w:val="19"/>
    <w:autoRedefine/>
    <w:semiHidden/>
    <w:qFormat/>
    <w:uiPriority w:val="9"/>
    <w:rPr>
      <w:rFonts w:asciiTheme="majorHAnsi" w:hAnsiTheme="majorHAnsi" w:eastAsiaTheme="majorEastAsia" w:cstheme="majorBidi"/>
      <w:b/>
      <w:bCs/>
      <w:sz w:val="32"/>
      <w:szCs w:val="32"/>
    </w:rPr>
  </w:style>
  <w:style w:type="character" w:customStyle="1" w:styleId="24">
    <w:name w:val="标题 2 字符1"/>
    <w:link w:val="3"/>
    <w:autoRedefine/>
    <w:qFormat/>
    <w:uiPriority w:val="9"/>
    <w:rPr>
      <w:rFonts w:ascii="宋体" w:hAnsi="宋体" w:eastAsia="宋体" w:cs="宋体"/>
      <w:b/>
      <w:bCs/>
      <w:kern w:val="0"/>
      <w:sz w:val="28"/>
      <w:szCs w:val="28"/>
    </w:rPr>
  </w:style>
  <w:style w:type="character" w:customStyle="1" w:styleId="25">
    <w:name w:val="标题 3 字符"/>
    <w:basedOn w:val="19"/>
    <w:link w:val="4"/>
    <w:autoRedefine/>
    <w:semiHidden/>
    <w:qFormat/>
    <w:uiPriority w:val="9"/>
    <w:rPr>
      <w:b/>
      <w:bCs/>
      <w:sz w:val="32"/>
      <w:szCs w:val="32"/>
    </w:rPr>
  </w:style>
  <w:style w:type="character" w:customStyle="1" w:styleId="26">
    <w:name w:val="标题 4 字符"/>
    <w:basedOn w:val="19"/>
    <w:link w:val="5"/>
    <w:autoRedefine/>
    <w:semiHidden/>
    <w:qFormat/>
    <w:uiPriority w:val="9"/>
    <w:rPr>
      <w:rFonts w:asciiTheme="majorHAnsi" w:hAnsiTheme="majorHAnsi" w:eastAsiaTheme="majorEastAsia" w:cstheme="majorBidi"/>
      <w:b/>
      <w:bCs/>
      <w:sz w:val="28"/>
      <w:szCs w:val="28"/>
    </w:rPr>
  </w:style>
  <w:style w:type="character" w:customStyle="1" w:styleId="27">
    <w:name w:val="标题 字符"/>
    <w:basedOn w:val="19"/>
    <w:link w:val="14"/>
    <w:autoRedefine/>
    <w:qFormat/>
    <w:uiPriority w:val="10"/>
    <w:rPr>
      <w:rFonts w:ascii="黑体" w:hAnsi="黑体" w:eastAsia="黑体" w:cs="黑体"/>
      <w:b/>
      <w:bCs/>
      <w:sz w:val="24"/>
      <w:szCs w:val="24"/>
    </w:rPr>
  </w:style>
  <w:style w:type="character" w:customStyle="1" w:styleId="28">
    <w:name w:val="页眉 字符"/>
    <w:basedOn w:val="19"/>
    <w:link w:val="11"/>
    <w:autoRedefine/>
    <w:qFormat/>
    <w:uiPriority w:val="99"/>
    <w:rPr>
      <w:sz w:val="18"/>
      <w:szCs w:val="18"/>
    </w:rPr>
  </w:style>
  <w:style w:type="character" w:customStyle="1" w:styleId="29">
    <w:name w:val="页脚 字符"/>
    <w:basedOn w:val="19"/>
    <w:link w:val="10"/>
    <w:autoRedefine/>
    <w:qFormat/>
    <w:uiPriority w:val="99"/>
    <w:rPr>
      <w:sz w:val="18"/>
      <w:szCs w:val="18"/>
    </w:rPr>
  </w:style>
  <w:style w:type="character" w:customStyle="1" w:styleId="30">
    <w:name w:val="标题 1 字符"/>
    <w:basedOn w:val="19"/>
    <w:link w:val="2"/>
    <w:autoRedefine/>
    <w:qFormat/>
    <w:uiPriority w:val="0"/>
    <w:rPr>
      <w:rFonts w:ascii="Calibri" w:hAnsi="Calibri" w:eastAsia="宋体" w:cs="Times New Roman"/>
      <w:b/>
      <w:bCs/>
      <w:kern w:val="44"/>
      <w:sz w:val="44"/>
      <w:szCs w:val="44"/>
    </w:rPr>
  </w:style>
  <w:style w:type="character" w:customStyle="1" w:styleId="31">
    <w:name w:val="副标题 字符"/>
    <w:basedOn w:val="19"/>
    <w:link w:val="12"/>
    <w:autoRedefine/>
    <w:qFormat/>
    <w:uiPriority w:val="0"/>
    <w:rPr>
      <w:rFonts w:ascii="Calibri" w:hAnsi="Calibri" w:eastAsia="楷体" w:cs="Times New Roman"/>
      <w:b/>
      <w:bCs/>
      <w:kern w:val="28"/>
      <w:szCs w:val="32"/>
    </w:rPr>
  </w:style>
  <w:style w:type="paragraph" w:styleId="32">
    <w:name w:val="List Paragraph"/>
    <w:basedOn w:val="1"/>
    <w:autoRedefine/>
    <w:qFormat/>
    <w:uiPriority w:val="34"/>
    <w:pPr>
      <w:ind w:firstLine="420" w:firstLineChars="200"/>
    </w:pPr>
  </w:style>
  <w:style w:type="paragraph" w:customStyle="1" w:styleId="33">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4">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5">
    <w:name w:val="+正文"/>
    <w:basedOn w:val="1"/>
    <w:qFormat/>
    <w:uiPriority w:val="99"/>
    <w:pPr>
      <w:spacing w:line="360" w:lineRule="auto"/>
      <w:ind w:firstLine="200" w:firstLineChars="200"/>
    </w:pPr>
    <w:rPr>
      <w:rFonts w:ascii="Times New Roman" w:hAnsi="Times New Roman" w:cs="Times New Roman"/>
      <w:sz w:val="24"/>
      <w:szCs w:val="24"/>
    </w:rPr>
  </w:style>
  <w:style w:type="paragraph" w:customStyle="1" w:styleId="36">
    <w:name w:val="表格内容"/>
    <w:basedOn w:val="1"/>
    <w:qFormat/>
    <w:uiPriority w:val="99"/>
    <w:pPr>
      <w:widowControl/>
      <w:overflowPunct w:val="0"/>
      <w:autoSpaceDE w:val="0"/>
      <w:autoSpaceDN w:val="0"/>
      <w:adjustRightInd w:val="0"/>
      <w:jc w:val="center"/>
      <w:textAlignment w:val="baseline"/>
    </w:pPr>
    <w:rPr>
      <w:rFonts w:ascii="Times New Roman" w:hAnsi="Times New Roman" w:cs="Times New Roman"/>
      <w:kern w:val="0"/>
    </w:rPr>
  </w:style>
  <w:style w:type="paragraph" w:customStyle="1" w:styleId="37">
    <w:name w:val="表格内容-居中"/>
    <w:basedOn w:val="1"/>
    <w:qFormat/>
    <w:uiPriority w:val="99"/>
    <w:pPr>
      <w:widowControl/>
      <w:overflowPunct w:val="0"/>
      <w:autoSpaceDE w:val="0"/>
      <w:autoSpaceDN w:val="0"/>
      <w:adjustRightInd w:val="0"/>
      <w:spacing w:before="40" w:after="40" w:line="300" w:lineRule="exact"/>
      <w:jc w:val="center"/>
      <w:textAlignment w:val="baseline"/>
    </w:pPr>
    <w:rPr>
      <w:rFonts w:ascii="Times New Roman" w:hAnsi="Times New Roman" w:cs="Times New Roman"/>
      <w:kern w:val="0"/>
      <w:sz w:val="24"/>
      <w:szCs w:val="24"/>
    </w:rPr>
  </w:style>
  <w:style w:type="character" w:customStyle="1" w:styleId="38">
    <w:name w:val="font31"/>
    <w:basedOn w:val="19"/>
    <w:qFormat/>
    <w:uiPriority w:val="0"/>
    <w:rPr>
      <w:rFonts w:hint="eastAsia" w:ascii="华文楷体" w:hAnsi="华文楷体" w:eastAsia="华文楷体" w:cs="华文楷体"/>
      <w:color w:val="000000"/>
      <w:sz w:val="22"/>
      <w:szCs w:val="22"/>
      <w:u w:val="none"/>
      <w:vertAlign w:val="subscript"/>
    </w:rPr>
  </w:style>
  <w:style w:type="character" w:customStyle="1" w:styleId="39">
    <w:name w:val="font21"/>
    <w:basedOn w:val="19"/>
    <w:qFormat/>
    <w:uiPriority w:val="0"/>
    <w:rPr>
      <w:rFonts w:hint="eastAsia" w:ascii="华文楷体" w:hAnsi="华文楷体" w:eastAsia="华文楷体" w:cs="华文楷体"/>
      <w:color w:val="000000"/>
      <w:sz w:val="22"/>
      <w:szCs w:val="22"/>
      <w:u w:val="none"/>
    </w:rPr>
  </w:style>
  <w:style w:type="character" w:customStyle="1" w:styleId="40">
    <w:name w:val="font41"/>
    <w:basedOn w:val="19"/>
    <w:qFormat/>
    <w:uiPriority w:val="0"/>
    <w:rPr>
      <w:rFonts w:hint="eastAsia" w:ascii="华文楷体" w:hAnsi="华文楷体" w:eastAsia="华文楷体" w:cs="华文楷体"/>
      <w:color w:val="000000"/>
      <w:sz w:val="22"/>
      <w:szCs w:val="22"/>
      <w:u w:val="none"/>
      <w:vertAlign w:val="superscript"/>
    </w:rPr>
  </w:style>
  <w:style w:type="character" w:customStyle="1" w:styleId="41">
    <w:name w:val="font11"/>
    <w:basedOn w:val="19"/>
    <w:qFormat/>
    <w:uiPriority w:val="0"/>
    <w:rPr>
      <w:rFonts w:hint="eastAsia" w:ascii="华文楷体" w:hAnsi="华文楷体" w:eastAsia="华文楷体" w:cs="华文楷体"/>
      <w:color w:val="000000"/>
      <w:sz w:val="22"/>
      <w:szCs w:val="22"/>
      <w:u w:val="none"/>
    </w:rPr>
  </w:style>
  <w:style w:type="paragraph" w:customStyle="1" w:styleId="42">
    <w:name w:val="EndNote Bibliography"/>
    <w:basedOn w:val="1"/>
    <w:autoRedefine/>
    <w:qFormat/>
    <w:uiPriority w:val="0"/>
    <w:pPr>
      <w:ind w:firstLine="200" w:firstLineChars="200"/>
      <w:jc w:val="left"/>
    </w:pPr>
    <w:rPr>
      <w:sz w:val="20"/>
    </w:rPr>
  </w:style>
  <w:style w:type="paragraph" w:customStyle="1" w:styleId="43">
    <w:name w:val="列出段落1"/>
    <w:basedOn w:val="1"/>
    <w:qFormat/>
    <w:uiPriority w:val="34"/>
    <w:pPr>
      <w:ind w:firstLine="420" w:firstLineChars="200"/>
    </w:pPr>
  </w:style>
  <w:style w:type="paragraph" w:customStyle="1" w:styleId="44">
    <w:name w:val="正文文本1"/>
    <w:basedOn w:val="1"/>
    <w:qFormat/>
    <w:uiPriority w:val="0"/>
    <w:pPr>
      <w:shd w:val="clear" w:color="auto" w:fill="FFFFFF"/>
      <w:spacing w:line="610" w:lineRule="exact"/>
      <w:jc w:val="center"/>
    </w:pPr>
    <w:rPr>
      <w:rFonts w:ascii="宋体" w:hAnsi="宋体" w:eastAsia="宋体" w:cs="宋体"/>
      <w:sz w:val="28"/>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6690</Words>
  <Characters>7250</Characters>
  <Lines>35</Lines>
  <Paragraphs>9</Paragraphs>
  <TotalTime>26</TotalTime>
  <ScaleCrop>false</ScaleCrop>
  <LinksUpToDate>false</LinksUpToDate>
  <CharactersWithSpaces>7562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2022-09-27T07:43:00Z</dcterms:created>
  <dc:creator>Liao KangCheng</dc:creator>
  <cp:lastModifiedBy>白海丹</cp:lastModifiedBy>
  <dcterms:modified xsi:type="dcterms:W3CDTF">2026-05-25T03:19:54Z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012170A0420347A89154D3512890171D_12</vt:lpwstr>
  </property>
  <property fmtid="{D5CDD505-2E9C-101B-9397-08002B2CF9AE}" pid="4" name="KSOTemplateDocerSaveRecord">
    <vt:lpwstr>eyJoZGlkIjoiMDc5ZmMwZTNkY2FjMjU1Y2Y4ZTlkNzhjNmI4MDEyNjciLCJ1c2VySWQiOiI0NDQ3MDkxMjgifQ==</vt:lpwstr>
  </property>
</Properties>
</file>