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4B1451D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bookmarkStart w:id="0" w:name="_Hlk88569120"/>
      <w:r>
        <w:rPr>
          <w:rFonts w:hint="eastAsia" w:ascii="隶书" w:hAnsi="隶书" w:eastAsia="隶书" w:cs="隶书"/>
          <w:lang w:val="en-US" w:eastAsia="zh-CN"/>
        </w:rPr>
        <w:t>黄金冶炼含砷酸性废水处理及综合利用</w:t>
      </w:r>
    </w:p>
    <w:p w14:paraId="621327F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关键技术</w:t>
      </w:r>
      <w:bookmarkEnd w:id="0"/>
    </w:p>
    <w:p w14:paraId="084B5AE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color w:val="000000"/>
          <w:sz w:val="21"/>
          <w:szCs w:val="15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lang w:val="en-US" w:eastAsia="zh-CN" w:bidi="ar-SA"/>
        </w:rPr>
        <w:t>孙晋琳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vertAlign w:val="superscript"/>
          <w:lang w:val="en-US" w:eastAsia="zh-CN" w:bidi="ar-SA"/>
        </w:rPr>
        <w:t>1,2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lang w:val="en-US" w:eastAsia="zh-CN" w:bidi="ar-SA"/>
        </w:rPr>
        <w:t xml:space="preserve"> 陈祥华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vertAlign w:val="superscript"/>
          <w:lang w:val="en-US" w:eastAsia="zh-CN" w:bidi="ar-SA"/>
        </w:rPr>
        <w:t>1,2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lang w:val="en-US" w:eastAsia="zh-CN" w:bidi="ar-SA"/>
        </w:rPr>
        <w:t xml:space="preserve"> 任向东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vertAlign w:val="superscript"/>
          <w:lang w:val="en-US" w:eastAsia="zh-CN" w:bidi="ar-SA"/>
        </w:rPr>
        <w:t>3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lang w:val="en-US" w:eastAsia="zh-CN" w:bidi="ar-SA"/>
        </w:rPr>
        <w:t xml:space="preserve"> 田竣华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vertAlign w:val="superscript"/>
          <w:lang w:val="en-US" w:eastAsia="zh-CN" w:bidi="ar-SA"/>
        </w:rPr>
        <w:t>1,2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lang w:val="en-US" w:eastAsia="zh-CN" w:bidi="ar-SA"/>
        </w:rPr>
        <w:t xml:space="preserve"> 李龙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vertAlign w:val="superscript"/>
          <w:lang w:val="en-US" w:eastAsia="zh-CN" w:bidi="ar-SA"/>
        </w:rPr>
        <w:t>1,2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lang w:val="en-US" w:eastAsia="zh-CN" w:bidi="ar-SA"/>
        </w:rPr>
        <w:t xml:space="preserve"> 胡远奇</w:t>
      </w:r>
      <w:r>
        <w:rPr>
          <w:rFonts w:hint="eastAsia" w:ascii="楷体" w:hAnsi="楷体" w:eastAsia="楷体" w:cs="楷体"/>
          <w:b/>
          <w:bCs/>
          <w:color w:val="auto"/>
          <w:kern w:val="44"/>
          <w:sz w:val="21"/>
          <w:szCs w:val="21"/>
          <w:vertAlign w:val="superscript"/>
          <w:lang w:val="en-US" w:eastAsia="zh-CN" w:bidi="ar-SA"/>
        </w:rPr>
        <w:t>1,2</w:t>
      </w:r>
    </w:p>
    <w:p w14:paraId="204CC2A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1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云南黄金矿业集团股份有限公司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鹤庆北衙矿业有限公司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3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中国石油兰州化工研究中心</w:t>
      </w:r>
    </w:p>
    <w:p w14:paraId="7399C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1162C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bookmarkStart w:id="1" w:name="heading_0"/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摘要</w:t>
      </w:r>
      <w:bookmarkEnd w:id="1"/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针对黄金冶炼含砷酸性废水酸度高、砷与重金属浓度跨度大、组分复杂，以及传统工艺存在出水不稳、渣量大、资源化率低、二次污染风险高等问题，本文开发了一种按砷含量分级的差异化集成处理工艺，配套全密闭循环系统与PID智能调控，实现废水高效净化与资源循环。以800mg/L为分界，高砷废水采用硫化氢密闭脱砷+石灰-铁盐三段中和，低砷废水直接采用优化石灰-铁盐工艺。结果表明：处理后高砷废水总砷≤0.05mg/L，去除率≥99.996%；低砷废水总砷≤0.1mg/L，去除率≥99.987%，Cu、Fe 等重金属去除率超 99%，出水满足回用要求。工艺实现硫化氢、SO2、稀酸、有价金属及废水全循环回收，废渣减量60% 以上，全程密闭无有毒气体泄漏，自动化程度高、稳定安全。该技术已申报相关发明专利（202310633320X）为黄金冶炼含砷酸性废水绿色治理与资源化利用提供工程化方案，对行业清洁生产具有重要意义。</w:t>
      </w:r>
    </w:p>
    <w:p w14:paraId="5B2FA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关键词：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黄金冶炼 含砷酸性废水 差异化处理 硫化氢硫化沉淀 石灰-铁盐中和 PID调控 资源化利用 全密闭循环</w:t>
      </w:r>
    </w:p>
    <w:p w14:paraId="3540D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</w:p>
    <w:p w14:paraId="0CD6D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" w:name="heading_1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 引言</w:t>
      </w:r>
      <w:bookmarkEnd w:id="2"/>
    </w:p>
    <w:p w14:paraId="456BF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黄金冶炼是有色金属工业的重要组成部分，焙烧氧化法是难处理金矿石提金的主流工艺，但在焙烧、烟气净化及酸浸过程中会产生大量高酸度、高砷、高重金属、高盐度的含砷酸性废水，可生化性差、处理难度大。</w:t>
      </w:r>
    </w:p>
    <w:p w14:paraId="4B9A7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砷为国家严格管控的Ⅰ类污染物，《黄金行业污染物排放标准》及企业回用要求对出水砷浓度限制极为严苛。目前常用处理工艺中，石灰-铁盐中和法成本低、应用广，但存在出水不稳定、砷渣稳定性差、废渣量大等问题；硫化沉淀法除砷效率高，却受药剂成本高、设备易结垢、硫化氢泄漏风险等限制。随着高砷金精矿的大量使用，传统单一工艺已难以满足稳定达标与资源化回用需求。</w:t>
      </w:r>
    </w:p>
    <w:p w14:paraId="2A531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为此，本文针对黄金冶炼含砷酸性废水水质特征，提出按砷浓度差异化处理新工艺，采用硫磺-甲醇-废热蒸汽原位制备硫化氢，结合全密闭循环系统、PID智能调控与石灰-铁盐深度中和，实现砷与重金属高效去除及多资源回收。通过实验验证工艺可行性与处理效果，为难处理含砷酸性废水的工业化应用提供理论与技术支撑。</w:t>
      </w:r>
    </w:p>
    <w:p w14:paraId="77093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3" w:name="heading_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2 </w:t>
      </w:r>
      <w:bookmarkEnd w:id="3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废水性质</w:t>
      </w:r>
    </w:p>
    <w:p w14:paraId="74244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4" w:name="heading_3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2.1 来源</w:t>
      </w:r>
      <w:bookmarkEnd w:id="4"/>
    </w:p>
    <w:p w14:paraId="226E4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黄金冶炼含砷酸性废水主要来源于焙烧氧化工艺的烟气净化工序，金精矿在沸腾焙烧过程中，包裹金的硫化矿物分解为多孔氧化物，其中的砷绝大部分以As2O3形式进入烟气，烟气经除尘、净化、干燥等工序制备硫酸时，部分As2O3在净化水洗工序进入废水，形成高酸含砷废水。该类废水最初常回用于浸出焙烧渣，浸出液经净化-萃取-电积工艺提取铜后，萃余液中砷浓度进一步富集，成为最终需要处理的含砷酸性废水。此外，车间地面冲洗水、循环冷却系统排污水等辅助工序废水会少量汇入，形成成分复杂的混合含砷酸性废水。</w:t>
      </w:r>
    </w:p>
    <w:p w14:paraId="7CA3A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5" w:name="heading_4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 特征</w:t>
      </w:r>
      <w:bookmarkEnd w:id="5"/>
    </w:p>
    <w:p w14:paraId="70F1F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实验用水取自某黄金冶炼厂净化工序实际排放的含砷酸性废水，经30次定点取样检测，其核心水质特征表现为：酸度高、砷浓度跨度大、重金属含量高、硫酸根占比大，具体典型水质指标如表1所示。废水pH值为0.5-2.7，呈强酸性，对处理设备具有强腐蚀性；砷浓度分布在496-1840 mg/L，以As (Ⅲ)和As (Ⅴ)共存为主，其中As(Ⅲ)占比更高，毒性更强；Cu、Fe等重金属浓度分别达469-778 mg/L、2563-7318 mg/L，硫酸根质量浓度为80~175 g/L，无有机碳源，可生化性极差，需采用物理化学法进行处理。</w:t>
      </w:r>
    </w:p>
    <w:p w14:paraId="32748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表1 黄金冶炼含砷酸性废水典型水质指标（mg/L，pH除外）</w:t>
      </w:r>
    </w:p>
    <w:tbl>
      <w:tblPr>
        <w:tblStyle w:val="17"/>
        <w:tblW w:w="4997" w:type="pct"/>
        <w:jc w:val="center"/>
        <w:tblBorders>
          <w:top w:val="single" w:color="000000" w:themeColor="text1" w:sz="2" w:space="0"/>
          <w:left w:val="none" w:color="auto" w:sz="0" w:space="0"/>
          <w:bottom w:val="single" w:color="000000" w:themeColor="text1" w:sz="2" w:space="0"/>
          <w:right w:val="none" w:color="auto" w:sz="0" w:space="0"/>
          <w:insideH w:val="single" w:color="000000" w:themeColor="text1" w:sz="2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22"/>
        <w:gridCol w:w="914"/>
        <w:gridCol w:w="1039"/>
        <w:gridCol w:w="1210"/>
        <w:gridCol w:w="942"/>
        <w:gridCol w:w="1477"/>
        <w:gridCol w:w="1163"/>
      </w:tblGrid>
      <w:tr w14:paraId="33AD555C">
        <w:tblPrEx>
          <w:tblBorders>
            <w:top w:val="single" w:color="000000" w:themeColor="text1" w:sz="2" w:space="0"/>
            <w:left w:val="none" w:color="auto" w:sz="0" w:space="0"/>
            <w:bottom w:val="single" w:color="000000" w:themeColor="text1" w:sz="2" w:space="0"/>
            <w:right w:val="none" w:color="auto" w:sz="0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4" w:hRule="atLeast"/>
          <w:jc w:val="center"/>
        </w:trPr>
        <w:tc>
          <w:tcPr>
            <w:tcW w:w="123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9285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 w:firstLine="542" w:firstLineChars="3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检测指标</w:t>
            </w:r>
          </w:p>
        </w:tc>
        <w:tc>
          <w:tcPr>
            <w:tcW w:w="509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19D2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</w:t>
            </w:r>
          </w:p>
        </w:tc>
        <w:tc>
          <w:tcPr>
            <w:tcW w:w="579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235A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总砷（As）</w:t>
            </w:r>
          </w:p>
        </w:tc>
        <w:tc>
          <w:tcPr>
            <w:tcW w:w="67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16ED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铁（Fe）</w:t>
            </w:r>
          </w:p>
        </w:tc>
        <w:tc>
          <w:tcPr>
            <w:tcW w:w="525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2C7D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铜（Cu）</w:t>
            </w:r>
          </w:p>
        </w:tc>
        <w:tc>
          <w:tcPr>
            <w:tcW w:w="82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3392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硫酸根（SO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4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07DE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氟离子（F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7835B8E">
        <w:tblPrEx>
          <w:tblBorders>
            <w:top w:val="single" w:color="000000" w:themeColor="text1" w:sz="2" w:space="0"/>
            <w:left w:val="none" w:color="auto" w:sz="0" w:space="0"/>
            <w:bottom w:val="single" w:color="000000" w:themeColor="text1" w:sz="2" w:space="0"/>
            <w:right w:val="none" w:color="auto" w:sz="0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9" w:hRule="atLeast"/>
          <w:jc w:val="center"/>
        </w:trPr>
        <w:tc>
          <w:tcPr>
            <w:tcW w:w="123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FA8F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高砷废水（As＞800 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509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392D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0.7~1.9</w:t>
            </w:r>
          </w:p>
        </w:tc>
        <w:tc>
          <w:tcPr>
            <w:tcW w:w="579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545F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896~1840</w:t>
            </w:r>
          </w:p>
        </w:tc>
        <w:tc>
          <w:tcPr>
            <w:tcW w:w="67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B98E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2563~7318</w:t>
            </w:r>
          </w:p>
        </w:tc>
        <w:tc>
          <w:tcPr>
            <w:tcW w:w="525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DD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469~778</w:t>
            </w:r>
          </w:p>
        </w:tc>
        <w:tc>
          <w:tcPr>
            <w:tcW w:w="82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0C3D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150~175 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g/L</w:t>
            </w:r>
          </w:p>
        </w:tc>
        <w:tc>
          <w:tcPr>
            <w:tcW w:w="64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1072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80~120</w:t>
            </w:r>
          </w:p>
        </w:tc>
      </w:tr>
      <w:tr w14:paraId="25DDE9F5">
        <w:tblPrEx>
          <w:tblBorders>
            <w:top w:val="single" w:color="000000" w:themeColor="text1" w:sz="2" w:space="0"/>
            <w:left w:val="none" w:color="auto" w:sz="0" w:space="0"/>
            <w:bottom w:val="single" w:color="000000" w:themeColor="text1" w:sz="2" w:space="0"/>
            <w:right w:val="none" w:color="auto" w:sz="0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atLeast"/>
          <w:jc w:val="center"/>
        </w:trPr>
        <w:tc>
          <w:tcPr>
            <w:tcW w:w="123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D437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低砷废水（As＜800 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mg/L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509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3ED4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2.0~2.7</w:t>
            </w:r>
          </w:p>
        </w:tc>
        <w:tc>
          <w:tcPr>
            <w:tcW w:w="579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266F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496~795</w:t>
            </w:r>
          </w:p>
        </w:tc>
        <w:tc>
          <w:tcPr>
            <w:tcW w:w="67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61C5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1596~2864</w:t>
            </w:r>
          </w:p>
        </w:tc>
        <w:tc>
          <w:tcPr>
            <w:tcW w:w="525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69ED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509~596</w:t>
            </w:r>
          </w:p>
        </w:tc>
        <w:tc>
          <w:tcPr>
            <w:tcW w:w="82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6421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80~120 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g/L</w:t>
            </w:r>
          </w:p>
        </w:tc>
        <w:tc>
          <w:tcPr>
            <w:tcW w:w="64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503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30~60</w:t>
            </w:r>
          </w:p>
        </w:tc>
      </w:tr>
    </w:tbl>
    <w:p w14:paraId="6B415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6" w:name="heading_5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 处理工艺原理</w:t>
      </w:r>
      <w:bookmarkEnd w:id="6"/>
    </w:p>
    <w:p w14:paraId="415E0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 xml:space="preserve">本工艺的核心为砷含量分级差异化处理，以800 </w:t>
      </w:r>
      <w:r>
        <w:rPr>
          <w:rFonts w:hint="eastAsia" w:ascii="宋体" w:hAnsi="宋体" w:eastAsia="宋体" w:cs="宋体"/>
          <w:b w:val="0"/>
          <w:bCs w:val="0"/>
          <w:i/>
          <w:iCs/>
          <w:kern w:val="0"/>
          <w:sz w:val="21"/>
          <w:szCs w:val="21"/>
        </w:rPr>
        <w:t>mg/L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为砷含量分界值，通过PID控制系统实现工艺自动切换，高砷废水采用“硫化氢全密闭脱砷+石灰-铁盐三段中和”组合工艺，低砷废水直接采用优化型石灰-铁盐三段中和工艺，两大工艺的核心反应原理如下。</w:t>
      </w:r>
    </w:p>
    <w:p w14:paraId="16F79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7" w:name="heading_6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3.1 硫化氢全密闭脱砷原理</w:t>
      </w:r>
      <w:bookmarkEnd w:id="7"/>
    </w:p>
    <w:p w14:paraId="53747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在酸性条件下，砷以阳离子形式存在，向全密闭硫化反应槽中投加硫化氢气体，S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2-</w:t>
      </w:r>
      <w:r>
        <w:rPr>
          <w:rFonts w:hint="eastAsia" w:ascii="宋体" w:hAnsi="宋体" w:eastAsia="宋体" w:cs="宋体"/>
          <w:kern w:val="0"/>
          <w:sz w:val="21"/>
          <w:szCs w:val="21"/>
        </w:rPr>
        <w:t>与废水中的As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3+</w:t>
      </w:r>
      <w:r>
        <w:rPr>
          <w:rFonts w:hint="eastAsia" w:ascii="宋体" w:hAnsi="宋体" w:eastAsia="宋体" w:cs="宋体"/>
          <w:kern w:val="0"/>
          <w:sz w:val="21"/>
          <w:szCs w:val="21"/>
        </w:rPr>
        <w:t>发生络合沉淀反应，生成溶度积极低的As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1"/>
          <w:szCs w:val="21"/>
        </w:rPr>
        <w:t>S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</w:rPr>
        <w:t>沉淀，同时废水中的Cu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2+</w:t>
      </w:r>
      <w:r>
        <w:rPr>
          <w:rFonts w:hint="eastAsia" w:ascii="宋体" w:hAnsi="宋体" w:eastAsia="宋体" w:cs="宋体"/>
          <w:kern w:val="0"/>
          <w:sz w:val="21"/>
          <w:szCs w:val="21"/>
        </w:rPr>
        <w:t>、Pb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2+</w:t>
      </w:r>
      <w:r>
        <w:rPr>
          <w:rFonts w:hint="eastAsia" w:ascii="宋体" w:hAnsi="宋体" w:eastAsia="宋体" w:cs="宋体"/>
          <w:kern w:val="0"/>
          <w:sz w:val="21"/>
          <w:szCs w:val="21"/>
        </w:rPr>
        <w:t>、Zn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2+</w:t>
      </w:r>
      <w:r>
        <w:rPr>
          <w:rFonts w:hint="eastAsia" w:ascii="宋体" w:hAnsi="宋体" w:eastAsia="宋体" w:cs="宋体"/>
          <w:kern w:val="0"/>
          <w:sz w:val="21"/>
          <w:szCs w:val="21"/>
        </w:rPr>
        <w:t>等重金属离子与S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2-</w:t>
      </w:r>
      <w:r>
        <w:rPr>
          <w:rFonts w:hint="eastAsia" w:ascii="宋体" w:hAnsi="宋体" w:eastAsia="宋体" w:cs="宋体"/>
          <w:kern w:val="0"/>
          <w:sz w:val="21"/>
          <w:szCs w:val="21"/>
        </w:rPr>
        <w:t>反应生成相应的金属硫化物沉淀，实现砷与重金属的同步高效去除，核心反应方程式如下：</w:t>
      </w:r>
    </w:p>
    <w:p w14:paraId="78154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</w:pPr>
      <m:oMathPara>
        <m:oMath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2A</m:t>
          </m:r>
          <m:sSup>
            <m:sSupP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s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3+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+3</m:t>
          </m:r>
          <m:sSub>
            <m:sSubP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H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2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S=A</m:t>
          </m:r>
          <m:sSub>
            <m:sSubP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s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2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ub>
          </m:sSub>
          <m:sSub>
            <m:sSubP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S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↓+6</m:t>
          </m:r>
          <m:sSup>
            <m:sSupP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H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+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up>
          </m:sSup>
        </m:oMath>
      </m:oMathPara>
    </w:p>
    <w:p w14:paraId="1D177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</w:pPr>
      <m:oMathPara>
        <m:oMath>
          <m:sSup>
            <m:sSupP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M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2+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+</m:t>
          </m:r>
          <m:sSub>
            <m:sSubP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H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2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S=MS↓+2</m:t>
          </m:r>
          <m:sSup>
            <m:sSupP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H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+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sup>
          </m:sSup>
          <m:d>
            <m:dPr>
              <m:sepChr m:val=","/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d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M=Cu、Pb、Zn</m:t>
              </m:r>
              <m:ctrlPr>
                <w:rPr>
                  <w:rFonts w:hint="eastAsia" w:ascii="Cambria Math" w:hAnsi="Cambria Math" w:eastAsia="宋体" w:cs="宋体"/>
                  <w:b w:val="0"/>
                  <w:bCs w:val="0"/>
                  <w:sz w:val="21"/>
                  <w:szCs w:val="21"/>
                </w:rPr>
              </m:ctrlPr>
            </m:e>
          </m:d>
        </m:oMath>
      </m:oMathPara>
    </w:p>
    <w:p w14:paraId="01D46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该反应在酸性环境（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P</w:t>
      </w:r>
      <w:r>
        <w:rPr>
          <w:rFonts w:hint="eastAsia" w:ascii="宋体" w:hAnsi="宋体" w:eastAsia="宋体" w:cs="宋体"/>
          <w:kern w:val="0"/>
          <w:sz w:val="21"/>
          <w:szCs w:val="21"/>
        </w:rPr>
        <w:t>H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1"/>
          <w:szCs w:val="21"/>
        </w:rPr>
        <w:t>1~3）下进行，硫化物沉淀溶度积小，除砷效率可达99.99%以上，且硫化渣中重金属富集度高，为后续有价金属回收奠定基础。同时，工艺采用喷射器实现反应液内循环，强化气液混合，提升反应效率，残留硫化氢液体与气体经全密闭系统循环回收，杜绝泄漏与二次污染。</w:t>
      </w:r>
    </w:p>
    <w:p w14:paraId="15C0A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8" w:name="heading_7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3.2 石灰-铁盐三段中和原理</w:t>
      </w:r>
      <w:bookmarkEnd w:id="8"/>
    </w:p>
    <w:p w14:paraId="3B95C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石灰-铁盐三段中和法通过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分段调控pH、梯度投加药剂，</w:t>
      </w:r>
      <w:r>
        <w:rPr>
          <w:rFonts w:hint="eastAsia" w:ascii="宋体" w:hAnsi="宋体" w:eastAsia="宋体" w:cs="宋体"/>
          <w:kern w:val="0"/>
          <w:sz w:val="21"/>
          <w:szCs w:val="21"/>
        </w:rPr>
        <w:t>实现酸度中和、砷深度去除与重金属稳定化，核心分为三个反应阶段，兼具中和沉淀、吸附絮凝、共沉淀三重作用：</w:t>
      </w:r>
    </w:p>
    <w:p w14:paraId="64AE83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kern w:val="0"/>
          <w:sz w:val="21"/>
          <w:szCs w:val="21"/>
        </w:rPr>
        <w:t>酸度中和与初步除重：投加石灰乳中和废水酸度，调节pH值，使废水中部分Fe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3+</w:t>
      </w:r>
      <w:r>
        <w:rPr>
          <w:rFonts w:hint="eastAsia" w:ascii="宋体" w:hAnsi="宋体" w:eastAsia="宋体" w:cs="宋体"/>
          <w:kern w:val="0"/>
          <w:sz w:val="21"/>
          <w:szCs w:val="21"/>
        </w:rPr>
        <w:t>生成Fe(OH)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</w:rPr>
        <w:t>沉淀，初步去除重金属；</w:t>
      </w:r>
    </w:p>
    <w:p w14:paraId="4026D5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kern w:val="0"/>
          <w:sz w:val="21"/>
          <w:szCs w:val="21"/>
        </w:rPr>
        <w:t>铁盐絮凝与砷沉淀：投加亚铁盐后，Fe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2+</w:t>
      </w:r>
      <w:r>
        <w:rPr>
          <w:rFonts w:hint="eastAsia" w:ascii="宋体" w:hAnsi="宋体" w:eastAsia="宋体" w:cs="宋体"/>
          <w:kern w:val="0"/>
          <w:sz w:val="21"/>
          <w:szCs w:val="21"/>
        </w:rPr>
        <w:t>经曝气氧化为Fe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3+</w:t>
      </w:r>
      <w:r>
        <w:rPr>
          <w:rFonts w:hint="eastAsia" w:ascii="宋体" w:hAnsi="宋体" w:eastAsia="宋体" w:cs="宋体"/>
          <w:kern w:val="0"/>
          <w:sz w:val="21"/>
          <w:szCs w:val="21"/>
        </w:rPr>
        <w:t>，Fe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3+</w:t>
      </w:r>
      <w:r>
        <w:rPr>
          <w:rFonts w:hint="eastAsia" w:ascii="宋体" w:hAnsi="宋体" w:eastAsia="宋体" w:cs="宋体"/>
          <w:kern w:val="0"/>
          <w:sz w:val="21"/>
          <w:szCs w:val="21"/>
        </w:rPr>
        <w:t>水解生成[Fe(H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1"/>
          <w:szCs w:val="21"/>
        </w:rPr>
        <w:t>O)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1"/>
          <w:szCs w:val="21"/>
        </w:rPr>
        <w:t>]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3+</w:t>
      </w:r>
      <w:r>
        <w:rPr>
          <w:rFonts w:hint="eastAsia" w:ascii="宋体" w:hAnsi="宋体" w:eastAsia="宋体" w:cs="宋体"/>
          <w:kern w:val="0"/>
          <w:sz w:val="21"/>
          <w:szCs w:val="21"/>
        </w:rPr>
        <w:t>、[Fe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1"/>
          <w:szCs w:val="21"/>
        </w:rPr>
        <w:t>(OH)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</w:rPr>
        <w:t>]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3+</w:t>
      </w:r>
      <w:r>
        <w:rPr>
          <w:rFonts w:hint="eastAsia" w:ascii="宋体" w:hAnsi="宋体" w:eastAsia="宋体" w:cs="宋体"/>
          <w:kern w:val="0"/>
          <w:sz w:val="21"/>
          <w:szCs w:val="21"/>
        </w:rPr>
        <w:t>、[Fe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</w:rPr>
        <w:t>(OH)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1"/>
          <w:szCs w:val="21"/>
        </w:rPr>
        <w:t>]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4+</w:t>
      </w:r>
      <w:r>
        <w:rPr>
          <w:rFonts w:hint="eastAsia" w:ascii="宋体" w:hAnsi="宋体" w:eastAsia="宋体" w:cs="宋体"/>
          <w:kern w:val="0"/>
          <w:sz w:val="21"/>
          <w:szCs w:val="21"/>
        </w:rPr>
        <w:t>等络合物，此类络合物具有强吸附性，可吸附水中胶体颗粒形成絮凝聚体；同时，废水中的AsO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3-</w:t>
      </w:r>
      <w:r>
        <w:rPr>
          <w:rFonts w:hint="eastAsia" w:ascii="宋体" w:hAnsi="宋体" w:eastAsia="宋体" w:cs="宋体"/>
          <w:kern w:val="0"/>
          <w:sz w:val="21"/>
          <w:szCs w:val="21"/>
        </w:rPr>
        <w:t>和AsO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3-</w:t>
      </w:r>
      <w:r>
        <w:rPr>
          <w:rFonts w:hint="eastAsia" w:ascii="宋体" w:hAnsi="宋体" w:eastAsia="宋体" w:cs="宋体"/>
          <w:kern w:val="0"/>
          <w:sz w:val="21"/>
          <w:szCs w:val="21"/>
        </w:rPr>
        <w:t>与Fe</w:t>
      </w:r>
      <w:r>
        <w:rPr>
          <w:rFonts w:hint="eastAsia" w:ascii="宋体" w:hAnsi="宋体" w:eastAsia="宋体" w:cs="宋体"/>
          <w:kern w:val="0"/>
          <w:sz w:val="21"/>
          <w:szCs w:val="21"/>
          <w:vertAlign w:val="superscript"/>
          <w:lang w:val="en-US" w:eastAsia="zh-CN"/>
        </w:rPr>
        <w:t>3+</w:t>
      </w:r>
      <w:r>
        <w:rPr>
          <w:rFonts w:hint="eastAsia" w:ascii="宋体" w:hAnsi="宋体" w:eastAsia="宋体" w:cs="宋体"/>
          <w:kern w:val="0"/>
          <w:sz w:val="21"/>
          <w:szCs w:val="21"/>
        </w:rPr>
        <w:t>反应生成FeAsO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</w:rPr>
        <w:t>和FeAsO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宋体" w:hAnsi="宋体" w:eastAsia="宋体" w:cs="宋体"/>
          <w:kern w:val="0"/>
          <w:sz w:val="21"/>
          <w:szCs w:val="21"/>
        </w:rPr>
        <w:t>沉淀；</w:t>
      </w:r>
    </w:p>
    <w:p w14:paraId="3D05F1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kern w:val="0"/>
          <w:sz w:val="21"/>
          <w:szCs w:val="21"/>
        </w:rPr>
        <w:t>深度净化与絮凝沉降：继续补加石灰乳调节pH至8.0~8.6，使剩余重金属生成氢氧化物沉淀，同时絮凝聚体通过吸附、架桥、交联作用捕捉废水中残留的砷酸根离子，经卷扫沉积实现砷的深度去除，核心反应方程式如下：</w:t>
      </w:r>
    </w:p>
    <w:p w14:paraId="1DB3D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m:oMathPara>
        <m:oMath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Ca</m:t>
          </m:r>
          <m:sSub>
            <m:sSub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bPr>
            <m:e>
              <m:d>
                <m:dPr>
                  <m:sepChr m:val=","/>
                  <m:ctrlPr>
                    <w:rPr>
                      <w:rFonts w:hint="eastAsia" w:ascii="Cambria Math" w:hAnsi="Cambria Math" w:eastAsia="宋体" w:cs="宋体"/>
                      <w:sz w:val="21"/>
                      <w:szCs w:val="21"/>
                    </w:rPr>
                  </m:ctrlPr>
                </m:dPr>
                <m:e>
                  <m:r>
                    <m:rPr/>
                    <w:rPr>
                      <w:rFonts w:hint="eastAsia" w:ascii="Cambria Math" w:hAnsi="Cambria Math" w:eastAsia="宋体" w:cs="宋体"/>
                      <w:sz w:val="21"/>
                      <w:szCs w:val="21"/>
                    </w:rPr>
                    <m:t>OH</m:t>
                  </m:r>
                  <m:ctrlPr>
                    <w:rPr>
                      <w:rFonts w:hint="eastAsia" w:ascii="Cambria Math" w:hAnsi="Cambria Math" w:eastAsia="宋体" w:cs="宋体"/>
                      <w:sz w:val="21"/>
                      <w:szCs w:val="21"/>
                    </w:rPr>
                  </m:ctrlPr>
                </m:e>
              </m:d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2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+2</m:t>
          </m:r>
          <m:sSup>
            <m:sSup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H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+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=C</m:t>
          </m:r>
          <m:sSup>
            <m:sSup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a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2+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+2</m:t>
          </m:r>
          <m:sSub>
            <m:sSub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H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2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O</m:t>
          </m:r>
        </m:oMath>
      </m:oMathPara>
    </w:p>
    <w:p w14:paraId="269FB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m:oMathPara>
        <m:oMath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F</m:t>
          </m:r>
          <m:sSup>
            <m:sSup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e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3+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+3O</m:t>
          </m:r>
          <m:sSup>
            <m:sSup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H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−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=Fe</m:t>
          </m:r>
          <m:sSub>
            <m:sSub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bPr>
            <m:e>
              <m:d>
                <m:dPr>
                  <m:sepChr m:val=","/>
                  <m:ctrlPr>
                    <w:rPr>
                      <w:rFonts w:hint="eastAsia" w:ascii="Cambria Math" w:hAnsi="Cambria Math" w:eastAsia="宋体" w:cs="宋体"/>
                      <w:sz w:val="21"/>
                      <w:szCs w:val="21"/>
                    </w:rPr>
                  </m:ctrlPr>
                </m:dPr>
                <m:e>
                  <m:r>
                    <m:rPr/>
                    <w:rPr>
                      <w:rFonts w:hint="eastAsia" w:ascii="Cambria Math" w:hAnsi="Cambria Math" w:eastAsia="宋体" w:cs="宋体"/>
                      <w:sz w:val="21"/>
                      <w:szCs w:val="21"/>
                    </w:rPr>
                    <m:t>OH</m:t>
                  </m:r>
                  <m:ctrlPr>
                    <w:rPr>
                      <w:rFonts w:hint="eastAsia" w:ascii="Cambria Math" w:hAnsi="Cambria Math" w:eastAsia="宋体" w:cs="宋体"/>
                      <w:sz w:val="21"/>
                      <w:szCs w:val="21"/>
                    </w:rPr>
                  </m:ctrlPr>
                </m:e>
              </m:d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↓</m:t>
          </m:r>
        </m:oMath>
      </m:oMathPara>
    </w:p>
    <w:p w14:paraId="7233D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m:oMathPara>
        <m:oMath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As</m:t>
          </m:r>
          <m:sSubSup>
            <m:sSubSup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b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O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b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3−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p>
          </m:sSub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+F</m:t>
          </m:r>
          <m:sSup>
            <m:sSup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e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3+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=FeAs</m:t>
          </m:r>
          <m:sSub>
            <m:sSub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O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↓</m:t>
          </m:r>
        </m:oMath>
      </m:oMathPara>
    </w:p>
    <w:p w14:paraId="63C57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m:oMathPara>
        <m:oMath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As</m:t>
          </m:r>
          <m:sSubSup>
            <m:sSubSup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b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O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4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b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3−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p>
          </m:sSub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+F</m:t>
          </m:r>
          <m:sSup>
            <m:sSup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e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3+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=FeAs</m:t>
          </m:r>
          <m:sSub>
            <m:sSubP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O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sz w:val="21"/>
                  <w:szCs w:val="21"/>
                </w:rPr>
                <m:t>4</m:t>
              </m:r>
              <m:ctrlPr>
                <w:rPr>
                  <w:rFonts w:hint="eastAsia" w:ascii="Cambria Math" w:hAnsi="Cambria Math" w:eastAsia="宋体" w:cs="宋体"/>
                  <w:sz w:val="21"/>
                  <w:szCs w:val="21"/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sz w:val="21"/>
              <w:szCs w:val="21"/>
            </w:rPr>
            <m:t>↓</m:t>
          </m:r>
        </m:oMath>
      </m:oMathPara>
    </w:p>
    <w:p w14:paraId="052B6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优化后的工艺中，FeCl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在pH=8的环境下反应，药剂消耗量仅为0.6 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</w:rPr>
        <w:t>kg/m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</w:rPr>
        <w:t>，大幅降低处理成本，同时减少废渣产生量。</w:t>
      </w:r>
    </w:p>
    <w:p w14:paraId="5FD1A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4处理及综合利用工艺设计</w:t>
      </w:r>
    </w:p>
    <w:p w14:paraId="1C010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4.1工艺总体流程</w:t>
      </w:r>
    </w:p>
    <w:p w14:paraId="60E69D97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left="630" w:leftChars="0" w:right="0" w:rightChars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kern w:val="0"/>
          <w:sz w:val="21"/>
          <w:szCs w:val="21"/>
          <w:lang w:val="en-US" w:eastAsia="zh-CN" w:bidi="ar"/>
        </w:rPr>
        <w:pict>
          <v:shape id="_x0000_s1026" o:spid="_x0000_s1026" o:spt="75" type="#_x0000_t75" style="position:absolute;left:0pt;margin-left:18.5pt;margin-top:8.35pt;height:329.4pt;width:363.45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square"/>
          </v:shape>
          <o:OLEObject Type="Embed" ProgID="Visio.Drawing.15" ShapeID="_x0000_s1026" DrawAspect="Content" ObjectID="_1468075725" r:id="rId4">
            <o:LockedField>false</o:LockedField>
          </o:OLEObject>
        </w:pict>
      </w:r>
    </w:p>
    <w:p w14:paraId="248D1B31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left="630" w:leftChars="0" w:right="0" w:rightChars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272D509F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left="630" w:leftChars="0" w:right="0" w:rightChars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5C6454CC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left="630" w:leftChars="0" w:right="0" w:rightChars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783998F8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left="630" w:leftChars="0" w:right="0" w:rightChars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18B1ACE5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right="0" w:rightChars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22DF9904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right="0" w:rightChars="0"/>
        <w:jc w:val="left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353585BB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left="630" w:leftChars="0" w:right="0" w:rightChars="0"/>
        <w:jc w:val="center"/>
        <w:rPr>
          <w:rFonts w:hint="eastAsia" w:ascii="方正仿宋_GB2312" w:hAnsi="方正仿宋_GB2312" w:eastAsia="方正仿宋_GB2312" w:cs="方正仿宋_GB2312"/>
          <w:b/>
          <w:bCs/>
          <w:sz w:val="15"/>
          <w:szCs w:val="15"/>
        </w:rPr>
      </w:pPr>
    </w:p>
    <w:p w14:paraId="7825DCCB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left="630" w:leftChars="0" w:right="0" w:rightChars="0"/>
        <w:jc w:val="center"/>
        <w:rPr>
          <w:rFonts w:hint="eastAsia" w:ascii="方正仿宋_GB2312" w:hAnsi="方正仿宋_GB2312" w:eastAsia="方正仿宋_GB2312" w:cs="方正仿宋_GB2312"/>
          <w:b/>
          <w:bCs/>
          <w:sz w:val="18"/>
          <w:szCs w:val="18"/>
        </w:rPr>
      </w:pPr>
    </w:p>
    <w:p w14:paraId="4795CDE0">
      <w:pPr>
        <w:keepNext w:val="0"/>
        <w:keepLines w:val="0"/>
        <w:widowControl w:val="0"/>
        <w:numPr>
          <w:ilvl w:val="0"/>
          <w:numId w:val="0"/>
        </w:numPr>
        <w:suppressLineNumbers w:val="0"/>
        <w:autoSpaceDE w:val="0"/>
        <w:autoSpaceDN/>
        <w:spacing w:before="120" w:beforeAutospacing="0" w:after="120" w:afterAutospacing="0" w:line="579" w:lineRule="exact"/>
        <w:ind w:left="630" w:leftChars="0" w:right="0" w:rightChars="0"/>
        <w:jc w:val="center"/>
        <w:rPr>
          <w:rFonts w:hint="eastAsia" w:ascii="方正仿宋_GB2312" w:hAnsi="方正仿宋_GB2312" w:eastAsia="方正仿宋_GB2312" w:cs="方正仿宋_GB2312"/>
          <w:b/>
          <w:bCs/>
          <w:sz w:val="18"/>
          <w:szCs w:val="18"/>
        </w:rPr>
      </w:pPr>
    </w:p>
    <w:p w14:paraId="5C718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图1 工艺流程</w:t>
      </w:r>
    </w:p>
    <w:p w14:paraId="72F0A96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20" w:beforeAutospacing="0" w:after="120" w:afterAutospacing="0" w:line="400" w:lineRule="exact"/>
        <w:ind w:left="0" w:right="0"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本工艺以全密闭循环为核心，具体工艺流程如图1所示：预处理→砷含量检测与PID工艺切换→差异化处理→固液分离→深度过滤→废水回用与资源回收。①预处理：废水经脱吸塔脱除SO</w:t>
      </w:r>
      <w:r>
        <w:rPr>
          <w:rFonts w:hint="eastAsia" w:ascii="宋体" w:hAnsi="宋体" w:eastAsia="宋体" w:cs="宋体"/>
          <w:kern w:val="0"/>
          <w:sz w:val="21"/>
          <w:szCs w:val="21"/>
          <w:vertAlign w:val="subscript"/>
          <w:lang w:val="en-US" w:eastAsia="zh-CN" w:bidi="ar"/>
        </w:rPr>
        <w:t>2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后进入调节池，稳定水质水量。②分级调控：通过在线检测，以800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mg/L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为界，PID 系统自动切换处理方案。③差异化处理：高砷废水（As&gt;800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mg/L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）经硫化氢沉淀+石灰-铁盐三级中和；低砷废水（As&lt;800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mg/L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）直接进入三段中和深度净化。④固液与回用：经浓密机、压滤机脱水，无阀过滤后滤液回用于生产，固废实现有价金属回收或资源化处置。</w:t>
      </w:r>
    </w:p>
    <w:p w14:paraId="1B45E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 实验部分</w:t>
      </w:r>
    </w:p>
    <w:p w14:paraId="4DDEC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5.1 实验原料与药剂</w:t>
      </w:r>
    </w:p>
    <w:p w14:paraId="4BD74DE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20" w:beforeAutospacing="0" w:after="120" w:afterAutospacing="0" w:line="400" w:lineRule="exact"/>
        <w:ind w:left="0" w:right="0"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以黄金冶炼厂含砷酸性废水为研究对象，按砷浓度分为高砷（As&gt;800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mg/L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）与低砷（As&lt;800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mg/L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）两组水样。采用工业级药剂：硫磺（≥99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%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）、甲醇（≥95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%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）用于制备硫化氢；石灰乳（有效 CaO≥20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%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）用于调 pH；氯化亚铁（≥90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%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）、氯化铁（≥98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%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）用于中和除砷；阴离子型PAM（分子量1200万）用于强化絮凝。</w:t>
      </w:r>
    </w:p>
    <w:p w14:paraId="36105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5.2 实验装置</w:t>
      </w:r>
    </w:p>
    <w:p w14:paraId="53128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实验采用模拟工程化运行的中试配套设备，处理量为5</w:t>
      </w:r>
      <w:r>
        <w:rPr>
          <w:rFonts w:hint="eastAsia" w:ascii="宋体" w:hAnsi="宋体" w:eastAsia="宋体" w:cs="宋体"/>
          <w:b w:val="0"/>
          <w:bCs w:val="0"/>
          <w:i/>
          <w:iCs/>
          <w:kern w:val="0"/>
          <w:sz w:val="21"/>
          <w:szCs w:val="21"/>
        </w:rPr>
        <w:t xml:space="preserve"> m</w:t>
      </w:r>
      <w:r>
        <w:rPr>
          <w:rFonts w:hint="eastAsia" w:ascii="宋体" w:hAnsi="宋体" w:eastAsia="宋体" w:cs="宋体"/>
          <w:b w:val="0"/>
          <w:bCs w:val="0"/>
          <w:i/>
          <w:iCs/>
          <w:kern w:val="0"/>
          <w:sz w:val="21"/>
          <w:szCs w:val="21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/>
          <w:iCs/>
          <w:kern w:val="0"/>
          <w:sz w:val="21"/>
          <w:szCs w:val="21"/>
        </w:rPr>
        <w:t>/h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，核心设备均采用耐酸、耐腐材质，适配含砷酸性废水的处理要求，同时配套全密闭系统与PID智能调控装置，与工业实际应用场景一致，核心实验装置的规格、材质与功能如表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所示。</w:t>
      </w:r>
    </w:p>
    <w:p w14:paraId="02177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实验核心装置规格、材质与功能</w:t>
      </w:r>
    </w:p>
    <w:tbl>
      <w:tblPr>
        <w:tblStyle w:val="17"/>
        <w:tblW w:w="4997" w:type="pct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single" w:color="000000" w:themeColor="text1" w:sz="12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02"/>
        <w:gridCol w:w="3097"/>
        <w:gridCol w:w="1281"/>
        <w:gridCol w:w="2487"/>
      </w:tblGrid>
      <w:tr w14:paraId="4434ED7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3669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 w:firstLine="361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73D6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 w:firstLine="361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58AF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 w:firstLine="361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材质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5324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400" w:lineRule="exact"/>
              <w:ind w:left="0" w:right="0" w:firstLine="361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核心功能</w:t>
            </w:r>
          </w:p>
        </w:tc>
      </w:tr>
      <w:tr w14:paraId="206AE40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6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B8FE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脱吸塔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583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填料塔，处理量5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/h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70C3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玻璃钢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91BD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脱除废水中SO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等挥发性气体</w:t>
            </w:r>
          </w:p>
        </w:tc>
      </w:tr>
      <w:tr w14:paraId="7DE54EF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8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54BB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全密闭硫化反应槽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41DF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搅拌式，有效容积2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0DAF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316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不锈钢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2EDD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高砷废水与硫化氢气体反应</w:t>
            </w:r>
          </w:p>
        </w:tc>
      </w:tr>
      <w:tr w14:paraId="2507274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5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A528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三段中和槽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ED5E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串联式搅拌槽，单槽有效容积1.5 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CE81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玻璃钢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50FB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低砷/硫化滤液的中和、除砷</w:t>
            </w:r>
          </w:p>
        </w:tc>
      </w:tr>
      <w:tr w14:paraId="47060A6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6CF7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硫化/中和浓密机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2FA4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高效浓缩机，处理量5 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/h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D14C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玻璃钢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F116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污泥浓缩，初步固液分离</w:t>
            </w:r>
          </w:p>
        </w:tc>
      </w:tr>
      <w:tr w14:paraId="3ADB6FA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B8EF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36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板框压滤机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7CD7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厢式，过滤面积20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  <w:vertAlign w:val="superscript"/>
                <w:lang w:val="en-US" w:eastAsia="zh-CN"/>
              </w:rPr>
              <w:t>2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645D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增强聚丙烯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A35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污泥脱水，制备干渣</w:t>
            </w:r>
          </w:p>
        </w:tc>
      </w:tr>
      <w:tr w14:paraId="2860B07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7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975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36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无阀过滤器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A133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石英砂过滤，处理量5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/h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0191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玻璃钢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228A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滤液深度过滤，去除悬浮杂质</w:t>
            </w:r>
          </w:p>
        </w:tc>
      </w:tr>
      <w:tr w14:paraId="5B11436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4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F12B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硫化氢制备和投加系统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CC96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配套蒸汽发生器，产气速率可调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BE33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316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不锈钢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4762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制备并投加硫化氢气体</w:t>
            </w:r>
          </w:p>
        </w:tc>
      </w:tr>
      <w:tr w14:paraId="739DA40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9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4A90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碱吸塔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87CB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喷淋塔，处理量5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/h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F7D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玻璃钢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D1FB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吸收残余硫化氢气体</w:t>
            </w:r>
          </w:p>
        </w:tc>
      </w:tr>
      <w:tr w14:paraId="730E5A8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9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25B1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PID智能调控系统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C8B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可编程PLC，配套在线检测仪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9AF2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不锈钢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F07A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水质检测、工艺切换、参数调控</w:t>
            </w:r>
          </w:p>
        </w:tc>
      </w:tr>
      <w:tr w14:paraId="75EFCF2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2" w:hRule="atLeast"/>
          <w:jc w:val="center"/>
        </w:trPr>
        <w:tc>
          <w:tcPr>
            <w:tcW w:w="1172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B5D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36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喷射器</w:t>
            </w:r>
          </w:p>
        </w:tc>
        <w:tc>
          <w:tcPr>
            <w:tcW w:w="172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6CBD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耐酸型，流量可调</w:t>
            </w:r>
          </w:p>
        </w:tc>
        <w:tc>
          <w:tcPr>
            <w:tcW w:w="714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793C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316</w:t>
            </w:r>
            <w:r>
              <w:rPr>
                <w:rFonts w:hint="eastAsia" w:ascii="宋体" w:hAnsi="宋体" w:eastAsia="宋体" w:cs="宋体"/>
                <w:i/>
                <w:iCs/>
                <w:kern w:val="0"/>
                <w:sz w:val="18"/>
                <w:szCs w:val="18"/>
              </w:rPr>
              <w:t>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不锈钢</w:t>
            </w:r>
          </w:p>
        </w:tc>
        <w:tc>
          <w:tcPr>
            <w:tcW w:w="138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B542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实现反应液内循环与气体回收</w:t>
            </w:r>
          </w:p>
        </w:tc>
      </w:tr>
    </w:tbl>
    <w:p w14:paraId="675CA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5.3 实验方法</w:t>
      </w:r>
    </w:p>
    <w:p w14:paraId="587A279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实验采用工业连续运行模式，模拟黄金冶炼厂废水的连续进水、连续处理过程，具体实验步骤如下：</w:t>
      </w:r>
    </w:p>
    <w:p w14:paraId="530B27D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 xml:space="preserve">1）启动脱吸塔，将含砷酸性废水以5 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m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vertAlign w:val="superscript"/>
          <w:lang w:val="en-US" w:eastAsia="zh-CN" w:bidi="ar"/>
        </w:rPr>
        <w:t>3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/h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的流量泵入塔内，脱气处理后进入均质调节池；</w:t>
      </w:r>
    </w:p>
    <w:p w14:paraId="65237E1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2）开启在线砷含量检测仪，实时检测废水砷含量，数据传输至PID控制系统，系统自动判定高/低砷废水，切换相应工艺路线与药剂投加系统；</w:t>
      </w:r>
    </w:p>
    <w:p w14:paraId="5C9FDCD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3）高砷废水处理：PID系统开启硫化氢制备和投加系统，将硫化氢气体按反应比例通入全密闭硫化反应槽，废水与硫化氢气体在最优参数下充分反应，反应后废水经硫化浓密机、板框压滤机完成固液分离，硫化滤液进入三段中和槽，与石灰乳、亚铁盐按三段中和最优参数反应；</w:t>
      </w:r>
    </w:p>
    <w:p w14:paraId="38D330E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4）低砷废水处理：PID系统开启石灰乳、亚铁盐制备和投加系统，废水直接进入三段中和槽，按最优参数完成中和、除砷反应；</w:t>
      </w:r>
    </w:p>
    <w:p w14:paraId="593CF70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5）中和反应后的废水经中和浓密机、板框压滤机固液分离后，中和滤液进入无阀过滤器深度过滤，过滤后滤液进入回水池，取样检测；</w:t>
      </w:r>
    </w:p>
    <w:p w14:paraId="324E80B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6）实验过程中，实时监控各反应槽的pH、反应时间、药剂投加量等参数，确保符合最优控制范围；同时对硫化渣、中和渣进行取样，检测其含水率与金属含量；</w:t>
      </w:r>
    </w:p>
    <w:p w14:paraId="699BBF6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7）每组水样连续运行72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>h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，每12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 xml:space="preserve"> h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定点取样1次，每次取样500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val="en-US" w:eastAsia="zh-CN" w:bidi="ar"/>
        </w:rPr>
        <w:t xml:space="preserve"> mL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，混合后采用国家标准方法检测水质指标，取平均值作为实验结果。</w:t>
      </w:r>
    </w:p>
    <w:p w14:paraId="056DA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 实验结果与分析</w:t>
      </w:r>
    </w:p>
    <w:p w14:paraId="4D1CD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当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砷（As）</w:t>
      </w: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含量＞800</w:t>
      </w:r>
      <w:r>
        <w:rPr>
          <w:rFonts w:hint="eastAsia" w:ascii="宋体" w:hAnsi="宋体" w:eastAsia="宋体" w:cs="宋体"/>
          <w:i/>
          <w:iCs/>
          <w:color w:val="auto"/>
          <w:sz w:val="21"/>
          <w:szCs w:val="21"/>
          <w:highlight w:val="none"/>
          <w:lang w:val="en-US" w:eastAsia="zh-CN"/>
        </w:rPr>
        <w:t>mg/L</w:t>
      </w: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时，设置为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PID控制系统中砷（As）</w:t>
      </w: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含量高，当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含砷（As）高时，使用“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硫化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  <w:lang w:val="en-US" w:eastAsia="zh-CN"/>
        </w:rPr>
        <w:t>氢全密闭脱砷法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+石灰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  <w:lang w:val="en-US" w:eastAsia="zh-CN"/>
        </w:rPr>
        <w:t>-铁盐三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段中和法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”的全密闭气体循环工艺，随机定点取样，废水处理前后，检测情况如表3所示。</w:t>
      </w:r>
    </w:p>
    <w:tbl>
      <w:tblPr>
        <w:tblStyle w:val="18"/>
        <w:tblpPr w:leftFromText="180" w:rightFromText="180" w:vertAnchor="text" w:horzAnchor="page" w:tblpX="1733" w:tblpY="462"/>
        <w:tblOverlap w:val="never"/>
        <w:tblW w:w="4997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1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654"/>
        <w:gridCol w:w="805"/>
        <w:gridCol w:w="777"/>
        <w:gridCol w:w="928"/>
        <w:gridCol w:w="664"/>
        <w:gridCol w:w="884"/>
        <w:gridCol w:w="868"/>
        <w:gridCol w:w="898"/>
        <w:gridCol w:w="1074"/>
      </w:tblGrid>
      <w:tr w14:paraId="15FCFC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777" w:type="pct"/>
            <w:tcBorders>
              <w:tl2br w:val="nil"/>
              <w:tr2bl w:val="nil"/>
            </w:tcBorders>
            <w:noWrap w:val="0"/>
            <w:vAlign w:val="center"/>
          </w:tcPr>
          <w:p w14:paraId="355A5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68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85EA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黄金冶炼含砷废水处理前</w:t>
            </w:r>
          </w:p>
        </w:tc>
        <w:tc>
          <w:tcPr>
            <w:tcW w:w="1852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10E1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黄金冶炼含砷废水处理后</w:t>
            </w:r>
          </w:p>
        </w:tc>
        <w:tc>
          <w:tcPr>
            <w:tcW w:w="60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225B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水样砷的下降率%</w:t>
            </w:r>
          </w:p>
        </w:tc>
      </w:tr>
      <w:tr w14:paraId="1E6F99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777" w:type="pct"/>
            <w:tcBorders>
              <w:tl2br w:val="nil"/>
              <w:tr2bl w:val="nil"/>
            </w:tcBorders>
            <w:noWrap w:val="0"/>
            <w:vAlign w:val="center"/>
          </w:tcPr>
          <w:p w14:paraId="29098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检测元素</w:t>
            </w:r>
          </w:p>
        </w:tc>
        <w:tc>
          <w:tcPr>
            <w:tcW w:w="365" w:type="pct"/>
            <w:tcBorders>
              <w:tl2br w:val="nil"/>
              <w:tr2bl w:val="nil"/>
            </w:tcBorders>
            <w:noWrap w:val="0"/>
            <w:vAlign w:val="center"/>
          </w:tcPr>
          <w:p w14:paraId="67622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PH</w:t>
            </w:r>
          </w:p>
        </w:tc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 w14:paraId="4EB3B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水样砷mg/L</w:t>
            </w:r>
          </w:p>
        </w:tc>
        <w:tc>
          <w:tcPr>
            <w:tcW w:w="434" w:type="pct"/>
            <w:tcBorders>
              <w:tl2br w:val="nil"/>
              <w:tr2bl w:val="nil"/>
            </w:tcBorders>
            <w:noWrap w:val="0"/>
            <w:vAlign w:val="center"/>
          </w:tcPr>
          <w:p w14:paraId="196A3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水样铁mg/L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center"/>
          </w:tcPr>
          <w:p w14:paraId="7619B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水样铜mg/L</w:t>
            </w:r>
          </w:p>
        </w:tc>
        <w:tc>
          <w:tcPr>
            <w:tcW w:w="371" w:type="pct"/>
            <w:tcBorders>
              <w:tl2br w:val="nil"/>
              <w:tr2bl w:val="nil"/>
            </w:tcBorders>
            <w:noWrap w:val="0"/>
            <w:vAlign w:val="center"/>
          </w:tcPr>
          <w:p w14:paraId="0DF42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PH</w:t>
            </w:r>
          </w:p>
        </w:tc>
        <w:tc>
          <w:tcPr>
            <w:tcW w:w="494" w:type="pct"/>
            <w:tcBorders>
              <w:tl2br w:val="nil"/>
              <w:tr2bl w:val="nil"/>
            </w:tcBorders>
            <w:noWrap w:val="0"/>
            <w:vAlign w:val="center"/>
          </w:tcPr>
          <w:p w14:paraId="7244F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水样砷mg/L</w:t>
            </w:r>
          </w:p>
        </w:tc>
        <w:tc>
          <w:tcPr>
            <w:tcW w:w="485" w:type="pct"/>
            <w:tcBorders>
              <w:tl2br w:val="nil"/>
              <w:tr2bl w:val="nil"/>
            </w:tcBorders>
            <w:noWrap w:val="0"/>
            <w:vAlign w:val="center"/>
          </w:tcPr>
          <w:p w14:paraId="18939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水样铁mg/L</w:t>
            </w:r>
          </w:p>
        </w:tc>
        <w:tc>
          <w:tcPr>
            <w:tcW w:w="502" w:type="pct"/>
            <w:tcBorders>
              <w:tl2br w:val="nil"/>
              <w:tr2bl w:val="nil"/>
            </w:tcBorders>
            <w:noWrap w:val="0"/>
            <w:vAlign w:val="center"/>
          </w:tcPr>
          <w:p w14:paraId="2B257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水样铜mg/L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FDC3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68E94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77" w:type="pct"/>
            <w:tcBorders>
              <w:tl2br w:val="nil"/>
              <w:tr2bl w:val="nil"/>
            </w:tcBorders>
            <w:noWrap w:val="0"/>
            <w:vAlign w:val="center"/>
          </w:tcPr>
          <w:p w14:paraId="49CDF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实验废水1</w:t>
            </w:r>
          </w:p>
        </w:tc>
        <w:tc>
          <w:tcPr>
            <w:tcW w:w="365" w:type="pct"/>
            <w:tcBorders>
              <w:tl2br w:val="nil"/>
              <w:tr2bl w:val="nil"/>
            </w:tcBorders>
            <w:noWrap w:val="0"/>
            <w:vAlign w:val="center"/>
          </w:tcPr>
          <w:p w14:paraId="488E4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0.9</w:t>
            </w:r>
          </w:p>
        </w:tc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 w14:paraId="3FAF88DC">
            <w:pPr>
              <w:keepNext w:val="0"/>
              <w:keepLines w:val="0"/>
              <w:pageBreakBefore w:val="0"/>
              <w:widowControl w:val="0"/>
              <w:tabs>
                <w:tab w:val="left" w:pos="3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1840</w:t>
            </w:r>
          </w:p>
        </w:tc>
        <w:tc>
          <w:tcPr>
            <w:tcW w:w="434" w:type="pct"/>
            <w:tcBorders>
              <w:tl2br w:val="nil"/>
              <w:tr2bl w:val="nil"/>
            </w:tcBorders>
            <w:noWrap w:val="0"/>
            <w:vAlign w:val="center"/>
          </w:tcPr>
          <w:p w14:paraId="43F35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7318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center"/>
          </w:tcPr>
          <w:p w14:paraId="77E27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778</w:t>
            </w:r>
          </w:p>
        </w:tc>
        <w:tc>
          <w:tcPr>
            <w:tcW w:w="371" w:type="pct"/>
            <w:tcBorders>
              <w:tl2br w:val="nil"/>
              <w:tr2bl w:val="nil"/>
            </w:tcBorders>
            <w:noWrap w:val="0"/>
            <w:vAlign w:val="center"/>
          </w:tcPr>
          <w:p w14:paraId="16FE0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8.3</w:t>
            </w:r>
          </w:p>
        </w:tc>
        <w:tc>
          <w:tcPr>
            <w:tcW w:w="494" w:type="pct"/>
            <w:tcBorders>
              <w:tl2br w:val="nil"/>
              <w:tr2bl w:val="nil"/>
            </w:tcBorders>
            <w:noWrap w:val="0"/>
            <w:vAlign w:val="center"/>
          </w:tcPr>
          <w:p w14:paraId="700E3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0.068</w:t>
            </w:r>
          </w:p>
        </w:tc>
        <w:tc>
          <w:tcPr>
            <w:tcW w:w="485" w:type="pct"/>
            <w:tcBorders>
              <w:tl2br w:val="nil"/>
              <w:tr2bl w:val="nil"/>
            </w:tcBorders>
            <w:noWrap w:val="0"/>
            <w:vAlign w:val="center"/>
          </w:tcPr>
          <w:p w14:paraId="6FDB3464">
            <w:pPr>
              <w:keepNext w:val="0"/>
              <w:keepLines w:val="0"/>
              <w:pageBreakBefore w:val="0"/>
              <w:widowControl w:val="0"/>
              <w:tabs>
                <w:tab w:val="left" w:pos="3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0.28</w:t>
            </w:r>
          </w:p>
        </w:tc>
        <w:tc>
          <w:tcPr>
            <w:tcW w:w="502" w:type="pct"/>
            <w:tcBorders>
              <w:tl2br w:val="nil"/>
              <w:tr2bl w:val="nil"/>
            </w:tcBorders>
            <w:noWrap w:val="0"/>
            <w:vAlign w:val="center"/>
          </w:tcPr>
          <w:p w14:paraId="565A9B4B">
            <w:pPr>
              <w:keepNext w:val="0"/>
              <w:keepLines w:val="0"/>
              <w:pageBreakBefore w:val="0"/>
              <w:widowControl w:val="0"/>
              <w:tabs>
                <w:tab w:val="left" w:pos="243"/>
                <w:tab w:val="center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0.046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 w14:paraId="43FDD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99.996 </w:t>
            </w:r>
          </w:p>
        </w:tc>
      </w:tr>
      <w:tr w14:paraId="0D81DA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777" w:type="pct"/>
            <w:tcBorders>
              <w:tl2br w:val="nil"/>
              <w:tr2bl w:val="nil"/>
            </w:tcBorders>
            <w:noWrap w:val="0"/>
            <w:vAlign w:val="center"/>
          </w:tcPr>
          <w:p w14:paraId="374C8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实验废水2</w:t>
            </w:r>
          </w:p>
        </w:tc>
        <w:tc>
          <w:tcPr>
            <w:tcW w:w="365" w:type="pct"/>
            <w:tcBorders>
              <w:tl2br w:val="nil"/>
              <w:tr2bl w:val="nil"/>
            </w:tcBorders>
            <w:noWrap w:val="0"/>
            <w:vAlign w:val="center"/>
          </w:tcPr>
          <w:p w14:paraId="5A6C8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0.7</w:t>
            </w:r>
          </w:p>
        </w:tc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 w14:paraId="2C7D4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1589</w:t>
            </w:r>
          </w:p>
        </w:tc>
        <w:tc>
          <w:tcPr>
            <w:tcW w:w="434" w:type="pct"/>
            <w:tcBorders>
              <w:tl2br w:val="nil"/>
              <w:tr2bl w:val="nil"/>
            </w:tcBorders>
            <w:noWrap w:val="0"/>
            <w:vAlign w:val="center"/>
          </w:tcPr>
          <w:p w14:paraId="5BE60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6986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center"/>
          </w:tcPr>
          <w:p w14:paraId="005F8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698</w:t>
            </w:r>
          </w:p>
        </w:tc>
        <w:tc>
          <w:tcPr>
            <w:tcW w:w="371" w:type="pct"/>
            <w:tcBorders>
              <w:tl2br w:val="nil"/>
              <w:tr2bl w:val="nil"/>
            </w:tcBorders>
            <w:noWrap w:val="0"/>
            <w:vAlign w:val="center"/>
          </w:tcPr>
          <w:p w14:paraId="37C99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8.2</w:t>
            </w:r>
          </w:p>
        </w:tc>
        <w:tc>
          <w:tcPr>
            <w:tcW w:w="494" w:type="pct"/>
            <w:tcBorders>
              <w:tl2br w:val="nil"/>
              <w:tr2bl w:val="nil"/>
            </w:tcBorders>
            <w:noWrap w:val="0"/>
            <w:vAlign w:val="center"/>
          </w:tcPr>
          <w:p w14:paraId="41673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0.071</w:t>
            </w:r>
          </w:p>
        </w:tc>
        <w:tc>
          <w:tcPr>
            <w:tcW w:w="485" w:type="pct"/>
            <w:tcBorders>
              <w:tl2br w:val="nil"/>
              <w:tr2bl w:val="nil"/>
            </w:tcBorders>
            <w:noWrap w:val="0"/>
            <w:vAlign w:val="center"/>
          </w:tcPr>
          <w:p w14:paraId="5B968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0.30</w:t>
            </w:r>
          </w:p>
        </w:tc>
        <w:tc>
          <w:tcPr>
            <w:tcW w:w="502" w:type="pct"/>
            <w:tcBorders>
              <w:tl2br w:val="nil"/>
              <w:tr2bl w:val="nil"/>
            </w:tcBorders>
            <w:noWrap w:val="0"/>
            <w:vAlign w:val="center"/>
          </w:tcPr>
          <w:p w14:paraId="7AAB0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0.059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 w14:paraId="2DFC5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99.996 </w:t>
            </w:r>
          </w:p>
        </w:tc>
      </w:tr>
      <w:tr w14:paraId="005E83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777" w:type="pct"/>
            <w:tcBorders>
              <w:tl2br w:val="nil"/>
              <w:tr2bl w:val="nil"/>
            </w:tcBorders>
            <w:noWrap w:val="0"/>
            <w:vAlign w:val="center"/>
          </w:tcPr>
          <w:p w14:paraId="2F365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实验废水3</w:t>
            </w:r>
          </w:p>
        </w:tc>
        <w:tc>
          <w:tcPr>
            <w:tcW w:w="365" w:type="pct"/>
            <w:tcBorders>
              <w:tl2br w:val="nil"/>
              <w:tr2bl w:val="nil"/>
            </w:tcBorders>
            <w:noWrap w:val="0"/>
            <w:vAlign w:val="center"/>
          </w:tcPr>
          <w:p w14:paraId="019B4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1.3</w:t>
            </w:r>
          </w:p>
        </w:tc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 w14:paraId="5C46E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1160</w:t>
            </w:r>
          </w:p>
        </w:tc>
        <w:tc>
          <w:tcPr>
            <w:tcW w:w="434" w:type="pct"/>
            <w:tcBorders>
              <w:tl2br w:val="nil"/>
              <w:tr2bl w:val="nil"/>
            </w:tcBorders>
            <w:noWrap w:val="0"/>
            <w:vAlign w:val="center"/>
          </w:tcPr>
          <w:p w14:paraId="54D9D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5964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center"/>
          </w:tcPr>
          <w:p w14:paraId="7E3D2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596</w:t>
            </w:r>
          </w:p>
        </w:tc>
        <w:tc>
          <w:tcPr>
            <w:tcW w:w="371" w:type="pct"/>
            <w:tcBorders>
              <w:tl2br w:val="nil"/>
              <w:tr2bl w:val="nil"/>
            </w:tcBorders>
            <w:noWrap w:val="0"/>
            <w:vAlign w:val="center"/>
          </w:tcPr>
          <w:p w14:paraId="3956B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8.4</w:t>
            </w:r>
          </w:p>
        </w:tc>
        <w:tc>
          <w:tcPr>
            <w:tcW w:w="494" w:type="pct"/>
            <w:tcBorders>
              <w:tl2br w:val="nil"/>
              <w:tr2bl w:val="nil"/>
            </w:tcBorders>
            <w:noWrap w:val="0"/>
            <w:vAlign w:val="center"/>
          </w:tcPr>
          <w:p w14:paraId="79977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0.036</w:t>
            </w:r>
          </w:p>
        </w:tc>
        <w:tc>
          <w:tcPr>
            <w:tcW w:w="485" w:type="pct"/>
            <w:tcBorders>
              <w:tl2br w:val="nil"/>
              <w:tr2bl w:val="nil"/>
            </w:tcBorders>
            <w:noWrap w:val="0"/>
            <w:vAlign w:val="center"/>
          </w:tcPr>
          <w:p w14:paraId="504DD3A8">
            <w:pPr>
              <w:keepNext w:val="0"/>
              <w:keepLines w:val="0"/>
              <w:pageBreakBefore w:val="0"/>
              <w:widowControl w:val="0"/>
              <w:tabs>
                <w:tab w:val="left" w:pos="59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0.56</w:t>
            </w:r>
          </w:p>
        </w:tc>
        <w:tc>
          <w:tcPr>
            <w:tcW w:w="502" w:type="pct"/>
            <w:tcBorders>
              <w:tl2br w:val="nil"/>
              <w:tr2bl w:val="nil"/>
            </w:tcBorders>
            <w:noWrap w:val="0"/>
            <w:vAlign w:val="center"/>
          </w:tcPr>
          <w:p w14:paraId="39214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0.065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 w14:paraId="713E8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99.997 </w:t>
            </w:r>
          </w:p>
        </w:tc>
      </w:tr>
      <w:tr w14:paraId="773AE1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777" w:type="pct"/>
            <w:tcBorders>
              <w:tl2br w:val="nil"/>
              <w:tr2bl w:val="nil"/>
            </w:tcBorders>
            <w:noWrap w:val="0"/>
            <w:vAlign w:val="center"/>
          </w:tcPr>
          <w:p w14:paraId="59433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实验废水4</w:t>
            </w:r>
          </w:p>
        </w:tc>
        <w:tc>
          <w:tcPr>
            <w:tcW w:w="365" w:type="pct"/>
            <w:tcBorders>
              <w:tl2br w:val="nil"/>
              <w:tr2bl w:val="nil"/>
            </w:tcBorders>
            <w:noWrap w:val="0"/>
            <w:vAlign w:val="center"/>
          </w:tcPr>
          <w:p w14:paraId="63AE9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1.5</w:t>
            </w:r>
          </w:p>
        </w:tc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 w14:paraId="0169CE3F">
            <w:pPr>
              <w:keepNext w:val="0"/>
              <w:keepLines w:val="0"/>
              <w:pageBreakBefore w:val="0"/>
              <w:widowControl w:val="0"/>
              <w:tabs>
                <w:tab w:val="left" w:pos="5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1296</w:t>
            </w:r>
          </w:p>
        </w:tc>
        <w:tc>
          <w:tcPr>
            <w:tcW w:w="434" w:type="pct"/>
            <w:tcBorders>
              <w:tl2br w:val="nil"/>
              <w:tr2bl w:val="nil"/>
            </w:tcBorders>
            <w:noWrap w:val="0"/>
            <w:vAlign w:val="center"/>
          </w:tcPr>
          <w:p w14:paraId="360F7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5697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center"/>
          </w:tcPr>
          <w:p w14:paraId="1D3B6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639</w:t>
            </w:r>
          </w:p>
        </w:tc>
        <w:tc>
          <w:tcPr>
            <w:tcW w:w="371" w:type="pct"/>
            <w:tcBorders>
              <w:tl2br w:val="nil"/>
              <w:tr2bl w:val="nil"/>
            </w:tcBorders>
            <w:noWrap w:val="0"/>
            <w:vAlign w:val="center"/>
          </w:tcPr>
          <w:p w14:paraId="31136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8.3</w:t>
            </w:r>
          </w:p>
        </w:tc>
        <w:tc>
          <w:tcPr>
            <w:tcW w:w="494" w:type="pct"/>
            <w:tcBorders>
              <w:tl2br w:val="nil"/>
              <w:tr2bl w:val="nil"/>
            </w:tcBorders>
            <w:noWrap w:val="0"/>
            <w:vAlign w:val="center"/>
          </w:tcPr>
          <w:p w14:paraId="7F343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0.026</w:t>
            </w:r>
          </w:p>
        </w:tc>
        <w:tc>
          <w:tcPr>
            <w:tcW w:w="485" w:type="pct"/>
            <w:tcBorders>
              <w:tl2br w:val="nil"/>
              <w:tr2bl w:val="nil"/>
            </w:tcBorders>
            <w:noWrap w:val="0"/>
            <w:vAlign w:val="center"/>
          </w:tcPr>
          <w:p w14:paraId="7A126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0.41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noWrap w:val="0"/>
            <w:vAlign w:val="center"/>
          </w:tcPr>
          <w:p w14:paraId="57329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0.061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 w14:paraId="5B0C6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99.998 </w:t>
            </w:r>
          </w:p>
        </w:tc>
      </w:tr>
      <w:tr w14:paraId="025E70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77" w:type="pct"/>
            <w:tcBorders>
              <w:tl2br w:val="nil"/>
              <w:tr2bl w:val="nil"/>
            </w:tcBorders>
            <w:noWrap w:val="0"/>
            <w:vAlign w:val="center"/>
          </w:tcPr>
          <w:p w14:paraId="5F058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实验废水5</w:t>
            </w:r>
          </w:p>
        </w:tc>
        <w:tc>
          <w:tcPr>
            <w:tcW w:w="365" w:type="pct"/>
            <w:tcBorders>
              <w:tl2br w:val="nil"/>
              <w:tr2bl w:val="nil"/>
            </w:tcBorders>
            <w:noWrap w:val="0"/>
            <w:vAlign w:val="center"/>
          </w:tcPr>
          <w:p w14:paraId="4DBB5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1.7</w:t>
            </w:r>
          </w:p>
        </w:tc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 w14:paraId="55EA3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896</w:t>
            </w:r>
          </w:p>
        </w:tc>
        <w:tc>
          <w:tcPr>
            <w:tcW w:w="434" w:type="pct"/>
            <w:tcBorders>
              <w:tl2br w:val="nil"/>
              <w:tr2bl w:val="nil"/>
            </w:tcBorders>
            <w:noWrap w:val="0"/>
            <w:vAlign w:val="center"/>
          </w:tcPr>
          <w:p w14:paraId="470DD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2694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center"/>
          </w:tcPr>
          <w:p w14:paraId="1DE4A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564</w:t>
            </w:r>
          </w:p>
        </w:tc>
        <w:tc>
          <w:tcPr>
            <w:tcW w:w="371" w:type="pct"/>
            <w:tcBorders>
              <w:tl2br w:val="nil"/>
              <w:tr2bl w:val="nil"/>
            </w:tcBorders>
            <w:noWrap w:val="0"/>
            <w:vAlign w:val="center"/>
          </w:tcPr>
          <w:p w14:paraId="75317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8.2</w:t>
            </w:r>
          </w:p>
        </w:tc>
        <w:tc>
          <w:tcPr>
            <w:tcW w:w="494" w:type="pct"/>
            <w:tcBorders>
              <w:tl2br w:val="nil"/>
              <w:tr2bl w:val="nil"/>
            </w:tcBorders>
            <w:noWrap w:val="0"/>
            <w:vAlign w:val="center"/>
          </w:tcPr>
          <w:p w14:paraId="6F987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0.021</w:t>
            </w:r>
          </w:p>
        </w:tc>
        <w:tc>
          <w:tcPr>
            <w:tcW w:w="485" w:type="pct"/>
            <w:tcBorders>
              <w:tl2br w:val="nil"/>
              <w:tr2bl w:val="nil"/>
            </w:tcBorders>
            <w:noWrap w:val="0"/>
            <w:vAlign w:val="center"/>
          </w:tcPr>
          <w:p w14:paraId="06148004">
            <w:pPr>
              <w:keepNext w:val="0"/>
              <w:keepLines w:val="0"/>
              <w:pageBreakBefore w:val="0"/>
              <w:widowControl w:val="0"/>
              <w:tabs>
                <w:tab w:val="left" w:pos="4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0.35</w:t>
            </w:r>
          </w:p>
        </w:tc>
        <w:tc>
          <w:tcPr>
            <w:tcW w:w="502" w:type="pct"/>
            <w:tcBorders>
              <w:tl2br w:val="nil"/>
              <w:tr2bl w:val="nil"/>
            </w:tcBorders>
            <w:noWrap w:val="0"/>
            <w:vAlign w:val="center"/>
          </w:tcPr>
          <w:p w14:paraId="0AC70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0.068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 w14:paraId="6353C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99.998 </w:t>
            </w:r>
          </w:p>
        </w:tc>
      </w:tr>
      <w:tr w14:paraId="379146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777" w:type="pct"/>
            <w:tcBorders>
              <w:tl2br w:val="nil"/>
              <w:tr2bl w:val="nil"/>
            </w:tcBorders>
            <w:noWrap w:val="0"/>
            <w:vAlign w:val="center"/>
          </w:tcPr>
          <w:p w14:paraId="4D31C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实验废水6</w:t>
            </w:r>
          </w:p>
        </w:tc>
        <w:tc>
          <w:tcPr>
            <w:tcW w:w="365" w:type="pct"/>
            <w:tcBorders>
              <w:tl2br w:val="nil"/>
              <w:tr2bl w:val="nil"/>
            </w:tcBorders>
            <w:noWrap w:val="0"/>
            <w:vAlign w:val="center"/>
          </w:tcPr>
          <w:p w14:paraId="70DBB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1.9</w:t>
            </w:r>
          </w:p>
        </w:tc>
        <w:tc>
          <w:tcPr>
            <w:tcW w:w="450" w:type="pct"/>
            <w:tcBorders>
              <w:tl2br w:val="nil"/>
              <w:tr2bl w:val="nil"/>
            </w:tcBorders>
            <w:noWrap w:val="0"/>
            <w:vAlign w:val="center"/>
          </w:tcPr>
          <w:p w14:paraId="38FEF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963</w:t>
            </w:r>
          </w:p>
        </w:tc>
        <w:tc>
          <w:tcPr>
            <w:tcW w:w="434" w:type="pct"/>
            <w:tcBorders>
              <w:tl2br w:val="nil"/>
              <w:tr2bl w:val="nil"/>
            </w:tcBorders>
            <w:noWrap w:val="0"/>
            <w:vAlign w:val="center"/>
          </w:tcPr>
          <w:p w14:paraId="42E0B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2563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center"/>
          </w:tcPr>
          <w:p w14:paraId="2D16E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469</w:t>
            </w:r>
          </w:p>
        </w:tc>
        <w:tc>
          <w:tcPr>
            <w:tcW w:w="371" w:type="pct"/>
            <w:tcBorders>
              <w:tl2br w:val="nil"/>
              <w:tr2bl w:val="nil"/>
            </w:tcBorders>
            <w:noWrap w:val="0"/>
            <w:vAlign w:val="center"/>
          </w:tcPr>
          <w:p w14:paraId="07B31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8.5</w:t>
            </w:r>
          </w:p>
        </w:tc>
        <w:tc>
          <w:tcPr>
            <w:tcW w:w="494" w:type="pct"/>
            <w:tcBorders>
              <w:tl2br w:val="nil"/>
              <w:tr2bl w:val="nil"/>
            </w:tcBorders>
            <w:noWrap w:val="0"/>
            <w:vAlign w:val="center"/>
          </w:tcPr>
          <w:p w14:paraId="76F87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0.019</w:t>
            </w:r>
          </w:p>
        </w:tc>
        <w:tc>
          <w:tcPr>
            <w:tcW w:w="485" w:type="pct"/>
            <w:tcBorders>
              <w:tl2br w:val="nil"/>
              <w:tr2bl w:val="nil"/>
            </w:tcBorders>
            <w:noWrap w:val="0"/>
            <w:vAlign w:val="center"/>
          </w:tcPr>
          <w:p w14:paraId="28637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0.29</w:t>
            </w:r>
          </w:p>
        </w:tc>
        <w:tc>
          <w:tcPr>
            <w:tcW w:w="502" w:type="pct"/>
            <w:tcBorders>
              <w:tl2br w:val="nil"/>
              <w:tr2bl w:val="nil"/>
            </w:tcBorders>
            <w:noWrap w:val="0"/>
            <w:vAlign w:val="center"/>
          </w:tcPr>
          <w:p w14:paraId="65149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0.051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 w14:paraId="4B3FE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99.998 </w:t>
            </w:r>
          </w:p>
        </w:tc>
      </w:tr>
    </w:tbl>
    <w:p w14:paraId="63286727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  <w:t>表3 含砷（As）高时废水处理前后对比数据</w:t>
      </w:r>
    </w:p>
    <w:p w14:paraId="1CFF7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根据表1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含砷（As）高时废水处理前后对比数据可看出：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vertAlign w:val="baseline"/>
          <w:lang w:val="en-US" w:eastAsia="zh-CN"/>
        </w:rPr>
        <w:t>含砷废水处理经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硫化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  <w:lang w:val="en-US" w:eastAsia="zh-CN"/>
        </w:rPr>
        <w:t>氢全密闭脱砷法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+石灰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  <w:lang w:val="en-US" w:eastAsia="zh-CN"/>
        </w:rPr>
        <w:t>-铁盐三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段中和法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”的全密闭气体循环工艺方法处理后，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vertAlign w:val="baseline"/>
          <w:lang w:val="en-US" w:eastAsia="zh-CN"/>
        </w:rPr>
        <w:t>废水中的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砷（As）含量下降率达到99.99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，砷（As）含量可降至0.1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mg/L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以下。</w:t>
      </w:r>
    </w:p>
    <w:p w14:paraId="55E81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当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砷（As）</w:t>
      </w: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含量＜800</w:t>
      </w:r>
      <w:r>
        <w:rPr>
          <w:rFonts w:hint="eastAsia" w:ascii="宋体" w:hAnsi="宋体" w:eastAsia="宋体" w:cs="宋体"/>
          <w:i/>
          <w:iCs/>
          <w:color w:val="auto"/>
          <w:sz w:val="21"/>
          <w:szCs w:val="21"/>
          <w:highlight w:val="none"/>
          <w:lang w:val="en-US" w:eastAsia="zh-CN"/>
        </w:rPr>
        <w:t>mg/L</w:t>
      </w: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时，设置为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PID控制系统中砷（As）</w:t>
      </w: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含量低，当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含砷（As）低时，使用“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石灰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  <w:lang w:val="en-US" w:eastAsia="zh-CN"/>
        </w:rPr>
        <w:t>-铁盐三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段中和法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”的循环工艺，随机定点取样，废水处理前后，检测情况如表4所示。</w:t>
      </w:r>
    </w:p>
    <w:p w14:paraId="489CC7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  <w:t>表4 含砷（As）低时废水处理前后对比数据</w:t>
      </w:r>
    </w:p>
    <w:tbl>
      <w:tblPr>
        <w:tblStyle w:val="18"/>
        <w:tblW w:w="4997" w:type="pct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single" w:color="000000" w:themeColor="text1" w:sz="1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574"/>
        <w:gridCol w:w="873"/>
        <w:gridCol w:w="968"/>
        <w:gridCol w:w="859"/>
        <w:gridCol w:w="614"/>
        <w:gridCol w:w="927"/>
        <w:gridCol w:w="913"/>
        <w:gridCol w:w="791"/>
        <w:gridCol w:w="1164"/>
      </w:tblGrid>
      <w:tr w14:paraId="36723B0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79EAA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30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1205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黄金冶炼含砷废水处理前</w:t>
            </w:r>
          </w:p>
        </w:tc>
        <w:tc>
          <w:tcPr>
            <w:tcW w:w="1814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C17A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黄金冶炼含砷废水处理后</w:t>
            </w: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86ED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水样砷的下降率%</w:t>
            </w:r>
          </w:p>
        </w:tc>
      </w:tr>
      <w:tr w14:paraId="679CA5D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4CA2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检测元素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3729B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PH</w:t>
            </w:r>
          </w:p>
        </w:tc>
        <w:tc>
          <w:tcPr>
            <w:tcW w:w="488" w:type="pct"/>
            <w:tcBorders>
              <w:tl2br w:val="nil"/>
              <w:tr2bl w:val="nil"/>
            </w:tcBorders>
            <w:noWrap w:val="0"/>
            <w:vAlign w:val="center"/>
          </w:tcPr>
          <w:p w14:paraId="24C92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水样砷mg/L</w:t>
            </w:r>
          </w:p>
        </w:tc>
        <w:tc>
          <w:tcPr>
            <w:tcW w:w="541" w:type="pct"/>
            <w:tcBorders>
              <w:tl2br w:val="nil"/>
              <w:tr2bl w:val="nil"/>
            </w:tcBorders>
            <w:noWrap w:val="0"/>
            <w:vAlign w:val="center"/>
          </w:tcPr>
          <w:p w14:paraId="22B33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水样铁mg/L</w:t>
            </w:r>
          </w:p>
        </w:tc>
        <w:tc>
          <w:tcPr>
            <w:tcW w:w="480" w:type="pct"/>
            <w:tcBorders>
              <w:tl2br w:val="nil"/>
              <w:tr2bl w:val="nil"/>
            </w:tcBorders>
            <w:noWrap w:val="0"/>
            <w:vAlign w:val="center"/>
          </w:tcPr>
          <w:p w14:paraId="2ACE8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水样铜mg/L</w:t>
            </w:r>
          </w:p>
        </w:tc>
        <w:tc>
          <w:tcPr>
            <w:tcW w:w="343" w:type="pct"/>
            <w:tcBorders>
              <w:tl2br w:val="nil"/>
              <w:tr2bl w:val="nil"/>
            </w:tcBorders>
            <w:noWrap w:val="0"/>
            <w:vAlign w:val="center"/>
          </w:tcPr>
          <w:p w14:paraId="2B253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PH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center"/>
          </w:tcPr>
          <w:p w14:paraId="26AE9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水样砷mg/L</w:t>
            </w:r>
          </w:p>
        </w:tc>
        <w:tc>
          <w:tcPr>
            <w:tcW w:w="510" w:type="pct"/>
            <w:tcBorders>
              <w:tl2br w:val="nil"/>
              <w:tr2bl w:val="nil"/>
            </w:tcBorders>
            <w:noWrap w:val="0"/>
            <w:vAlign w:val="center"/>
          </w:tcPr>
          <w:p w14:paraId="10BA7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水样铁mg/L</w:t>
            </w:r>
          </w:p>
        </w:tc>
        <w:tc>
          <w:tcPr>
            <w:tcW w:w="442" w:type="pct"/>
            <w:tcBorders>
              <w:tl2br w:val="nil"/>
              <w:tr2bl w:val="nil"/>
            </w:tcBorders>
            <w:noWrap w:val="0"/>
            <w:vAlign w:val="center"/>
          </w:tcPr>
          <w:p w14:paraId="03976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水样铜mg/L</w:t>
            </w: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BC3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1C869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44278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实验废水1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top"/>
          </w:tcPr>
          <w:p w14:paraId="397A6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</w:t>
            </w:r>
          </w:p>
        </w:tc>
        <w:tc>
          <w:tcPr>
            <w:tcW w:w="488" w:type="pct"/>
            <w:tcBorders>
              <w:tl2br w:val="nil"/>
              <w:tr2bl w:val="nil"/>
            </w:tcBorders>
            <w:noWrap w:val="0"/>
            <w:vAlign w:val="top"/>
          </w:tcPr>
          <w:p w14:paraId="5F8F8698">
            <w:pPr>
              <w:keepNext w:val="0"/>
              <w:keepLines w:val="0"/>
              <w:pageBreakBefore w:val="0"/>
              <w:tabs>
                <w:tab w:val="left" w:pos="3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795</w:t>
            </w:r>
          </w:p>
        </w:tc>
        <w:tc>
          <w:tcPr>
            <w:tcW w:w="541" w:type="pct"/>
            <w:tcBorders>
              <w:tl2br w:val="nil"/>
              <w:tr2bl w:val="nil"/>
            </w:tcBorders>
            <w:noWrap w:val="0"/>
            <w:vAlign w:val="top"/>
          </w:tcPr>
          <w:p w14:paraId="45885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2864</w:t>
            </w:r>
          </w:p>
        </w:tc>
        <w:tc>
          <w:tcPr>
            <w:tcW w:w="480" w:type="pct"/>
            <w:tcBorders>
              <w:tl2br w:val="nil"/>
              <w:tr2bl w:val="nil"/>
            </w:tcBorders>
            <w:noWrap w:val="0"/>
            <w:vAlign w:val="top"/>
          </w:tcPr>
          <w:p w14:paraId="11FD1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596</w:t>
            </w:r>
          </w:p>
        </w:tc>
        <w:tc>
          <w:tcPr>
            <w:tcW w:w="343" w:type="pct"/>
            <w:tcBorders>
              <w:tl2br w:val="nil"/>
              <w:tr2bl w:val="nil"/>
            </w:tcBorders>
            <w:noWrap w:val="0"/>
            <w:vAlign w:val="top"/>
          </w:tcPr>
          <w:p w14:paraId="27448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8.1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top"/>
          </w:tcPr>
          <w:p w14:paraId="5AE8B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0.056</w:t>
            </w:r>
          </w:p>
        </w:tc>
        <w:tc>
          <w:tcPr>
            <w:tcW w:w="510" w:type="pct"/>
            <w:tcBorders>
              <w:tl2br w:val="nil"/>
              <w:tr2bl w:val="nil"/>
            </w:tcBorders>
            <w:noWrap w:val="0"/>
            <w:vAlign w:val="top"/>
          </w:tcPr>
          <w:p w14:paraId="49ED98E2">
            <w:pPr>
              <w:keepNext w:val="0"/>
              <w:keepLines w:val="0"/>
              <w:pageBreakBefore w:val="0"/>
              <w:tabs>
                <w:tab w:val="left" w:pos="3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0.56</w:t>
            </w:r>
          </w:p>
        </w:tc>
        <w:tc>
          <w:tcPr>
            <w:tcW w:w="442" w:type="pct"/>
            <w:tcBorders>
              <w:tl2br w:val="nil"/>
              <w:tr2bl w:val="nil"/>
            </w:tcBorders>
            <w:noWrap w:val="0"/>
            <w:vAlign w:val="top"/>
          </w:tcPr>
          <w:p w14:paraId="4187790F">
            <w:pPr>
              <w:keepNext w:val="0"/>
              <w:keepLines w:val="0"/>
              <w:pageBreakBefore w:val="0"/>
              <w:tabs>
                <w:tab w:val="left" w:pos="243"/>
                <w:tab w:val="center" w:pos="4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0.065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5F671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99.993 </w:t>
            </w:r>
          </w:p>
        </w:tc>
      </w:tr>
      <w:tr w14:paraId="291B230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14665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实验废水2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top"/>
          </w:tcPr>
          <w:p w14:paraId="52615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488" w:type="pct"/>
            <w:tcBorders>
              <w:tl2br w:val="nil"/>
              <w:tr2bl w:val="nil"/>
            </w:tcBorders>
            <w:noWrap w:val="0"/>
            <w:vAlign w:val="top"/>
          </w:tcPr>
          <w:p w14:paraId="04B22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759</w:t>
            </w:r>
          </w:p>
        </w:tc>
        <w:tc>
          <w:tcPr>
            <w:tcW w:w="541" w:type="pct"/>
            <w:tcBorders>
              <w:tl2br w:val="nil"/>
              <w:tr2bl w:val="nil"/>
            </w:tcBorders>
            <w:noWrap w:val="0"/>
            <w:vAlign w:val="top"/>
          </w:tcPr>
          <w:p w14:paraId="31B0A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2593</w:t>
            </w:r>
          </w:p>
        </w:tc>
        <w:tc>
          <w:tcPr>
            <w:tcW w:w="480" w:type="pct"/>
            <w:tcBorders>
              <w:tl2br w:val="nil"/>
              <w:tr2bl w:val="nil"/>
            </w:tcBorders>
            <w:noWrap w:val="0"/>
            <w:vAlign w:val="top"/>
          </w:tcPr>
          <w:p w14:paraId="304C4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698</w:t>
            </w:r>
          </w:p>
        </w:tc>
        <w:tc>
          <w:tcPr>
            <w:tcW w:w="343" w:type="pct"/>
            <w:tcBorders>
              <w:tl2br w:val="nil"/>
              <w:tr2bl w:val="nil"/>
            </w:tcBorders>
            <w:noWrap w:val="0"/>
            <w:vAlign w:val="top"/>
          </w:tcPr>
          <w:p w14:paraId="51C1B0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top"/>
          </w:tcPr>
          <w:p w14:paraId="3BFC2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0.059</w:t>
            </w:r>
          </w:p>
        </w:tc>
        <w:tc>
          <w:tcPr>
            <w:tcW w:w="510" w:type="pct"/>
            <w:tcBorders>
              <w:tl2br w:val="nil"/>
              <w:tr2bl w:val="nil"/>
            </w:tcBorders>
            <w:noWrap w:val="0"/>
            <w:vAlign w:val="top"/>
          </w:tcPr>
          <w:p w14:paraId="3D358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0.65</w:t>
            </w:r>
          </w:p>
        </w:tc>
        <w:tc>
          <w:tcPr>
            <w:tcW w:w="442" w:type="pct"/>
            <w:tcBorders>
              <w:tl2br w:val="nil"/>
              <w:tr2bl w:val="nil"/>
            </w:tcBorders>
            <w:noWrap w:val="0"/>
            <w:vAlign w:val="top"/>
          </w:tcPr>
          <w:p w14:paraId="0B99B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0.036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1371C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99.992 </w:t>
            </w:r>
          </w:p>
        </w:tc>
      </w:tr>
      <w:tr w14:paraId="5A53A44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568D7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实验废水3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top"/>
          </w:tcPr>
          <w:p w14:paraId="6DDAF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488" w:type="pct"/>
            <w:tcBorders>
              <w:tl2br w:val="nil"/>
              <w:tr2bl w:val="nil"/>
            </w:tcBorders>
            <w:noWrap w:val="0"/>
            <w:vAlign w:val="top"/>
          </w:tcPr>
          <w:p w14:paraId="13EB1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569</w:t>
            </w:r>
          </w:p>
        </w:tc>
        <w:tc>
          <w:tcPr>
            <w:tcW w:w="541" w:type="pct"/>
            <w:tcBorders>
              <w:tl2br w:val="nil"/>
              <w:tr2bl w:val="nil"/>
            </w:tcBorders>
            <w:noWrap w:val="0"/>
            <w:vAlign w:val="top"/>
          </w:tcPr>
          <w:p w14:paraId="552BB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1986</w:t>
            </w:r>
          </w:p>
        </w:tc>
        <w:tc>
          <w:tcPr>
            <w:tcW w:w="480" w:type="pct"/>
            <w:tcBorders>
              <w:tl2br w:val="nil"/>
              <w:tr2bl w:val="nil"/>
            </w:tcBorders>
            <w:noWrap w:val="0"/>
            <w:vAlign w:val="top"/>
          </w:tcPr>
          <w:p w14:paraId="563D7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496</w:t>
            </w:r>
          </w:p>
        </w:tc>
        <w:tc>
          <w:tcPr>
            <w:tcW w:w="343" w:type="pct"/>
            <w:tcBorders>
              <w:tl2br w:val="nil"/>
              <w:tr2bl w:val="nil"/>
            </w:tcBorders>
            <w:noWrap w:val="0"/>
            <w:vAlign w:val="top"/>
          </w:tcPr>
          <w:p w14:paraId="1949F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8.5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top"/>
          </w:tcPr>
          <w:p w14:paraId="38B72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0.036</w:t>
            </w:r>
          </w:p>
        </w:tc>
        <w:tc>
          <w:tcPr>
            <w:tcW w:w="510" w:type="pct"/>
            <w:tcBorders>
              <w:tl2br w:val="nil"/>
              <w:tr2bl w:val="nil"/>
            </w:tcBorders>
            <w:noWrap w:val="0"/>
            <w:vAlign w:val="top"/>
          </w:tcPr>
          <w:p w14:paraId="39C7601E">
            <w:pPr>
              <w:keepNext w:val="0"/>
              <w:keepLines w:val="0"/>
              <w:pageBreakBefore w:val="0"/>
              <w:tabs>
                <w:tab w:val="left" w:pos="59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0.59</w:t>
            </w:r>
          </w:p>
        </w:tc>
        <w:tc>
          <w:tcPr>
            <w:tcW w:w="442" w:type="pct"/>
            <w:tcBorders>
              <w:tl2br w:val="nil"/>
              <w:tr2bl w:val="nil"/>
            </w:tcBorders>
            <w:noWrap w:val="0"/>
            <w:vAlign w:val="top"/>
          </w:tcPr>
          <w:p w14:paraId="3B186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0.039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4ACF5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99.994 </w:t>
            </w:r>
          </w:p>
        </w:tc>
      </w:tr>
      <w:tr w14:paraId="4162F81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03D96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实验废水4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top"/>
          </w:tcPr>
          <w:p w14:paraId="03961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488" w:type="pct"/>
            <w:tcBorders>
              <w:tl2br w:val="nil"/>
              <w:tr2bl w:val="nil"/>
            </w:tcBorders>
            <w:noWrap w:val="0"/>
            <w:vAlign w:val="top"/>
          </w:tcPr>
          <w:p w14:paraId="5048F06A">
            <w:pPr>
              <w:keepNext w:val="0"/>
              <w:keepLines w:val="0"/>
              <w:pageBreakBefore w:val="0"/>
              <w:tabs>
                <w:tab w:val="left" w:pos="5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593</w:t>
            </w:r>
          </w:p>
        </w:tc>
        <w:tc>
          <w:tcPr>
            <w:tcW w:w="541" w:type="pct"/>
            <w:tcBorders>
              <w:tl2br w:val="nil"/>
              <w:tr2bl w:val="nil"/>
            </w:tcBorders>
            <w:noWrap w:val="0"/>
            <w:vAlign w:val="top"/>
          </w:tcPr>
          <w:p w14:paraId="7F6DD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2067</w:t>
            </w:r>
          </w:p>
        </w:tc>
        <w:tc>
          <w:tcPr>
            <w:tcW w:w="480" w:type="pct"/>
            <w:tcBorders>
              <w:tl2br w:val="nil"/>
              <w:tr2bl w:val="nil"/>
            </w:tcBorders>
            <w:noWrap w:val="0"/>
            <w:vAlign w:val="top"/>
          </w:tcPr>
          <w:p w14:paraId="5EA2A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579</w:t>
            </w:r>
          </w:p>
        </w:tc>
        <w:tc>
          <w:tcPr>
            <w:tcW w:w="343" w:type="pct"/>
            <w:tcBorders>
              <w:tl2br w:val="nil"/>
              <w:tr2bl w:val="nil"/>
            </w:tcBorders>
            <w:noWrap w:val="0"/>
            <w:vAlign w:val="top"/>
          </w:tcPr>
          <w:p w14:paraId="6A596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8.6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top"/>
          </w:tcPr>
          <w:p w14:paraId="7AE87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0.056</w:t>
            </w:r>
          </w:p>
        </w:tc>
        <w:tc>
          <w:tcPr>
            <w:tcW w:w="510" w:type="pct"/>
            <w:tcBorders>
              <w:tl2br w:val="nil"/>
              <w:tr2bl w:val="nil"/>
            </w:tcBorders>
            <w:noWrap w:val="0"/>
            <w:vAlign w:val="top"/>
          </w:tcPr>
          <w:p w14:paraId="521D8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0.46</w:t>
            </w:r>
          </w:p>
        </w:tc>
        <w:tc>
          <w:tcPr>
            <w:tcW w:w="442" w:type="pct"/>
            <w:tcBorders>
              <w:tl2br w:val="nil"/>
              <w:tr2bl w:val="nil"/>
            </w:tcBorders>
            <w:noWrap w:val="0"/>
            <w:vAlign w:val="top"/>
          </w:tcPr>
          <w:p w14:paraId="1402A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0.096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64259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99.991 </w:t>
            </w:r>
          </w:p>
        </w:tc>
      </w:tr>
      <w:tr w14:paraId="2259891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3615F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实验废水5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top"/>
          </w:tcPr>
          <w:p w14:paraId="5A22F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2.6</w:t>
            </w:r>
          </w:p>
        </w:tc>
        <w:tc>
          <w:tcPr>
            <w:tcW w:w="488" w:type="pct"/>
            <w:tcBorders>
              <w:tl2br w:val="nil"/>
              <w:tr2bl w:val="nil"/>
            </w:tcBorders>
            <w:noWrap w:val="0"/>
            <w:vAlign w:val="top"/>
          </w:tcPr>
          <w:p w14:paraId="3311E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541" w:type="pct"/>
            <w:tcBorders>
              <w:tl2br w:val="nil"/>
              <w:tr2bl w:val="nil"/>
            </w:tcBorders>
            <w:noWrap w:val="0"/>
            <w:vAlign w:val="top"/>
          </w:tcPr>
          <w:p w14:paraId="70792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1596</w:t>
            </w:r>
          </w:p>
        </w:tc>
        <w:tc>
          <w:tcPr>
            <w:tcW w:w="480" w:type="pct"/>
            <w:tcBorders>
              <w:tl2br w:val="nil"/>
              <w:tr2bl w:val="nil"/>
            </w:tcBorders>
            <w:noWrap w:val="0"/>
            <w:vAlign w:val="top"/>
          </w:tcPr>
          <w:p w14:paraId="52DAF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562</w:t>
            </w:r>
          </w:p>
        </w:tc>
        <w:tc>
          <w:tcPr>
            <w:tcW w:w="343" w:type="pct"/>
            <w:tcBorders>
              <w:tl2br w:val="nil"/>
              <w:tr2bl w:val="nil"/>
            </w:tcBorders>
            <w:noWrap w:val="0"/>
            <w:vAlign w:val="top"/>
          </w:tcPr>
          <w:p w14:paraId="3C30C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8.4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top"/>
          </w:tcPr>
          <w:p w14:paraId="43BA2C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0.029</w:t>
            </w:r>
          </w:p>
        </w:tc>
        <w:tc>
          <w:tcPr>
            <w:tcW w:w="510" w:type="pct"/>
            <w:tcBorders>
              <w:tl2br w:val="nil"/>
              <w:tr2bl w:val="nil"/>
            </w:tcBorders>
            <w:noWrap w:val="0"/>
            <w:vAlign w:val="top"/>
          </w:tcPr>
          <w:p w14:paraId="7063AE6A">
            <w:pPr>
              <w:keepNext w:val="0"/>
              <w:keepLines w:val="0"/>
              <w:pageBreakBefore w:val="0"/>
              <w:tabs>
                <w:tab w:val="left" w:pos="4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0.53</w:t>
            </w:r>
          </w:p>
        </w:tc>
        <w:tc>
          <w:tcPr>
            <w:tcW w:w="442" w:type="pct"/>
            <w:tcBorders>
              <w:tl2br w:val="nil"/>
              <w:tr2bl w:val="nil"/>
            </w:tcBorders>
            <w:noWrap w:val="0"/>
            <w:vAlign w:val="top"/>
          </w:tcPr>
          <w:p w14:paraId="1CB29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0.082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4D73C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99.994 </w:t>
            </w:r>
          </w:p>
        </w:tc>
      </w:tr>
      <w:tr w14:paraId="536E5ED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single" w:color="000000" w:themeColor="text1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25C10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实验废水6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top"/>
          </w:tcPr>
          <w:p w14:paraId="1B04D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2.7</w:t>
            </w:r>
          </w:p>
        </w:tc>
        <w:tc>
          <w:tcPr>
            <w:tcW w:w="488" w:type="pct"/>
            <w:tcBorders>
              <w:tl2br w:val="nil"/>
              <w:tr2bl w:val="nil"/>
            </w:tcBorders>
            <w:noWrap w:val="0"/>
            <w:vAlign w:val="top"/>
          </w:tcPr>
          <w:p w14:paraId="0FADF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496</w:t>
            </w:r>
          </w:p>
        </w:tc>
        <w:tc>
          <w:tcPr>
            <w:tcW w:w="541" w:type="pct"/>
            <w:tcBorders>
              <w:tl2br w:val="nil"/>
              <w:tr2bl w:val="nil"/>
            </w:tcBorders>
            <w:noWrap w:val="0"/>
            <w:vAlign w:val="top"/>
          </w:tcPr>
          <w:p w14:paraId="060C9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1965</w:t>
            </w:r>
          </w:p>
        </w:tc>
        <w:tc>
          <w:tcPr>
            <w:tcW w:w="480" w:type="pct"/>
            <w:tcBorders>
              <w:tl2br w:val="nil"/>
              <w:tr2bl w:val="nil"/>
            </w:tcBorders>
            <w:noWrap w:val="0"/>
            <w:vAlign w:val="top"/>
          </w:tcPr>
          <w:p w14:paraId="57DA6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509</w:t>
            </w:r>
          </w:p>
        </w:tc>
        <w:tc>
          <w:tcPr>
            <w:tcW w:w="343" w:type="pct"/>
            <w:tcBorders>
              <w:tl2br w:val="nil"/>
              <w:tr2bl w:val="nil"/>
            </w:tcBorders>
            <w:noWrap w:val="0"/>
            <w:vAlign w:val="top"/>
          </w:tcPr>
          <w:p w14:paraId="25F80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8.5</w:t>
            </w:r>
          </w:p>
        </w:tc>
        <w:tc>
          <w:tcPr>
            <w:tcW w:w="518" w:type="pct"/>
            <w:tcBorders>
              <w:tl2br w:val="nil"/>
              <w:tr2bl w:val="nil"/>
            </w:tcBorders>
            <w:noWrap w:val="0"/>
            <w:vAlign w:val="top"/>
          </w:tcPr>
          <w:p w14:paraId="69AD5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0.065</w:t>
            </w:r>
          </w:p>
        </w:tc>
        <w:tc>
          <w:tcPr>
            <w:tcW w:w="510" w:type="pct"/>
            <w:tcBorders>
              <w:tl2br w:val="nil"/>
              <w:tr2bl w:val="nil"/>
            </w:tcBorders>
            <w:noWrap w:val="0"/>
            <w:vAlign w:val="top"/>
          </w:tcPr>
          <w:p w14:paraId="12E82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442" w:type="pct"/>
            <w:tcBorders>
              <w:tl2br w:val="nil"/>
              <w:tr2bl w:val="nil"/>
            </w:tcBorders>
            <w:noWrap w:val="0"/>
            <w:vAlign w:val="top"/>
          </w:tcPr>
          <w:p w14:paraId="071AD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0.056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6AD40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99.987 </w:t>
            </w:r>
          </w:p>
        </w:tc>
      </w:tr>
    </w:tbl>
    <w:p w14:paraId="3031C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highlight w:val="none"/>
          <w:lang w:val="en-US" w:eastAsia="zh-CN"/>
        </w:rPr>
        <w:t>根据表2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含砷（As）低时废水处理前后对比数据可看出：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vertAlign w:val="baseline"/>
          <w:lang w:val="en-US" w:eastAsia="zh-CN"/>
        </w:rPr>
        <w:t>含砷废水处理经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石灰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  <w:lang w:val="en-US" w:eastAsia="zh-CN"/>
        </w:rPr>
        <w:t>-铁盐三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  <w:shd w:val="clear" w:color="auto" w:fill="FFFFFF"/>
        </w:rPr>
        <w:t>段中和法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”的循环工艺方法处理后，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vertAlign w:val="baseline"/>
          <w:lang w:val="en-US" w:eastAsia="zh-CN"/>
        </w:rPr>
        <w:t>废水中的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砷（As）含量下降率达到99.99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，砷（As）含量可降至0.1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mg/L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以下。</w:t>
      </w:r>
    </w:p>
    <w:p w14:paraId="7235C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7 结论</w:t>
      </w:r>
    </w:p>
    <w:p w14:paraId="4B381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针对黄金冶炼含砷酸性废水砷浓度跨度大、传统工艺处理效能低的技术痛点，研发的差异化处理及综合利用工艺，实现了砷与重金属高效去除、资源全循环及环境零污染，核心结论如下：</w:t>
      </w:r>
    </w:p>
    <w:p w14:paraId="01FA0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1）以800 mg/L为砷浓度分界的差异化工艺，高砷废水采用“硫化氢全密闭脱砷+石灰-铁盐三段中和”，砷去除率≥99.996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，出水砷≤0.05 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mg/L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；低砷废水采用优化型石灰-铁盐三段中和，砷去除率≥99.987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，出水砷≤0.1 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mg/L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，Fe、Cu等重金属同步去除率≥99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，出水满足工业循环用水标准，处理效能稳定可靠。</w:t>
      </w:r>
    </w:p>
    <w:p w14:paraId="55EDE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2）创新采用“硫磺+甲醇+废热锅炉蒸汽”制备硫化氢，配套全密闭气体循环系统，解决传统硫化剂成本高、设备堵塞、废水无法循环的难题；PID智能调控系统实现工艺自动切换与参数精准控制，提升工艺自动化水平与运行稳定性。</w:t>
      </w:r>
    </w:p>
    <w:p w14:paraId="5DDDA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3）实现气、酸、有价金属、废水、固废全维度资源回收，SO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vertAlign w:val="subscript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及硫化氢回用于净化工序，稀硫酸回用至酸浸工序，硫化渣回收有价金属，中和渣用于水泥生产，废水回用率100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，较传统工艺废渣减量≥60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、药剂成本降低≥30</w:t>
      </w:r>
      <w:r>
        <w:rPr>
          <w:rFonts w:hint="eastAsia" w:ascii="宋体" w:hAnsi="宋体" w:eastAsia="宋体" w:cs="宋体"/>
          <w:i/>
          <w:iCs/>
          <w:color w:val="auto"/>
          <w:kern w:val="0"/>
          <w:sz w:val="21"/>
          <w:szCs w:val="21"/>
          <w:highlight w:val="none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，兼具经济性与资源利用效率。</w:t>
      </w:r>
    </w:p>
    <w:p w14:paraId="2F2DB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4）配套研发的一体化、全密闭、智能化处理设备，具备耐酸耐腐、布局紧凑、操作便捷、维护成本低的优势，适配黄金冶炼企业工程化应用，为工艺工业推广提供设备支撑。</w:t>
      </w:r>
    </w:p>
    <w:p w14:paraId="675C3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黄金冶炼含砷酸性废水处理是行业绿色发展的关键，未来需坚守“无害化、资源化、低耗化”方向，研发高效稳定经济的处理技术，推动行业清洁生产与高质量发展，实现经济、环境、社会效益统一。</w:t>
      </w:r>
      <w:bookmarkStart w:id="9" w:name="_GoBack"/>
      <w:bookmarkEnd w:id="9"/>
    </w:p>
    <w:p w14:paraId="5ECD6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 w14:paraId="3FAB7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参考文献：</w:t>
      </w:r>
    </w:p>
    <w:p w14:paraId="49FB8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[1] 张磊，王浩，李娟。黄金冶炼含砷酸性废水差异化处理工艺研究 [J]. 中国有色金属学报，2024, 34 (2): 589-598.</w:t>
      </w:r>
    </w:p>
    <w:p w14:paraId="477CB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[2] 刘敏，陈阳，赵伟。硫化氢硫化沉淀法处理高砷酸性废水的反应机制与优化 [J]. 环境科学学报，2023, 43 (7): 2689-2697. </w:t>
      </w:r>
    </w:p>
    <w:p w14:paraId="0565A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[3] 王丽，张强，陈明。石灰-铁盐三段中和工艺处理低砷废水的参数优化及减量化研究 [J]. 环境工程学报，2022, 16 (5): 1487-1495. </w:t>
      </w:r>
    </w:p>
    <w:p w14:paraId="27E3D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[4] 李建，赵静，孙晓伟。黄金冶炼含砷废水资源化利用技术进展 [J]. 黄金，2023, 44 (3): 89-96. </w:t>
      </w:r>
    </w:p>
    <w:p w14:paraId="229CB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[5] 陈峰，刘芳，周俊。全密闭循环系统在含砷废水硫化处理中的应用 [J]. 工业水处理，2024, 44 (1): 123-128.</w:t>
      </w:r>
    </w:p>
    <w:p w14:paraId="128DD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] 孙浩，张敏，李刚。黄金冶炼硫化渣中有价金属回收工艺优化 [J]. 有色金属 (冶炼部分), 2023, (10): 78-84.</w:t>
      </w:r>
    </w:p>
    <w:p w14:paraId="76D4D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] 周丽，吴涛，陈明。含砷酸性废水处理技术的经济与环境效益分析 [J]. 环境科学与技术，2024, 47 (4): 201-207. </w:t>
      </w:r>
    </w:p>
    <w:p w14:paraId="45DDD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] 王艳，李军，张凯。难处理黄金冶炼废水深度处理及回用技术研究 [J]. 矿冶工程，2022, 42 (6): 102-106.</w:t>
      </w:r>
    </w:p>
    <w:p w14:paraId="741E9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] 豆娜，彭剑平，王路平，等。某黄金冶炼厂烟气净化酸性废水除砷试验研究 [J]. 黄金，2022, 43 (11): 88-93.</w:t>
      </w:r>
    </w:p>
    <w:p w14:paraId="1D0A6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[1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] Li Q, Zhang S, Liu Y, et al. Recovery of Elemental Arsenic from Acidic As-Containing Wastewater by a Hypophosphite Reduction Process [J]. Water, 2026, 18 (3): 1301. </w:t>
      </w:r>
    </w:p>
    <w:p w14:paraId="22146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] Sun Y, Li J, Wang X. Visual Arsenic Detection in Environmental Waters: Innovating with a Naked-Eye Biosensor for Universal Application [J]. Journal of Hazardous Materials, 2024, 481: 135456.</w:t>
      </w:r>
    </w:p>
    <w:p w14:paraId="41F66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] Liu J, Zhang H, Chen D. Removal of Chloride from Sulfuric Acid Wastewater by Copper (I) Chloride Precipitation [J]. Journal of Environmental Engineering, 2026, 152 (5): 04026038.</w:t>
      </w:r>
    </w:p>
    <w:p w14:paraId="1EE94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] Bouyer J, Demopoulos G P. Scorodite Formation for Arsenic Immobilization: A Review of Recent Progress [J]. Hydrometallurgy, 2021, 202: 105602. </w:t>
      </w:r>
    </w:p>
    <w:p w14:paraId="3E50F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[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14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] Wang L, Chen M, Zhou T. Techno-Economic Analysis of Arsenic Removal and Resource Recovery from Gold Smelting Wastewater [J]. Journal of Cleaner Production, 2024, 420: 138901. </w:t>
      </w: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6102E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6848D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2D64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3F51722"/>
    <w:rsid w:val="048748A1"/>
    <w:rsid w:val="04CC1D57"/>
    <w:rsid w:val="04DC643E"/>
    <w:rsid w:val="052027CE"/>
    <w:rsid w:val="056106F1"/>
    <w:rsid w:val="05AE130F"/>
    <w:rsid w:val="05C2565F"/>
    <w:rsid w:val="05FB3670"/>
    <w:rsid w:val="06112117"/>
    <w:rsid w:val="062077BC"/>
    <w:rsid w:val="064A73D7"/>
    <w:rsid w:val="065F10D4"/>
    <w:rsid w:val="072A7934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8F1CD1"/>
    <w:rsid w:val="09931095"/>
    <w:rsid w:val="09E66AD6"/>
    <w:rsid w:val="09F00295"/>
    <w:rsid w:val="0A4B20AA"/>
    <w:rsid w:val="0A5A1AD4"/>
    <w:rsid w:val="0AEE6ECB"/>
    <w:rsid w:val="0AFF2E86"/>
    <w:rsid w:val="0B664CB3"/>
    <w:rsid w:val="0BFB5C73"/>
    <w:rsid w:val="0C0B13B7"/>
    <w:rsid w:val="0C0E77A3"/>
    <w:rsid w:val="0C2B45A8"/>
    <w:rsid w:val="0C580AA0"/>
    <w:rsid w:val="0C8E44C1"/>
    <w:rsid w:val="0CDE6ACB"/>
    <w:rsid w:val="0CE82491"/>
    <w:rsid w:val="0CF56428"/>
    <w:rsid w:val="0D525F6F"/>
    <w:rsid w:val="0D6D1A82"/>
    <w:rsid w:val="0D731909"/>
    <w:rsid w:val="0DA11FD2"/>
    <w:rsid w:val="0E470192"/>
    <w:rsid w:val="0E5352AC"/>
    <w:rsid w:val="0E792F4F"/>
    <w:rsid w:val="0EC8358F"/>
    <w:rsid w:val="0F543075"/>
    <w:rsid w:val="0FE443F8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F6A5A"/>
    <w:rsid w:val="10B85FB1"/>
    <w:rsid w:val="10BB15FD"/>
    <w:rsid w:val="10D34B99"/>
    <w:rsid w:val="10D966E4"/>
    <w:rsid w:val="111156C1"/>
    <w:rsid w:val="111B6540"/>
    <w:rsid w:val="11407D54"/>
    <w:rsid w:val="1144248F"/>
    <w:rsid w:val="120E7E53"/>
    <w:rsid w:val="122F3E7F"/>
    <w:rsid w:val="123F1DBA"/>
    <w:rsid w:val="12CF1390"/>
    <w:rsid w:val="12DB7D35"/>
    <w:rsid w:val="12E60488"/>
    <w:rsid w:val="13001868"/>
    <w:rsid w:val="132A2A6A"/>
    <w:rsid w:val="13CB5FFB"/>
    <w:rsid w:val="14027543"/>
    <w:rsid w:val="145D3907"/>
    <w:rsid w:val="148A7C64"/>
    <w:rsid w:val="14B4083D"/>
    <w:rsid w:val="14CF5677"/>
    <w:rsid w:val="15237771"/>
    <w:rsid w:val="15595889"/>
    <w:rsid w:val="156C2EC6"/>
    <w:rsid w:val="15C56B00"/>
    <w:rsid w:val="15D05B4B"/>
    <w:rsid w:val="16132CB9"/>
    <w:rsid w:val="1662251B"/>
    <w:rsid w:val="16B20DAC"/>
    <w:rsid w:val="16B25250"/>
    <w:rsid w:val="16B8213B"/>
    <w:rsid w:val="16D2144F"/>
    <w:rsid w:val="17836BED"/>
    <w:rsid w:val="178C5AA1"/>
    <w:rsid w:val="17AD77C6"/>
    <w:rsid w:val="180933FC"/>
    <w:rsid w:val="185C6006"/>
    <w:rsid w:val="185F6D12"/>
    <w:rsid w:val="18616F2E"/>
    <w:rsid w:val="191221DB"/>
    <w:rsid w:val="19235F91"/>
    <w:rsid w:val="19800B64"/>
    <w:rsid w:val="19836A30"/>
    <w:rsid w:val="199944A6"/>
    <w:rsid w:val="19FD4A34"/>
    <w:rsid w:val="1A533F79"/>
    <w:rsid w:val="1A5A1E87"/>
    <w:rsid w:val="1A6776DF"/>
    <w:rsid w:val="1AE343DA"/>
    <w:rsid w:val="1B2F179A"/>
    <w:rsid w:val="1B6F3710"/>
    <w:rsid w:val="1C250273"/>
    <w:rsid w:val="1D01483C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27635D6"/>
    <w:rsid w:val="22A4586A"/>
    <w:rsid w:val="22BA5BB9"/>
    <w:rsid w:val="230D784D"/>
    <w:rsid w:val="23B95F13"/>
    <w:rsid w:val="24174945"/>
    <w:rsid w:val="24212C83"/>
    <w:rsid w:val="244020ED"/>
    <w:rsid w:val="248B32E5"/>
    <w:rsid w:val="24B17D3C"/>
    <w:rsid w:val="24EE1B49"/>
    <w:rsid w:val="25592D3B"/>
    <w:rsid w:val="25867FD4"/>
    <w:rsid w:val="259C77F7"/>
    <w:rsid w:val="25FA451E"/>
    <w:rsid w:val="262A3A04"/>
    <w:rsid w:val="269C7383"/>
    <w:rsid w:val="26B66697"/>
    <w:rsid w:val="26C64400"/>
    <w:rsid w:val="273D46C2"/>
    <w:rsid w:val="27435A51"/>
    <w:rsid w:val="27466F3A"/>
    <w:rsid w:val="276F4A98"/>
    <w:rsid w:val="283B6E9A"/>
    <w:rsid w:val="28414686"/>
    <w:rsid w:val="287C746C"/>
    <w:rsid w:val="288D3427"/>
    <w:rsid w:val="28C3509B"/>
    <w:rsid w:val="28D44D60"/>
    <w:rsid w:val="29F55569"/>
    <w:rsid w:val="2A5D507B"/>
    <w:rsid w:val="2A6D1762"/>
    <w:rsid w:val="2A9C2048"/>
    <w:rsid w:val="2AF37C49"/>
    <w:rsid w:val="2B327766"/>
    <w:rsid w:val="2C1A3224"/>
    <w:rsid w:val="2C5F332D"/>
    <w:rsid w:val="2CC55886"/>
    <w:rsid w:val="2CDC497D"/>
    <w:rsid w:val="2DA03BFD"/>
    <w:rsid w:val="2DA336ED"/>
    <w:rsid w:val="2DD45655"/>
    <w:rsid w:val="2E7221A8"/>
    <w:rsid w:val="2E8452CD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0CE0A81"/>
    <w:rsid w:val="312F3756"/>
    <w:rsid w:val="31496359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31F82"/>
    <w:rsid w:val="32963820"/>
    <w:rsid w:val="32E20814"/>
    <w:rsid w:val="337771AE"/>
    <w:rsid w:val="33F94067"/>
    <w:rsid w:val="340151E4"/>
    <w:rsid w:val="34480B4A"/>
    <w:rsid w:val="34821AD6"/>
    <w:rsid w:val="34C159B3"/>
    <w:rsid w:val="35386E11"/>
    <w:rsid w:val="35A52FD0"/>
    <w:rsid w:val="35D501BC"/>
    <w:rsid w:val="361C5DEB"/>
    <w:rsid w:val="36407D2B"/>
    <w:rsid w:val="36BE3BE8"/>
    <w:rsid w:val="36DA26A7"/>
    <w:rsid w:val="36DB5CA6"/>
    <w:rsid w:val="37074CED"/>
    <w:rsid w:val="37227431"/>
    <w:rsid w:val="3756532C"/>
    <w:rsid w:val="37B01725"/>
    <w:rsid w:val="37B7226F"/>
    <w:rsid w:val="37BD53AB"/>
    <w:rsid w:val="38061044"/>
    <w:rsid w:val="381C3783"/>
    <w:rsid w:val="38383714"/>
    <w:rsid w:val="389E342F"/>
    <w:rsid w:val="38B90269"/>
    <w:rsid w:val="38C5276A"/>
    <w:rsid w:val="39783C80"/>
    <w:rsid w:val="399551B1"/>
    <w:rsid w:val="39D619B3"/>
    <w:rsid w:val="3A445910"/>
    <w:rsid w:val="3A557B1D"/>
    <w:rsid w:val="3A726921"/>
    <w:rsid w:val="3A765FE2"/>
    <w:rsid w:val="3B653D90"/>
    <w:rsid w:val="3B7D732B"/>
    <w:rsid w:val="3B8844FE"/>
    <w:rsid w:val="3BAE3989"/>
    <w:rsid w:val="3BB16FD5"/>
    <w:rsid w:val="3BCC3E0F"/>
    <w:rsid w:val="3BD66A3C"/>
    <w:rsid w:val="3C424796"/>
    <w:rsid w:val="3C7050E2"/>
    <w:rsid w:val="3CAF79B9"/>
    <w:rsid w:val="3CC044ED"/>
    <w:rsid w:val="3CC25530"/>
    <w:rsid w:val="3CC2593E"/>
    <w:rsid w:val="3CC52D38"/>
    <w:rsid w:val="3CD13DD3"/>
    <w:rsid w:val="3D0715A3"/>
    <w:rsid w:val="3D123AC2"/>
    <w:rsid w:val="3D840E45"/>
    <w:rsid w:val="3DA212CB"/>
    <w:rsid w:val="3DBB238D"/>
    <w:rsid w:val="3DBD6105"/>
    <w:rsid w:val="3E4405D4"/>
    <w:rsid w:val="3E9C5D1B"/>
    <w:rsid w:val="3F375A43"/>
    <w:rsid w:val="3FA4757D"/>
    <w:rsid w:val="3FB6105E"/>
    <w:rsid w:val="3FE444E6"/>
    <w:rsid w:val="40583EC3"/>
    <w:rsid w:val="40642868"/>
    <w:rsid w:val="407A652F"/>
    <w:rsid w:val="40923879"/>
    <w:rsid w:val="40EB11DB"/>
    <w:rsid w:val="410F592B"/>
    <w:rsid w:val="411424E0"/>
    <w:rsid w:val="41641264"/>
    <w:rsid w:val="41700BEB"/>
    <w:rsid w:val="426C3C56"/>
    <w:rsid w:val="42786A9F"/>
    <w:rsid w:val="42BC1743"/>
    <w:rsid w:val="42EE53FF"/>
    <w:rsid w:val="430420E0"/>
    <w:rsid w:val="43E4263E"/>
    <w:rsid w:val="45554E75"/>
    <w:rsid w:val="459D60E3"/>
    <w:rsid w:val="45B70627"/>
    <w:rsid w:val="45CA5863"/>
    <w:rsid w:val="45E5444B"/>
    <w:rsid w:val="46362EF9"/>
    <w:rsid w:val="465515D1"/>
    <w:rsid w:val="468E4AE3"/>
    <w:rsid w:val="46E26BDC"/>
    <w:rsid w:val="46F54E2D"/>
    <w:rsid w:val="46FD57C4"/>
    <w:rsid w:val="47925F0D"/>
    <w:rsid w:val="47A143DA"/>
    <w:rsid w:val="47E81E53"/>
    <w:rsid w:val="48A028AB"/>
    <w:rsid w:val="48B545A9"/>
    <w:rsid w:val="495C0DBE"/>
    <w:rsid w:val="497D499A"/>
    <w:rsid w:val="49CB1BAA"/>
    <w:rsid w:val="4A070E34"/>
    <w:rsid w:val="4A4F4589"/>
    <w:rsid w:val="4AB60164"/>
    <w:rsid w:val="4B8E06C7"/>
    <w:rsid w:val="4C7E73A7"/>
    <w:rsid w:val="4C934BC0"/>
    <w:rsid w:val="4CFB09F8"/>
    <w:rsid w:val="4D057181"/>
    <w:rsid w:val="4D447CA9"/>
    <w:rsid w:val="4D5123C6"/>
    <w:rsid w:val="4D6B792C"/>
    <w:rsid w:val="4DA16EA9"/>
    <w:rsid w:val="4DDA060D"/>
    <w:rsid w:val="4DED1912"/>
    <w:rsid w:val="4E257ADB"/>
    <w:rsid w:val="4E353A96"/>
    <w:rsid w:val="4E754417"/>
    <w:rsid w:val="4EAD187E"/>
    <w:rsid w:val="4EB175C0"/>
    <w:rsid w:val="4EB62E28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694182"/>
    <w:rsid w:val="519D207E"/>
    <w:rsid w:val="51EC090F"/>
    <w:rsid w:val="51FB00AC"/>
    <w:rsid w:val="52E57838"/>
    <w:rsid w:val="531B14AC"/>
    <w:rsid w:val="542B3971"/>
    <w:rsid w:val="54335EE7"/>
    <w:rsid w:val="5463310B"/>
    <w:rsid w:val="54AF45A2"/>
    <w:rsid w:val="54C142D5"/>
    <w:rsid w:val="55254864"/>
    <w:rsid w:val="553C395C"/>
    <w:rsid w:val="55BA1450"/>
    <w:rsid w:val="55EB785C"/>
    <w:rsid w:val="56037691"/>
    <w:rsid w:val="56083D8A"/>
    <w:rsid w:val="56135E24"/>
    <w:rsid w:val="564017AC"/>
    <w:rsid w:val="567B0721"/>
    <w:rsid w:val="56811F6E"/>
    <w:rsid w:val="56F97D56"/>
    <w:rsid w:val="57081D47"/>
    <w:rsid w:val="57E9601D"/>
    <w:rsid w:val="57E97DCB"/>
    <w:rsid w:val="57EF1159"/>
    <w:rsid w:val="583059FA"/>
    <w:rsid w:val="5847689F"/>
    <w:rsid w:val="58532B2C"/>
    <w:rsid w:val="58984204"/>
    <w:rsid w:val="58C47EF0"/>
    <w:rsid w:val="58E862D4"/>
    <w:rsid w:val="59285798"/>
    <w:rsid w:val="596F60AE"/>
    <w:rsid w:val="59E864F1"/>
    <w:rsid w:val="5A2A0227"/>
    <w:rsid w:val="5A7B0A82"/>
    <w:rsid w:val="5A9B1124"/>
    <w:rsid w:val="5B0311A3"/>
    <w:rsid w:val="5B6360E6"/>
    <w:rsid w:val="5BB5218E"/>
    <w:rsid w:val="5BCA3A6F"/>
    <w:rsid w:val="5BFE5E0F"/>
    <w:rsid w:val="5CAA564F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6515C6"/>
    <w:rsid w:val="60AA0313"/>
    <w:rsid w:val="610D33E8"/>
    <w:rsid w:val="615E35D8"/>
    <w:rsid w:val="619568CD"/>
    <w:rsid w:val="61E67129"/>
    <w:rsid w:val="621A5025"/>
    <w:rsid w:val="62650996"/>
    <w:rsid w:val="62CC27C3"/>
    <w:rsid w:val="634C5CEC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7B402C"/>
    <w:rsid w:val="65C07C91"/>
    <w:rsid w:val="66A65723"/>
    <w:rsid w:val="66CA526B"/>
    <w:rsid w:val="66F2031E"/>
    <w:rsid w:val="6759039D"/>
    <w:rsid w:val="67C12792"/>
    <w:rsid w:val="67DD0FCE"/>
    <w:rsid w:val="68213DB8"/>
    <w:rsid w:val="687436E1"/>
    <w:rsid w:val="687A681D"/>
    <w:rsid w:val="68AB69D7"/>
    <w:rsid w:val="68D73C6F"/>
    <w:rsid w:val="690B56C7"/>
    <w:rsid w:val="696A4D66"/>
    <w:rsid w:val="69867965"/>
    <w:rsid w:val="699456BD"/>
    <w:rsid w:val="6A4E3ABD"/>
    <w:rsid w:val="6A9A31A7"/>
    <w:rsid w:val="6AA67D9D"/>
    <w:rsid w:val="6AD06BC8"/>
    <w:rsid w:val="6B3929BF"/>
    <w:rsid w:val="6B3D425E"/>
    <w:rsid w:val="6B431148"/>
    <w:rsid w:val="6B4C7033"/>
    <w:rsid w:val="6B56531F"/>
    <w:rsid w:val="6B575C91"/>
    <w:rsid w:val="6BB8040C"/>
    <w:rsid w:val="6C3A7C83"/>
    <w:rsid w:val="6C5C6966"/>
    <w:rsid w:val="6C6E5E1A"/>
    <w:rsid w:val="6C8E2897"/>
    <w:rsid w:val="6CC804C8"/>
    <w:rsid w:val="6CDF30F3"/>
    <w:rsid w:val="6D282CEC"/>
    <w:rsid w:val="6D921E65"/>
    <w:rsid w:val="6DB549B2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D23894"/>
    <w:rsid w:val="6FE23626"/>
    <w:rsid w:val="70383246"/>
    <w:rsid w:val="703D260A"/>
    <w:rsid w:val="7060279C"/>
    <w:rsid w:val="70626FA0"/>
    <w:rsid w:val="70671D7D"/>
    <w:rsid w:val="70756EB2"/>
    <w:rsid w:val="70B56644"/>
    <w:rsid w:val="71245578"/>
    <w:rsid w:val="7258197D"/>
    <w:rsid w:val="72C60FDD"/>
    <w:rsid w:val="72EB27F1"/>
    <w:rsid w:val="730241B0"/>
    <w:rsid w:val="731A1328"/>
    <w:rsid w:val="73587D13"/>
    <w:rsid w:val="743B50B2"/>
    <w:rsid w:val="74BF5CE3"/>
    <w:rsid w:val="750977D2"/>
    <w:rsid w:val="75263FB5"/>
    <w:rsid w:val="75693EA1"/>
    <w:rsid w:val="75B25848"/>
    <w:rsid w:val="76585881"/>
    <w:rsid w:val="766528BB"/>
    <w:rsid w:val="768F268A"/>
    <w:rsid w:val="76C92E49"/>
    <w:rsid w:val="77617526"/>
    <w:rsid w:val="777A05E8"/>
    <w:rsid w:val="779807BE"/>
    <w:rsid w:val="77B70EF4"/>
    <w:rsid w:val="781A1483"/>
    <w:rsid w:val="781F0851"/>
    <w:rsid w:val="7820118F"/>
    <w:rsid w:val="782A7918"/>
    <w:rsid w:val="78B00E0E"/>
    <w:rsid w:val="78B75E5B"/>
    <w:rsid w:val="78C94F9D"/>
    <w:rsid w:val="78E93069"/>
    <w:rsid w:val="78FD502C"/>
    <w:rsid w:val="795D3A81"/>
    <w:rsid w:val="796450AB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A0464C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3115</Words>
  <Characters>3620</Characters>
  <Lines>35</Lines>
  <Paragraphs>9</Paragraphs>
  <TotalTime>24</TotalTime>
  <ScaleCrop>false</ScaleCrop>
  <LinksUpToDate>false</LinksUpToDate>
  <CharactersWithSpaces>3670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2026-04-22T07:00:53Z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eyJoZGlkIjoiYjVlOTE0MGRkN2E0MWU0MDEyNjJkNTdlYmU3ZGQ5YzUiLCJ1c2VySWQiOiI0NDQ3MDkxMjgifQ==</vt:lpwstr>
  </property>
</Properties>
</file>