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7FCD8C41">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硫酸装置除氧系统54.7%节能实践</w:t>
      </w:r>
    </w:p>
    <w:p w14:paraId="12047801">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——冷凝水余热回收预热脱盐水技术应用</w:t>
      </w:r>
    </w:p>
    <w:p w14:paraId="38C7194E">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耿伟强 叶建强 张来稳 邱华 郭明宇</w:t>
      </w:r>
    </w:p>
    <w:p w14:paraId="246BAB61">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云南三环中化化肥有限公司</w:t>
      </w:r>
    </w:p>
    <w:p w14:paraId="040C722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p>
    <w:p w14:paraId="02AEE9D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bCs w:val="0"/>
          <w:sz w:val="21"/>
          <w:szCs w:val="21"/>
          <w:lang w:val="en-US" w:eastAsia="zh-CN"/>
        </w:rPr>
        <w:t>摘要：</w:t>
      </w:r>
      <w:r>
        <w:rPr>
          <w:rFonts w:hint="eastAsia" w:ascii="宋体" w:hAnsi="宋体" w:eastAsia="宋体" w:cs="宋体"/>
          <w:b w:val="0"/>
          <w:bCs/>
          <w:sz w:val="21"/>
          <w:szCs w:val="21"/>
          <w:lang w:val="en-US" w:eastAsia="zh-CN"/>
        </w:rPr>
        <w:t>本文介绍某化工企业硫酸生产装置通过工艺技术操作方式变更实现节能降耗与设备保护的实践。调整前，新脱盐水泵供水温度约30 ℃，除氧器需消耗15 t/h的低压蒸汽（0.6 MPa）加热脱盐水至100 ℃以上完成除氧；同时，磷酸装置浓缩工序使用的石墨换热器产生的冷凝水（120 ℃、110～140 m³/h）需与硫酸循环水换热降温后进入脱盐水工序的高温混床中脱盐（除盐）使用。此实践通过调整板式换热器中的换热介质，将新脱盐水泵所供脱盐水（80～120 m³/h）与磷酸装置冷凝水换热，使脱盐水（除盐水）温度提升至50～65 ℃后进入除氧器，冷凝水温度降至70 ℃以下进入高温混床。调整后，除氧器蒸汽消耗量降至7 t/h以下，年节约生产成本显著，且冷凝水降温效果稳定，有效保障了高温混床使用寿命。该工艺调整无需额外投资，操作简单，为硫酸生产企业同类系统优化提供了实用参考。</w:t>
      </w:r>
    </w:p>
    <w:p w14:paraId="120B973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关键词：</w:t>
      </w:r>
      <w:r>
        <w:rPr>
          <w:rFonts w:hint="eastAsia" w:ascii="宋体" w:hAnsi="宋体" w:eastAsia="宋体" w:cs="宋体"/>
          <w:b w:val="0"/>
          <w:bCs/>
          <w:sz w:val="21"/>
          <w:szCs w:val="21"/>
          <w:lang w:val="en-US" w:eastAsia="zh-CN"/>
        </w:rPr>
        <w:t>冷凝水余热回收 除氧系统节能 硫酸生产 工艺调整 板式换热器 蒸汽消耗降低</w:t>
      </w:r>
    </w:p>
    <w:p w14:paraId="4396A5D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p>
    <w:p w14:paraId="076C2A1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0" w:name="_GoBack"/>
      <w:bookmarkEnd w:id="0"/>
      <w:r>
        <w:rPr>
          <w:rFonts w:hint="eastAsia" w:ascii="宋体" w:hAnsi="宋体" w:eastAsia="宋体" w:cs="宋体"/>
          <w:b/>
          <w:bCs/>
          <w:sz w:val="21"/>
          <w:szCs w:val="21"/>
          <w:lang w:val="en-US" w:eastAsia="zh-CN"/>
        </w:rPr>
        <w:t>1 引言</w:t>
      </w:r>
    </w:p>
    <w:p w14:paraId="4F44D13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1.1 硫酸装置除氧水生产背景</w:t>
      </w:r>
    </w:p>
    <w:p w14:paraId="2FE2C246">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在</w:t>
      </w:r>
      <w:r>
        <w:rPr>
          <w:rFonts w:hint="eastAsia" w:ascii="宋体" w:hAnsi="宋体" w:eastAsia="宋体" w:cs="宋体"/>
          <w:sz w:val="21"/>
          <w:szCs w:val="21"/>
        </w:rPr>
        <w:t>硫磺制酸生产装置</w:t>
      </w:r>
      <w:r>
        <w:rPr>
          <w:rFonts w:hint="eastAsia" w:ascii="宋体" w:hAnsi="宋体" w:eastAsia="宋体" w:cs="宋体"/>
          <w:sz w:val="21"/>
          <w:szCs w:val="21"/>
          <w:lang w:val="en-US" w:eastAsia="zh-CN"/>
        </w:rPr>
        <w:t>中，</w:t>
      </w:r>
      <w:r>
        <w:rPr>
          <w:rFonts w:hint="eastAsia" w:ascii="宋体" w:hAnsi="宋体" w:eastAsia="宋体" w:cs="宋体"/>
          <w:sz w:val="21"/>
          <w:szCs w:val="21"/>
        </w:rPr>
        <w:t>除氧系统是装置稳定运行的核心辅助单元，其作用是去除脱盐水中的溶解氧，避免余热锅炉、蒸汽管道等设备发生氧腐蚀。脱盐水经除氧处理后，进入余热锅炉与硫磺燃烧产生的高温烟气进行换热，产出的</w:t>
      </w:r>
      <w:r>
        <w:rPr>
          <w:rFonts w:hint="eastAsia" w:ascii="宋体" w:hAnsi="宋体" w:eastAsia="宋体" w:cs="宋体"/>
          <w:sz w:val="21"/>
          <w:szCs w:val="21"/>
          <w:lang w:val="en-US" w:eastAsia="zh-CN"/>
        </w:rPr>
        <w:t>副产品</w:t>
      </w:r>
      <w:r>
        <w:rPr>
          <w:rFonts w:hint="eastAsia" w:ascii="宋体" w:hAnsi="宋体" w:eastAsia="宋体" w:cs="宋体"/>
          <w:sz w:val="21"/>
          <w:szCs w:val="21"/>
        </w:rPr>
        <w:t>高压蒸汽用于驱动汽轮机发电及装置工艺加热。</w:t>
      </w:r>
    </w:p>
    <w:p w14:paraId="2BFA50BD">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我司</w:t>
      </w:r>
      <w:r>
        <w:rPr>
          <w:rFonts w:hint="eastAsia" w:ascii="宋体" w:hAnsi="宋体" w:eastAsia="宋体" w:cs="宋体"/>
          <w:sz w:val="21"/>
          <w:szCs w:val="21"/>
        </w:rPr>
        <w:t>硫酸</w:t>
      </w:r>
      <w:r>
        <w:rPr>
          <w:rFonts w:hint="eastAsia" w:ascii="宋体" w:hAnsi="宋体" w:eastAsia="宋体" w:cs="宋体"/>
          <w:sz w:val="21"/>
          <w:szCs w:val="21"/>
          <w:lang w:val="en-US" w:eastAsia="zh-CN"/>
        </w:rPr>
        <w:t>生产</w:t>
      </w:r>
      <w:r>
        <w:rPr>
          <w:rFonts w:hint="eastAsia" w:ascii="宋体" w:hAnsi="宋体" w:eastAsia="宋体" w:cs="宋体"/>
          <w:sz w:val="21"/>
          <w:szCs w:val="21"/>
        </w:rPr>
        <w:t>装置实际脱盐水总用量为350～</w:t>
      </w:r>
      <w:r>
        <w:rPr>
          <w:rFonts w:hint="eastAsia" w:ascii="宋体" w:hAnsi="宋体" w:eastAsia="宋体" w:cs="宋体"/>
          <w:sz w:val="21"/>
          <w:szCs w:val="21"/>
          <w:lang w:val="en-US" w:eastAsia="zh-CN"/>
        </w:rPr>
        <w:t xml:space="preserve">380 </w:t>
      </w:r>
      <w:r>
        <w:rPr>
          <w:rFonts w:hint="eastAsia" w:ascii="宋体" w:hAnsi="宋体" w:eastAsia="宋体" w:cs="宋体"/>
          <w:sz w:val="21"/>
          <w:szCs w:val="21"/>
        </w:rPr>
        <w:t>m³/h，其中新脱盐水</w:t>
      </w:r>
      <w:r>
        <w:rPr>
          <w:rFonts w:hint="eastAsia" w:ascii="宋体" w:hAnsi="宋体" w:eastAsia="宋体" w:cs="宋体"/>
          <w:sz w:val="21"/>
          <w:szCs w:val="21"/>
          <w:lang w:val="en-US" w:eastAsia="zh-CN"/>
        </w:rPr>
        <w:t>泵供水</w:t>
      </w:r>
      <w:r>
        <w:rPr>
          <w:rFonts w:hint="eastAsia" w:ascii="宋体" w:hAnsi="宋体" w:eastAsia="宋体" w:cs="宋体"/>
          <w:sz w:val="21"/>
          <w:szCs w:val="21"/>
        </w:rPr>
        <w:t>占比约30%</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8</w:t>
      </w:r>
      <w:r>
        <w:rPr>
          <w:rFonts w:hint="eastAsia" w:ascii="宋体" w:hAnsi="宋体" w:eastAsia="宋体" w:cs="宋体"/>
          <w:sz w:val="21"/>
          <w:szCs w:val="21"/>
        </w:rPr>
        <w:t>0～</w:t>
      </w:r>
      <w:r>
        <w:rPr>
          <w:rFonts w:hint="eastAsia" w:ascii="宋体" w:hAnsi="宋体" w:eastAsia="宋体" w:cs="宋体"/>
          <w:sz w:val="21"/>
          <w:szCs w:val="21"/>
          <w:lang w:val="en-US" w:eastAsia="zh-CN"/>
        </w:rPr>
        <w:t xml:space="preserve">120 </w:t>
      </w:r>
      <w:r>
        <w:rPr>
          <w:rFonts w:hint="eastAsia" w:ascii="宋体" w:hAnsi="宋体" w:eastAsia="宋体" w:cs="宋体"/>
          <w:sz w:val="21"/>
          <w:szCs w:val="21"/>
        </w:rPr>
        <w:t>m³/h</w:t>
      </w:r>
      <w:r>
        <w:rPr>
          <w:rFonts w:hint="eastAsia" w:ascii="宋体" w:hAnsi="宋体" w:eastAsia="宋体" w:cs="宋体"/>
          <w:sz w:val="21"/>
          <w:szCs w:val="21"/>
          <w:lang w:eastAsia="zh-CN"/>
        </w:rPr>
        <w:t>）</w:t>
      </w:r>
      <w:r>
        <w:rPr>
          <w:rFonts w:hint="eastAsia" w:ascii="宋体" w:hAnsi="宋体" w:eastAsia="宋体" w:cs="宋体"/>
          <w:sz w:val="21"/>
          <w:szCs w:val="21"/>
        </w:rPr>
        <w:t>，其余为</w:t>
      </w:r>
      <w:r>
        <w:rPr>
          <w:rFonts w:hint="eastAsia" w:ascii="宋体" w:hAnsi="宋体" w:eastAsia="宋体" w:cs="宋体"/>
          <w:sz w:val="21"/>
          <w:szCs w:val="21"/>
          <w:lang w:val="en-US" w:eastAsia="zh-CN"/>
        </w:rPr>
        <w:t>老脱盐水泵供水</w:t>
      </w:r>
      <w:r>
        <w:rPr>
          <w:rFonts w:hint="eastAsia" w:ascii="宋体" w:hAnsi="宋体" w:eastAsia="宋体" w:cs="宋体"/>
          <w:sz w:val="21"/>
          <w:szCs w:val="21"/>
        </w:rPr>
        <w:t>。磷酸装置为</w:t>
      </w:r>
      <w:r>
        <w:rPr>
          <w:rFonts w:hint="eastAsia" w:ascii="宋体" w:hAnsi="宋体" w:eastAsia="宋体" w:cs="宋体"/>
          <w:sz w:val="21"/>
          <w:szCs w:val="21"/>
          <w:lang w:val="en-US" w:eastAsia="zh-CN"/>
        </w:rPr>
        <w:t>我司下游</w:t>
      </w:r>
      <w:r>
        <w:rPr>
          <w:rFonts w:hint="eastAsia" w:ascii="宋体" w:hAnsi="宋体" w:eastAsia="宋体" w:cs="宋体"/>
          <w:sz w:val="21"/>
          <w:szCs w:val="21"/>
        </w:rPr>
        <w:t>生产单元，生产过程中持续产生大量冷凝水，其具体参数为：温度稳定在100</w:t>
      </w:r>
      <w:r>
        <w:rPr>
          <w:rFonts w:hint="eastAsia" w:ascii="宋体" w:hAnsi="宋体" w:eastAsia="宋体" w:cs="宋体"/>
          <w:sz w:val="21"/>
          <w:szCs w:val="21"/>
          <w:lang w:val="en-US" w:eastAsia="zh-CN"/>
        </w:rPr>
        <w:t xml:space="preserve">～110 </w:t>
      </w:r>
      <w:r>
        <w:rPr>
          <w:rFonts w:hint="eastAsia" w:ascii="宋体" w:hAnsi="宋体" w:eastAsia="宋体" w:cs="宋体"/>
          <w:sz w:val="21"/>
          <w:szCs w:val="21"/>
        </w:rPr>
        <w:t>℃，流量约</w:t>
      </w:r>
      <w:r>
        <w:rPr>
          <w:rFonts w:hint="eastAsia" w:ascii="宋体" w:hAnsi="宋体" w:eastAsia="宋体" w:cs="宋体"/>
          <w:sz w:val="21"/>
          <w:szCs w:val="21"/>
          <w:lang w:eastAsia="zh-CN"/>
        </w:rPr>
        <w:t>110～140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m³/h。</w:t>
      </w:r>
      <w:r>
        <w:rPr>
          <w:rFonts w:hint="eastAsia" w:ascii="宋体" w:hAnsi="宋体" w:eastAsia="宋体" w:cs="宋体"/>
          <w:sz w:val="21"/>
          <w:szCs w:val="21"/>
          <w:lang w:val="en-US" w:eastAsia="zh-CN"/>
        </w:rPr>
        <w:t>工艺调整后供水流程如下图所示：</w:t>
      </w:r>
    </w:p>
    <w:p w14:paraId="1C19BDE7">
      <w:pPr>
        <w:pStyle w:val="45"/>
        <w:pageBreakBefore w:val="0"/>
        <w:kinsoku/>
        <w:wordWrap/>
        <w:overflowPunct/>
        <w:topLinePunct w:val="0"/>
        <w:autoSpaceDE/>
        <w:autoSpaceDN/>
        <w:bidi w:val="0"/>
        <w:spacing w:before="0" w:after="0"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object>
          <v:shape id="_x0000_i1025" o:spt="75" type="#_x0000_t75" style="height:219.75pt;width:438.85pt;" o:ole="t" filled="f" o:preferrelative="t" stroked="f" coordsize="21600,21600">
            <v:path/>
            <v:fill on="f" focussize="0,0"/>
            <v:stroke on="f"/>
            <v:imagedata r:id="rId5" o:title=""/>
            <o:lock v:ext="edit" aspectratio="f"/>
            <w10:wrap type="none"/>
            <w10:anchorlock/>
          </v:shape>
          <o:OLEObject Type="Embed" ProgID="Visio.Drawing.15" ShapeID="_x0000_i1025" DrawAspect="Content" ObjectID="_1468075725" r:id="rId4">
            <o:LockedField>false</o:LockedField>
          </o:OLEObject>
        </w:object>
      </w:r>
    </w:p>
    <w:p w14:paraId="5195D64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1.2 现有工艺直观存在的双重问题</w:t>
      </w:r>
    </w:p>
    <w:p w14:paraId="0DDEF5B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1.2.1 由于除氧器蒸汽消耗量大，故除氧器的生产成本较高</w:t>
      </w:r>
    </w:p>
    <w:p w14:paraId="556E372B">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在我司现有工艺中，新脱盐水泵所输送的脱盐水先经装置内脱盐水加热器与热回收塔产出的高温浓硫酸（约180 ℃）换热后再进入除氧器。从现场实测数据可以十分清楚、可靠地看到，新脱盐水供水温度在28～32 ℃之间，平均温度约30 ℃。由于除氧器使用蒸汽的工作压力为0.3～0.5 MPa，在此压力等级下，要取得合格的除氧效果（含氧量≤15 μg/L），则必须将水温加热至105～110 ℃。</w:t>
      </w:r>
    </w:p>
    <w:p w14:paraId="250C0D41">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由于该加热过程完全是用0.3～0.5 MPa低压蒸汽供热，因此可以从我司2024年1～12月的生产记录中很自然、合理地统计出除氧器平均蒸汽消耗量为15 t/h,其中蒸汽成本占除氧系统运行成本的80%，因此除氧器蒸汽消耗水平是制约装置生产成本降低的根本因素。</w:t>
      </w:r>
    </w:p>
    <w:p w14:paraId="6BEF7A4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1.2.2 冷凝水降温依赖循环水，高温混床运行风险高</w:t>
      </w:r>
    </w:p>
    <w:p w14:paraId="15453FF1">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磷酸装置浓缩工序产生的冷凝水（温度100～110 ℃，流量110～140 m³/h），在我司原有工艺中通过板式换热器与硫酸循环水进行换热降温后进入脱盐水工序的高温混床中回收脱盐利用。高温混床设计要求进水温度需降至80 ℃以下才能进入高温混床进行脱盐处理，否则高温会加速混床内树脂老化，缩短树脂使用寿命，甚至导致混床密封件损坏，引发泄漏故障。</w:t>
      </w:r>
    </w:p>
    <w:p w14:paraId="3D0233FD">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但实际运行中，硫酸循环水温度受环境影响较大（夏季最高可达30 ℃），增大循环水量与冷凝水换热造成硫酸生产装置内酸冷却器冷却效果下降，给装置稳定运行带来隐患。若出现冷凝水降温效果不稳定，出口温度超过80 ℃的情况，会导致高温混床内的高温树脂老化失效；频繁更换混床内高温树脂不仅会增加维修成本，更会为装置稳定生产带来隐患。</w:t>
      </w:r>
    </w:p>
    <w:p w14:paraId="07047FA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1.3 理论上本次工艺调整的目的和意义</w:t>
      </w:r>
    </w:p>
    <w:p w14:paraId="4BE41B05">
      <w:pPr>
        <w:pStyle w:val="45"/>
        <w:pageBreakBefore w:val="0"/>
        <w:numPr>
          <w:ilvl w:val="0"/>
          <w:numId w:val="1"/>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次工艺调整的目的很明确，就是解决现有工艺中所存在的两个突出问题：其一是回收磷酸装置冷凝水的高温余热来预热脱盐水，以此降低除氧器的蒸汽消耗及生产成本；其二是使用更优化的换热方式将冷凝水稳定地降温到80℃以下，保证高温混床安全运行，也由此降低设备维修费用。</w:t>
      </w:r>
    </w:p>
    <w:p w14:paraId="7A95184D">
      <w:pPr>
        <w:pStyle w:val="45"/>
        <w:pageBreakBefore w:val="0"/>
        <w:numPr>
          <w:ilvl w:val="0"/>
          <w:numId w:val="1"/>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于本工艺调整没有新增设备，只是把板式换热器所用的换热介质从“冷凝水——循环水”改为“冷凝水——脱盐水”，因此能自然、合理地取得双重效益，故有零投资、见效快、操作简的突出优点，十分契合企业降本增效的需要，也很好地符合国家节能减排的政策方向。</w:t>
      </w:r>
    </w:p>
    <w:p w14:paraId="0319821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 工艺调整方案说明</w:t>
      </w:r>
    </w:p>
    <w:p w14:paraId="105B5F4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 调整思路论述</w:t>
      </w:r>
    </w:p>
    <w:p w14:paraId="67FA67BB">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总体思路为“余热回收+精准降温”双向优化：即使用磷酸装置温度100～110 ℃高温冷凝水中的余热与脱盐水直接换热，由此使脱盐水吸热升温，故除氧器加热所需蒸汽量减少，而冷凝水放热降温后正好满足高温混床入口温度的要求。</w:t>
      </w:r>
    </w:p>
    <w:p w14:paraId="13E2863D">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由于板式换热器本来就是用来换热冷凝水的，故只需把进出口管路连接方式进行适当调整，把原连接硫酸循环水的接口改为连接新脱盐水管路，不需对设备作任何改造，因此工艺调整十分简便。</w:t>
      </w:r>
    </w:p>
    <w:p w14:paraId="1ECA35B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 所选设备及相关参数</w:t>
      </w:r>
    </w:p>
    <w:p w14:paraId="1CDB804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2.2.1 板式换热器参数（原有设备复用）</w:t>
      </w:r>
    </w:p>
    <w:p w14:paraId="7D77A33F">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本次工艺调整使用的原有板式换热器设备各项参数如下：</w:t>
      </w:r>
    </w:p>
    <w:p w14:paraId="7B47F332">
      <w:pPr>
        <w:pStyle w:val="45"/>
        <w:pageBreakBefore w:val="0"/>
        <w:numPr>
          <w:ilvl w:val="0"/>
          <w:numId w:val="2"/>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设计压力：1.0 MPa（该设计压力大于冷凝水和脱盐水的运行压力，故能保障设备及管路的运行安全）</w:t>
      </w:r>
    </w:p>
    <w:p w14:paraId="6B0FD053">
      <w:pPr>
        <w:pStyle w:val="45"/>
        <w:pageBreakBefore w:val="0"/>
        <w:numPr>
          <w:ilvl w:val="0"/>
          <w:numId w:val="2"/>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设计温度：165 ℃（所选温度适用于冷凝水100～110 ℃的工作温度）</w:t>
      </w:r>
    </w:p>
    <w:p w14:paraId="34794DA4">
      <w:pPr>
        <w:pStyle w:val="45"/>
        <w:pageBreakBefore w:val="0"/>
        <w:numPr>
          <w:ilvl w:val="0"/>
          <w:numId w:val="2"/>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换热面积：99.8 ㎡（所选换热器面积能很好的满足110～140 m³/h冷凝水与80～120 m³/h脱盐水的换热需求）。</w:t>
      </w:r>
    </w:p>
    <w:p w14:paraId="433ADD8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2.2.2 相关核心介质流量及温度参数说明</w:t>
      </w:r>
    </w:p>
    <w:p w14:paraId="464D6EC4">
      <w:pPr>
        <w:pStyle w:val="45"/>
        <w:pageBreakBefore w:val="0"/>
        <w:kinsoku/>
        <w:wordWrap/>
        <w:overflowPunct/>
        <w:topLinePunct w:val="0"/>
        <w:autoSpaceDE/>
        <w:autoSpaceDN/>
        <w:bidi w:val="0"/>
        <w:spacing w:before="0" w:after="0" w:line="400" w:lineRule="exact"/>
        <w:textAlignment w:val="auto"/>
        <w:rPr>
          <w:rFonts w:hint="eastAsia" w:ascii="宋体" w:hAnsi="宋体" w:eastAsia="宋体" w:cs="宋体"/>
          <w:sz w:val="21"/>
          <w:szCs w:val="21"/>
        </w:rPr>
      </w:pPr>
      <w:r>
        <w:rPr>
          <w:rFonts w:hint="eastAsia" w:ascii="宋体" w:hAnsi="宋体" w:eastAsia="宋体" w:cs="宋体"/>
          <w:sz w:val="21"/>
          <w:szCs w:val="21"/>
        </w:rPr>
        <w:t>由于工艺调整以后各介质的流量、温度有明确的控制要求，故</w:t>
      </w:r>
      <w:r>
        <w:rPr>
          <w:rFonts w:hint="eastAsia" w:ascii="宋体" w:hAnsi="宋体" w:eastAsia="宋体" w:cs="宋体"/>
          <w:sz w:val="21"/>
          <w:szCs w:val="21"/>
          <w:lang w:val="en-US" w:eastAsia="zh-CN"/>
        </w:rPr>
        <w:t>对其中各</w:t>
      </w:r>
      <w:r>
        <w:rPr>
          <w:rFonts w:hint="eastAsia" w:ascii="宋体" w:hAnsi="宋体" w:eastAsia="宋体" w:cs="宋体"/>
          <w:sz w:val="21"/>
          <w:szCs w:val="21"/>
        </w:rPr>
        <w:t>介质的流量范围、换热器入口温度、换热器出口温度及相应的控制目标</w:t>
      </w:r>
      <w:r>
        <w:rPr>
          <w:rFonts w:hint="eastAsia" w:ascii="宋体" w:hAnsi="宋体" w:eastAsia="宋体" w:cs="宋体"/>
          <w:sz w:val="21"/>
          <w:szCs w:val="21"/>
          <w:lang w:val="en-US" w:eastAsia="zh-CN"/>
        </w:rPr>
        <w:t>作出要求，如下表所示</w:t>
      </w:r>
      <w:r>
        <w:rPr>
          <w:rFonts w:hint="eastAsia" w:ascii="宋体" w:hAnsi="宋体" w:eastAsia="宋体" w:cs="宋体"/>
          <w:sz w:val="21"/>
          <w:szCs w:val="21"/>
        </w:rPr>
        <w:t>：</w:t>
      </w:r>
    </w:p>
    <w:tbl>
      <w:tblPr>
        <w:tblStyle w:val="17"/>
        <w:tblW w:w="9246" w:type="dxa"/>
        <w:tblInd w:w="0" w:type="dxa"/>
        <w:tblBorders>
          <w:top w:val="double" w:color="000000" w:themeColor="text1" w:sz="6" w:space="0"/>
          <w:left w:val="double" w:color="000000" w:themeColor="text1" w:sz="6" w:space="0"/>
          <w:bottom w:val="double" w:color="000000" w:themeColor="text1" w:sz="6" w:space="0"/>
          <w:right w:val="double" w:color="000000" w:themeColor="text1" w:sz="6" w:space="0"/>
          <w:insideH w:val="single" w:color="000000" w:themeColor="text1" w:sz="2" w:space="0"/>
          <w:insideV w:val="single" w:color="000000" w:themeColor="text1" w:sz="2" w:space="0"/>
        </w:tblBorders>
        <w:tblLayout w:type="fixed"/>
        <w:tblCellMar>
          <w:top w:w="0" w:type="dxa"/>
          <w:left w:w="10" w:type="dxa"/>
          <w:bottom w:w="0" w:type="dxa"/>
          <w:right w:w="10" w:type="dxa"/>
        </w:tblCellMar>
      </w:tblPr>
      <w:tblGrid>
        <w:gridCol w:w="1784"/>
        <w:gridCol w:w="1770"/>
        <w:gridCol w:w="1853"/>
        <w:gridCol w:w="1827"/>
        <w:gridCol w:w="2012"/>
      </w:tblGrid>
      <w:tr w14:paraId="03374165">
        <w:tblPrEx>
          <w:tblBorders>
            <w:top w:val="double" w:color="000000" w:themeColor="text1" w:sz="6" w:space="0"/>
            <w:left w:val="double" w:color="000000" w:themeColor="text1" w:sz="6" w:space="0"/>
            <w:bottom w:val="double" w:color="000000" w:themeColor="text1" w:sz="6" w:space="0"/>
            <w:right w:val="double" w:color="000000" w:themeColor="text1" w:sz="6" w:space="0"/>
            <w:insideH w:val="single" w:color="000000" w:themeColor="text1" w:sz="2" w:space="0"/>
            <w:insideV w:val="single" w:color="000000" w:themeColor="text1" w:sz="2" w:space="0"/>
          </w:tblBorders>
          <w:tblCellMar>
            <w:top w:w="0" w:type="dxa"/>
            <w:left w:w="10" w:type="dxa"/>
            <w:bottom w:w="0" w:type="dxa"/>
            <w:right w:w="10" w:type="dxa"/>
          </w:tblCellMar>
        </w:tblPrEx>
        <w:tc>
          <w:tcPr>
            <w:tcW w:w="1784" w:type="dxa"/>
            <w:tcBorders>
              <w:tl2br w:val="nil"/>
              <w:tr2bl w:val="nil"/>
            </w:tcBorders>
            <w:tcMar>
              <w:top w:w="60" w:type="dxa"/>
              <w:left w:w="120" w:type="dxa"/>
              <w:bottom w:w="30" w:type="dxa"/>
              <w:right w:w="120" w:type="dxa"/>
            </w:tcMar>
            <w:vAlign w:val="center"/>
          </w:tcPr>
          <w:p w14:paraId="05769AAE">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换热介质</w:t>
            </w:r>
          </w:p>
        </w:tc>
        <w:tc>
          <w:tcPr>
            <w:tcW w:w="1770" w:type="dxa"/>
            <w:tcBorders>
              <w:tl2br w:val="nil"/>
              <w:tr2bl w:val="nil"/>
            </w:tcBorders>
            <w:tcMar>
              <w:top w:w="60" w:type="dxa"/>
              <w:left w:w="120" w:type="dxa"/>
              <w:bottom w:w="30" w:type="dxa"/>
              <w:right w:w="120" w:type="dxa"/>
            </w:tcMar>
            <w:vAlign w:val="center"/>
          </w:tcPr>
          <w:p w14:paraId="4B89FE51">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工作</w:t>
            </w:r>
            <w:r>
              <w:rPr>
                <w:rFonts w:hint="eastAsia" w:ascii="宋体" w:hAnsi="宋体" w:eastAsia="宋体" w:cs="宋体"/>
                <w:sz w:val="21"/>
                <w:szCs w:val="21"/>
              </w:rPr>
              <w:t>流量</w:t>
            </w:r>
          </w:p>
        </w:tc>
        <w:tc>
          <w:tcPr>
            <w:tcW w:w="1853" w:type="dxa"/>
            <w:tcBorders>
              <w:tl2br w:val="nil"/>
              <w:tr2bl w:val="nil"/>
            </w:tcBorders>
            <w:tcMar>
              <w:top w:w="60" w:type="dxa"/>
              <w:left w:w="120" w:type="dxa"/>
              <w:bottom w:w="30" w:type="dxa"/>
              <w:right w:w="120" w:type="dxa"/>
            </w:tcMar>
            <w:vAlign w:val="center"/>
          </w:tcPr>
          <w:p w14:paraId="26F86C94">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换热器入口温度</w:t>
            </w:r>
          </w:p>
        </w:tc>
        <w:tc>
          <w:tcPr>
            <w:tcW w:w="1827" w:type="dxa"/>
            <w:tcBorders>
              <w:tl2br w:val="nil"/>
              <w:tr2bl w:val="nil"/>
            </w:tcBorders>
            <w:tcMar>
              <w:top w:w="60" w:type="dxa"/>
              <w:left w:w="120" w:type="dxa"/>
              <w:bottom w:w="30" w:type="dxa"/>
              <w:right w:w="120" w:type="dxa"/>
            </w:tcMar>
            <w:vAlign w:val="center"/>
          </w:tcPr>
          <w:p w14:paraId="09FB180E">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换热器出口温度</w:t>
            </w:r>
          </w:p>
        </w:tc>
        <w:tc>
          <w:tcPr>
            <w:tcW w:w="2012" w:type="dxa"/>
            <w:tcBorders>
              <w:tl2br w:val="nil"/>
              <w:tr2bl w:val="nil"/>
            </w:tcBorders>
            <w:tcMar>
              <w:top w:w="60" w:type="dxa"/>
              <w:left w:w="120" w:type="dxa"/>
              <w:bottom w:w="30" w:type="dxa"/>
              <w:right w:w="120" w:type="dxa"/>
            </w:tcMar>
            <w:vAlign w:val="center"/>
          </w:tcPr>
          <w:p w14:paraId="27DC9835">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意义</w:t>
            </w:r>
          </w:p>
        </w:tc>
      </w:tr>
      <w:tr w14:paraId="154D5919">
        <w:tblPrEx>
          <w:tblBorders>
            <w:top w:val="double" w:color="000000" w:themeColor="text1" w:sz="6" w:space="0"/>
            <w:left w:val="double" w:color="000000" w:themeColor="text1" w:sz="6" w:space="0"/>
            <w:bottom w:val="double" w:color="000000" w:themeColor="text1" w:sz="6" w:space="0"/>
            <w:right w:val="double" w:color="000000" w:themeColor="text1" w:sz="6" w:space="0"/>
            <w:insideH w:val="single" w:color="000000" w:themeColor="text1" w:sz="2" w:space="0"/>
            <w:insideV w:val="single" w:color="000000" w:themeColor="text1" w:sz="2" w:space="0"/>
          </w:tblBorders>
          <w:tblCellMar>
            <w:top w:w="0" w:type="dxa"/>
            <w:left w:w="10" w:type="dxa"/>
            <w:bottom w:w="0" w:type="dxa"/>
            <w:right w:w="10" w:type="dxa"/>
          </w:tblCellMar>
        </w:tblPrEx>
        <w:tc>
          <w:tcPr>
            <w:tcW w:w="1784" w:type="dxa"/>
            <w:tcBorders>
              <w:tl2br w:val="nil"/>
              <w:tr2bl w:val="nil"/>
            </w:tcBorders>
            <w:tcMar>
              <w:top w:w="60" w:type="dxa"/>
              <w:left w:w="120" w:type="dxa"/>
              <w:bottom w:w="30" w:type="dxa"/>
              <w:right w:w="120" w:type="dxa"/>
            </w:tcMar>
            <w:vAlign w:val="center"/>
          </w:tcPr>
          <w:p w14:paraId="747A3F93">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脱盐水</w:t>
            </w:r>
          </w:p>
        </w:tc>
        <w:tc>
          <w:tcPr>
            <w:tcW w:w="1770" w:type="dxa"/>
            <w:tcBorders>
              <w:tl2br w:val="nil"/>
              <w:tr2bl w:val="nil"/>
            </w:tcBorders>
            <w:tcMar>
              <w:top w:w="60" w:type="dxa"/>
              <w:left w:w="120" w:type="dxa"/>
              <w:bottom w:w="30" w:type="dxa"/>
              <w:right w:w="120" w:type="dxa"/>
            </w:tcMar>
            <w:vAlign w:val="center"/>
          </w:tcPr>
          <w:p w14:paraId="721619DF">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0～1</w:t>
            </w:r>
            <w:r>
              <w:rPr>
                <w:rFonts w:hint="eastAsia" w:ascii="宋体" w:hAnsi="宋体" w:eastAsia="宋体" w:cs="宋体"/>
                <w:sz w:val="21"/>
                <w:szCs w:val="21"/>
                <w:lang w:val="en-US" w:eastAsia="zh-CN"/>
              </w:rPr>
              <w:t>2</w:t>
            </w:r>
            <w:r>
              <w:rPr>
                <w:rFonts w:hint="eastAsia" w:ascii="宋体" w:hAnsi="宋体" w:eastAsia="宋体" w:cs="宋体"/>
                <w:sz w:val="21"/>
                <w:szCs w:val="21"/>
              </w:rPr>
              <w:t>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m³/h</w:t>
            </w:r>
          </w:p>
        </w:tc>
        <w:tc>
          <w:tcPr>
            <w:tcW w:w="1853" w:type="dxa"/>
            <w:tcBorders>
              <w:tl2br w:val="nil"/>
              <w:tr2bl w:val="nil"/>
            </w:tcBorders>
            <w:tcMar>
              <w:top w:w="60" w:type="dxa"/>
              <w:left w:w="120" w:type="dxa"/>
              <w:bottom w:w="30" w:type="dxa"/>
              <w:right w:w="120" w:type="dxa"/>
            </w:tcMar>
            <w:vAlign w:val="center"/>
          </w:tcPr>
          <w:p w14:paraId="20DFE12D">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约30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tc>
        <w:tc>
          <w:tcPr>
            <w:tcW w:w="1827" w:type="dxa"/>
            <w:tcBorders>
              <w:tl2br w:val="nil"/>
              <w:tr2bl w:val="nil"/>
            </w:tcBorders>
            <w:tcMar>
              <w:top w:w="60" w:type="dxa"/>
              <w:left w:w="120" w:type="dxa"/>
              <w:bottom w:w="30" w:type="dxa"/>
              <w:right w:w="120" w:type="dxa"/>
            </w:tcMar>
            <w:vAlign w:val="center"/>
          </w:tcPr>
          <w:p w14:paraId="1F963066">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65℃±3</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tc>
        <w:tc>
          <w:tcPr>
            <w:tcW w:w="2012" w:type="dxa"/>
            <w:tcBorders>
              <w:tl2br w:val="nil"/>
              <w:tr2bl w:val="nil"/>
            </w:tcBorders>
            <w:tcMar>
              <w:top w:w="60" w:type="dxa"/>
              <w:left w:w="120" w:type="dxa"/>
              <w:bottom w:w="30" w:type="dxa"/>
              <w:right w:w="120" w:type="dxa"/>
            </w:tcMar>
            <w:vAlign w:val="center"/>
          </w:tcPr>
          <w:p w14:paraId="0E4D61FD">
            <w:pPr>
              <w:pStyle w:val="45"/>
              <w:pageBreakBefore w:val="0"/>
              <w:kinsoku/>
              <w:wordWrap/>
              <w:overflowPunct/>
              <w:topLinePunct w:val="0"/>
              <w:autoSpaceDE/>
              <w:autoSpaceDN/>
              <w:bidi w:val="0"/>
              <w:spacing w:before="0" w:after="0" w:line="40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提</w:t>
            </w:r>
            <w:r>
              <w:rPr>
                <w:rFonts w:hint="eastAsia" w:ascii="宋体" w:hAnsi="宋体" w:eastAsia="宋体" w:cs="宋体"/>
                <w:sz w:val="21"/>
                <w:szCs w:val="21"/>
                <w:lang w:val="en-US" w:eastAsia="zh-CN"/>
              </w:rPr>
              <w:t>高脱盐水</w:t>
            </w:r>
            <w:r>
              <w:rPr>
                <w:rFonts w:hint="eastAsia" w:ascii="宋体" w:hAnsi="宋体" w:eastAsia="宋体" w:cs="宋体"/>
                <w:sz w:val="21"/>
                <w:szCs w:val="21"/>
              </w:rPr>
              <w:t>温度，</w:t>
            </w:r>
            <w:r>
              <w:rPr>
                <w:rFonts w:hint="eastAsia" w:ascii="宋体" w:hAnsi="宋体" w:eastAsia="宋体" w:cs="宋体"/>
                <w:sz w:val="21"/>
                <w:szCs w:val="21"/>
                <w:lang w:val="en-US" w:eastAsia="zh-CN"/>
              </w:rPr>
              <w:t>节省除氧器消耗</w:t>
            </w:r>
          </w:p>
        </w:tc>
      </w:tr>
      <w:tr w14:paraId="7E767536">
        <w:tblPrEx>
          <w:tblBorders>
            <w:top w:val="double" w:color="000000" w:themeColor="text1" w:sz="6" w:space="0"/>
            <w:left w:val="double" w:color="000000" w:themeColor="text1" w:sz="6" w:space="0"/>
            <w:bottom w:val="double" w:color="000000" w:themeColor="text1" w:sz="6" w:space="0"/>
            <w:right w:val="double" w:color="000000" w:themeColor="text1" w:sz="6" w:space="0"/>
            <w:insideH w:val="single" w:color="000000" w:themeColor="text1" w:sz="2" w:space="0"/>
            <w:insideV w:val="single" w:color="000000" w:themeColor="text1" w:sz="2" w:space="0"/>
          </w:tblBorders>
          <w:tblCellMar>
            <w:top w:w="0" w:type="dxa"/>
            <w:left w:w="10" w:type="dxa"/>
            <w:bottom w:w="0" w:type="dxa"/>
            <w:right w:w="10" w:type="dxa"/>
          </w:tblCellMar>
        </w:tblPrEx>
        <w:tc>
          <w:tcPr>
            <w:tcW w:w="1784" w:type="dxa"/>
            <w:tcBorders>
              <w:tl2br w:val="nil"/>
              <w:tr2bl w:val="nil"/>
            </w:tcBorders>
            <w:tcMar>
              <w:top w:w="60" w:type="dxa"/>
              <w:left w:w="120" w:type="dxa"/>
              <w:bottom w:w="30" w:type="dxa"/>
              <w:right w:w="120" w:type="dxa"/>
            </w:tcMar>
            <w:vAlign w:val="center"/>
          </w:tcPr>
          <w:p w14:paraId="7370B808">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冷凝水</w:t>
            </w:r>
          </w:p>
        </w:tc>
        <w:tc>
          <w:tcPr>
            <w:tcW w:w="1770" w:type="dxa"/>
            <w:tcBorders>
              <w:tl2br w:val="nil"/>
              <w:tr2bl w:val="nil"/>
            </w:tcBorders>
            <w:tcMar>
              <w:top w:w="60" w:type="dxa"/>
              <w:left w:w="120" w:type="dxa"/>
              <w:bottom w:w="30" w:type="dxa"/>
              <w:right w:w="120" w:type="dxa"/>
            </w:tcMar>
            <w:vAlign w:val="center"/>
          </w:tcPr>
          <w:p w14:paraId="4721C4BE">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1</w:t>
            </w:r>
            <w:r>
              <w:rPr>
                <w:rFonts w:hint="eastAsia" w:ascii="宋体" w:hAnsi="宋体" w:eastAsia="宋体" w:cs="宋体"/>
                <w:sz w:val="21"/>
                <w:szCs w:val="21"/>
              </w:rPr>
              <w:t>0</w:t>
            </w:r>
            <w:r>
              <w:rPr>
                <w:rFonts w:hint="eastAsia" w:ascii="宋体" w:hAnsi="宋体" w:eastAsia="宋体" w:cs="宋体"/>
                <w:sz w:val="21"/>
                <w:szCs w:val="21"/>
                <w:lang w:val="en-US" w:eastAsia="zh-CN"/>
              </w:rPr>
              <w:t xml:space="preserve">～140 </w:t>
            </w:r>
            <w:r>
              <w:rPr>
                <w:rFonts w:hint="eastAsia" w:ascii="宋体" w:hAnsi="宋体" w:eastAsia="宋体" w:cs="宋体"/>
                <w:sz w:val="21"/>
                <w:szCs w:val="21"/>
              </w:rPr>
              <w:t>m³/h</w:t>
            </w:r>
          </w:p>
        </w:tc>
        <w:tc>
          <w:tcPr>
            <w:tcW w:w="1853" w:type="dxa"/>
            <w:tcBorders>
              <w:tl2br w:val="nil"/>
              <w:tr2bl w:val="nil"/>
            </w:tcBorders>
            <w:tcMar>
              <w:top w:w="60" w:type="dxa"/>
              <w:left w:w="120" w:type="dxa"/>
              <w:bottom w:w="30" w:type="dxa"/>
              <w:right w:w="120" w:type="dxa"/>
            </w:tcMar>
            <w:vAlign w:val="center"/>
          </w:tcPr>
          <w:p w14:paraId="7943570E">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100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tc>
        <w:tc>
          <w:tcPr>
            <w:tcW w:w="1827" w:type="dxa"/>
            <w:tcBorders>
              <w:tl2br w:val="nil"/>
              <w:tr2bl w:val="nil"/>
            </w:tcBorders>
            <w:tcMar>
              <w:top w:w="60" w:type="dxa"/>
              <w:left w:w="120" w:type="dxa"/>
              <w:bottom w:w="30" w:type="dxa"/>
              <w:right w:w="120" w:type="dxa"/>
            </w:tcMar>
            <w:vAlign w:val="center"/>
          </w:tcPr>
          <w:p w14:paraId="2A2D40BD">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80 </w:t>
            </w:r>
            <w:r>
              <w:rPr>
                <w:rFonts w:hint="eastAsia" w:ascii="宋体" w:hAnsi="宋体" w:eastAsia="宋体" w:cs="宋体"/>
                <w:sz w:val="21"/>
                <w:szCs w:val="21"/>
              </w:rPr>
              <w:t>℃</w:t>
            </w:r>
          </w:p>
        </w:tc>
        <w:tc>
          <w:tcPr>
            <w:tcW w:w="2012" w:type="dxa"/>
            <w:tcBorders>
              <w:tl2br w:val="nil"/>
              <w:tr2bl w:val="nil"/>
            </w:tcBorders>
            <w:tcMar>
              <w:top w:w="60" w:type="dxa"/>
              <w:left w:w="120" w:type="dxa"/>
              <w:bottom w:w="30" w:type="dxa"/>
              <w:right w:w="120" w:type="dxa"/>
            </w:tcMar>
            <w:vAlign w:val="center"/>
          </w:tcPr>
          <w:p w14:paraId="43231766">
            <w:pPr>
              <w:pStyle w:val="45"/>
              <w:pageBreakBefore w:val="0"/>
              <w:kinsoku/>
              <w:wordWrap/>
              <w:overflowPunct/>
              <w:topLinePunct w:val="0"/>
              <w:autoSpaceDE/>
              <w:autoSpaceDN/>
              <w:bidi w:val="0"/>
              <w:spacing w:before="0" w:after="0" w:line="400" w:lineRule="exact"/>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降低冷凝水温度</w:t>
            </w:r>
            <w:r>
              <w:rPr>
                <w:rFonts w:hint="eastAsia" w:ascii="宋体" w:hAnsi="宋体" w:eastAsia="宋体" w:cs="宋体"/>
                <w:sz w:val="21"/>
                <w:szCs w:val="21"/>
              </w:rPr>
              <w:t>，</w:t>
            </w:r>
            <w:r>
              <w:rPr>
                <w:rFonts w:hint="eastAsia" w:ascii="宋体" w:hAnsi="宋体" w:eastAsia="宋体" w:cs="宋体"/>
                <w:sz w:val="21"/>
                <w:szCs w:val="21"/>
                <w:lang w:val="en-US" w:eastAsia="zh-CN"/>
              </w:rPr>
              <w:t>保护混床内树脂</w:t>
            </w:r>
          </w:p>
        </w:tc>
      </w:tr>
    </w:tbl>
    <w:p w14:paraId="09EF2D4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2.2.3 管路及仪表调整</w:t>
      </w:r>
    </w:p>
    <w:p w14:paraId="039A0211">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仅对原有管路进行局部改接，具体调整内容：</w:t>
      </w:r>
    </w:p>
    <w:p w14:paraId="34F8AF1A">
      <w:pPr>
        <w:pStyle w:val="45"/>
        <w:pageBreakBefore w:val="0"/>
        <w:numPr>
          <w:ilvl w:val="0"/>
          <w:numId w:val="3"/>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断开板式换热器与硫酸循环水的进出口管路，用盲板封堵原接口；</w:t>
      </w:r>
    </w:p>
    <w:p w14:paraId="493F3806">
      <w:pPr>
        <w:pStyle w:val="45"/>
        <w:pageBreakBefore w:val="0"/>
        <w:numPr>
          <w:ilvl w:val="0"/>
          <w:numId w:val="3"/>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将新脱盐水泵出口管路引出分支，连接至板式换热器低温侧入口；</w:t>
      </w:r>
    </w:p>
    <w:p w14:paraId="5BF42562">
      <w:pPr>
        <w:pStyle w:val="45"/>
        <w:pageBreakBefore w:val="0"/>
        <w:numPr>
          <w:ilvl w:val="0"/>
          <w:numId w:val="3"/>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将板式换热器低温侧出口管路连接至除氧器入口主管道；</w:t>
      </w:r>
    </w:p>
    <w:p w14:paraId="25B1C67E">
      <w:pPr>
        <w:pStyle w:val="45"/>
        <w:pageBreakBefore w:val="0"/>
        <w:numPr>
          <w:ilvl w:val="0"/>
          <w:numId w:val="3"/>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保留原有温度、压力监测仪表，在新脱盐水出口及冷凝水出口新增 2 台温度监测仪，实时监控换热效果。</w:t>
      </w:r>
    </w:p>
    <w:p w14:paraId="580CC08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2.3 调整后工艺流程</w:t>
      </w:r>
    </w:p>
    <w:p w14:paraId="2EB394CE">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调整后的工艺流程如下：</w:t>
      </w:r>
    </w:p>
    <w:p w14:paraId="76CB2617">
      <w:pPr>
        <w:pStyle w:val="45"/>
        <w:pageBreakBefore w:val="0"/>
        <w:numPr>
          <w:ilvl w:val="0"/>
          <w:numId w:val="4"/>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新脱盐水泵输出的脱盐水（80～120 m³/h，约30 ℃）进入板式换热器低温侧流道；</w:t>
      </w:r>
    </w:p>
    <w:p w14:paraId="5D46EC95">
      <w:pPr>
        <w:pStyle w:val="45"/>
        <w:pageBreakBefore w:val="0"/>
        <w:numPr>
          <w:ilvl w:val="0"/>
          <w:numId w:val="4"/>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磷酸装置产生的冷凝水（110～140 m³/h，100～110 ℃）进入板式换热器高温侧流道；</w:t>
      </w:r>
    </w:p>
    <w:p w14:paraId="6DB0173D">
      <w:pPr>
        <w:pStyle w:val="45"/>
        <w:pageBreakBefore w:val="0"/>
        <w:numPr>
          <w:ilvl w:val="0"/>
          <w:numId w:val="4"/>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两种介质在换热器内呈逆流方式充分换热，新脱盐水吸收热量，冷凝水释放热量；</w:t>
      </w:r>
    </w:p>
    <w:p w14:paraId="37E2E086">
      <w:pPr>
        <w:pStyle w:val="45"/>
        <w:pageBreakBefore w:val="0"/>
        <w:numPr>
          <w:ilvl w:val="0"/>
          <w:numId w:val="4"/>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预热后的新脱盐水（65±3 ℃）从换热器流出，汇入除氧器入口主管道，与其他回收凝结水混合后进入除氧器；</w:t>
      </w:r>
    </w:p>
    <w:p w14:paraId="5ADBD950">
      <w:pPr>
        <w:pStyle w:val="45"/>
        <w:pageBreakBefore w:val="0"/>
        <w:numPr>
          <w:ilvl w:val="0"/>
          <w:numId w:val="4"/>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由于换热降温后的冷凝水（≤80 ℃）输送至冷凝水储存，满足混床进口温度要求，可进入高温混床中做脱盐处理；</w:t>
      </w:r>
    </w:p>
    <w:p w14:paraId="13ACF64E">
      <w:pPr>
        <w:pStyle w:val="45"/>
        <w:pageBreakBefore w:val="0"/>
        <w:numPr>
          <w:ilvl w:val="0"/>
          <w:numId w:val="4"/>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由于除氧器使用低压蒸汽将脱盐水加热至105～110 ℃并取得合格的处于昂效果，因此除氧后的除氧水可直接进入硫酸装置余热锅炉。</w:t>
      </w:r>
    </w:p>
    <w:p w14:paraId="79B3F07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 本次工艺调整实施与调试说明</w:t>
      </w:r>
    </w:p>
    <w:p w14:paraId="20662F8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 实施前做好充足的准备工作</w:t>
      </w:r>
    </w:p>
    <w:p w14:paraId="52DF10D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3.1.1 对设备进行检查</w:t>
      </w:r>
    </w:p>
    <w:p w14:paraId="1B8EC9C0">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全面检查板式换热器：先拆除清洗换热板片，出去原有结垢物；再检查密封垫片是否老化并及时更换密封垫片；最后对换热器进行水压试验（压力 1.8 MPa，保压 30 分钟），无渗漏现象，确保设备状态良好。</w:t>
      </w:r>
    </w:p>
    <w:p w14:paraId="031CE8E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3.1.2 做好管路准备工作</w:t>
      </w:r>
    </w:p>
    <w:p w14:paraId="020B9F44">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按照调整后的工艺流程预制不锈钢连接管路，先核对管路尺寸、法兰规格是否与原有设备相符，再准备好符合要求的密封垫片、螺栓、阀门诸种配件，确保材质均符合要求。</w:t>
      </w:r>
    </w:p>
    <w:p w14:paraId="402AB1E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3.1.3 对操作人员进行培训</w:t>
      </w:r>
    </w:p>
    <w:p w14:paraId="5CFD6BC9">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对操作和维护人员进行工艺调整后的专项培训，内容包括：调整后的流程变化、温度压力控制要点、异常情况处理方法等方面。目的是使操作人员掌握新流程的启停操作及参数监控要求。</w:t>
      </w:r>
    </w:p>
    <w:p w14:paraId="3BF7C23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 xml:space="preserve">3.2 实施过程控制 </w:t>
      </w:r>
    </w:p>
    <w:p w14:paraId="2A81F190">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本次工艺调整实施过程在装置小修期间进行，总计用时24 小时，实施过程未影响装置运行。具体步骤如下：</w:t>
      </w:r>
    </w:p>
    <w:p w14:paraId="731F15E7">
      <w:pPr>
        <w:pStyle w:val="45"/>
        <w:pageBreakBefore w:val="0"/>
        <w:numPr>
          <w:ilvl w:val="0"/>
          <w:numId w:val="5"/>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先关闭板式换热器原有进出口阀门，切断板式换热器与循环水系统之间的连接；</w:t>
      </w:r>
    </w:p>
    <w:p w14:paraId="193EE0EF">
      <w:pPr>
        <w:pStyle w:val="45"/>
        <w:pageBreakBefore w:val="0"/>
        <w:numPr>
          <w:ilvl w:val="0"/>
          <w:numId w:val="5"/>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拆除原有的循环水连接管路，安装新的脱盐水连接管路，然后进行焊接和密封；</w:t>
      </w:r>
    </w:p>
    <w:p w14:paraId="3C135D24">
      <w:pPr>
        <w:pStyle w:val="45"/>
        <w:pageBreakBefore w:val="0"/>
        <w:numPr>
          <w:ilvl w:val="0"/>
          <w:numId w:val="5"/>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先安装新增加的温度记录仪，再同步连接至中控操作系统，最后对仪表显示精度进行调试；</w:t>
      </w:r>
    </w:p>
    <w:p w14:paraId="25E84ED1">
      <w:pPr>
        <w:pStyle w:val="45"/>
        <w:pageBreakBefore w:val="0"/>
        <w:numPr>
          <w:ilvl w:val="0"/>
          <w:numId w:val="5"/>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对新连接的管路进行水压试验（试验压力1.5 MPa，保压20 分钟），经检查无渗漏，故认为试验合格。</w:t>
      </w:r>
    </w:p>
    <w:p w14:paraId="35698BB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3.3 进行系统性调试</w:t>
      </w:r>
    </w:p>
    <w:p w14:paraId="0D1C7D5F">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工艺调整后进行72 小时连续调试，主要调试内容说明如下：</w:t>
      </w:r>
    </w:p>
    <w:p w14:paraId="57B133E4">
      <w:pPr>
        <w:pStyle w:val="45"/>
        <w:pageBreakBefore w:val="0"/>
        <w:numPr>
          <w:ilvl w:val="0"/>
          <w:numId w:val="6"/>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流量匹配调试：调整脱盐水支路阀门开度，使进入换热器的流量稳定在80～120 m³/h，与冷凝水110～140 m³/h的流量达到最理想的换热比例；</w:t>
      </w:r>
    </w:p>
    <w:p w14:paraId="5E137DF2">
      <w:pPr>
        <w:pStyle w:val="45"/>
        <w:pageBreakBefore w:val="0"/>
        <w:numPr>
          <w:ilvl w:val="0"/>
          <w:numId w:val="6"/>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温度控制调试：对换热器进出口温度进行实时监测，通过微调脱盐水流量以确保脱盐水出口温度稳定在65 ℃左右，冷凝水出口温度≤80 ℃；</w:t>
      </w:r>
    </w:p>
    <w:p w14:paraId="0C73009F">
      <w:pPr>
        <w:pStyle w:val="45"/>
        <w:pageBreakBefore w:val="0"/>
        <w:numPr>
          <w:ilvl w:val="0"/>
          <w:numId w:val="6"/>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除氧效果验证：根据水样送检监测除氧器出口含氧量结果适当调整蒸汽阀门开度，确保含氧量≤15 μg/L；</w:t>
      </w:r>
    </w:p>
    <w:p w14:paraId="619A7B79">
      <w:pPr>
        <w:pStyle w:val="45"/>
        <w:pageBreakBefore w:val="0"/>
        <w:numPr>
          <w:ilvl w:val="0"/>
          <w:numId w:val="6"/>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混床运行监测：观察高温混床进出口压力、流量及出水水质等参数，确认混床正常运行。</w:t>
      </w:r>
    </w:p>
    <w:p w14:paraId="2C23E81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 工艺调整效果系统验证</w:t>
      </w:r>
    </w:p>
    <w:p w14:paraId="098C896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4.1 监测方案说明</w:t>
      </w:r>
    </w:p>
    <w:p w14:paraId="5BA57A07">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工艺调整后对系统进行了连续1年的运行监测（2025年1月～12月）并记录有关参数，监测的内容如下：</w:t>
      </w:r>
    </w:p>
    <w:p w14:paraId="492E3622">
      <w:pPr>
        <w:pStyle w:val="45"/>
        <w:pageBreakBefore w:val="0"/>
        <w:numPr>
          <w:ilvl w:val="0"/>
          <w:numId w:val="7"/>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温度监测：每小时记录1次换热器进出口（脱盐水侧、冷凝水侧）温度并统计平均值，观察温度变化趋势；</w:t>
      </w:r>
    </w:p>
    <w:p w14:paraId="5CC22217">
      <w:pPr>
        <w:pStyle w:val="45"/>
        <w:pageBreakBefore w:val="0"/>
        <w:numPr>
          <w:ilvl w:val="0"/>
          <w:numId w:val="7"/>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蒸汽消耗监测：使用蒸汽流量计连续记录除氧器的蒸汽消耗量并统计小时平均消耗量，观察蒸汽消耗量的变化趋势；</w:t>
      </w:r>
    </w:p>
    <w:p w14:paraId="208C9AD4">
      <w:pPr>
        <w:pStyle w:val="45"/>
        <w:pageBreakBefore w:val="0"/>
        <w:numPr>
          <w:ilvl w:val="0"/>
          <w:numId w:val="7"/>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除氧水水质监测：每周取样2次，检测除氧水中的含氧量（确保≤15 μg/L）；</w:t>
      </w:r>
    </w:p>
    <w:p w14:paraId="5D30C7A2">
      <w:pPr>
        <w:pStyle w:val="45"/>
        <w:pageBreakBefore w:val="0"/>
        <w:numPr>
          <w:ilvl w:val="0"/>
          <w:numId w:val="7"/>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定期安排设备检测：每月测定一次树脂交换容量，每周检查一次高温混床运行情况，记录树脂颜色及混床进出口压力；每天检查板式换热器、管路、仪表的运行状况，及时记录泄漏、异响等异常情况。</w:t>
      </w:r>
    </w:p>
    <w:p w14:paraId="270030D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4.2 从温度控制方面论证调整效果</w:t>
      </w:r>
    </w:p>
    <w:p w14:paraId="066C1E5D">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根据监测数据显示，可判定为换热效果稳定达标：</w:t>
      </w:r>
    </w:p>
    <w:p w14:paraId="48AF2312">
      <w:pPr>
        <w:pStyle w:val="45"/>
        <w:pageBreakBefore w:val="0"/>
        <w:numPr>
          <w:ilvl w:val="0"/>
          <w:numId w:val="8"/>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脱盐水温度：进入换热器平均温度为30 ℃，出口温度平均为64 ℃（最高值为68 ℃、最低值为60 ℃），温度提升幅度平均为34 ℃，完全达到预热目的；</w:t>
      </w:r>
    </w:p>
    <w:p w14:paraId="23D20951">
      <w:pPr>
        <w:pStyle w:val="45"/>
        <w:pageBreakBefore w:val="0"/>
        <w:numPr>
          <w:ilvl w:val="0"/>
          <w:numId w:val="8"/>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冷凝水温度：进入换热器的平均温度为110 ℃，出口温度平均为76 ℃（最高值为80 ℃、最低值为72 ℃），均控制在80 ℃以下，符合高温混床入口温度的要求。</w:t>
      </w:r>
    </w:p>
    <w:p w14:paraId="265F5CA1">
      <w:pPr>
        <w:pStyle w:val="45"/>
        <w:pageBreakBefore w:val="0"/>
        <w:numPr>
          <w:ilvl w:val="0"/>
          <w:numId w:val="8"/>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与原有工艺相比：冷凝水降温效果较原有工艺更加稳定，可避免环境温度对换热效果的影响。</w:t>
      </w:r>
    </w:p>
    <w:p w14:paraId="4E8BC00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4.3 从蒸汽消耗量方面论证调整后的节约效果</w:t>
      </w:r>
    </w:p>
    <w:p w14:paraId="1DFBBC8D">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工艺调整前后除氧器的蒸汽消耗量对比情况如下表所示：</w:t>
      </w:r>
    </w:p>
    <w:tbl>
      <w:tblPr>
        <w:tblStyle w:val="17"/>
        <w:tblW w:w="9028" w:type="dxa"/>
        <w:tblInd w:w="0" w:type="dxa"/>
        <w:tblBorders>
          <w:top w:val="double" w:color="000000" w:themeColor="text1" w:sz="6" w:space="0"/>
          <w:left w:val="double" w:color="000000" w:themeColor="text1" w:sz="6" w:space="0"/>
          <w:bottom w:val="double" w:color="000000" w:themeColor="text1" w:sz="6" w:space="0"/>
          <w:right w:val="double" w:color="000000" w:themeColor="text1" w:sz="6" w:space="0"/>
          <w:insideH w:val="single" w:color="000000" w:themeColor="text1" w:sz="2" w:space="0"/>
          <w:insideV w:val="single" w:color="000000" w:themeColor="text1" w:sz="2" w:space="0"/>
        </w:tblBorders>
        <w:tblLayout w:type="fixed"/>
        <w:tblCellMar>
          <w:top w:w="0" w:type="dxa"/>
          <w:left w:w="10" w:type="dxa"/>
          <w:bottom w:w="0" w:type="dxa"/>
          <w:right w:w="10" w:type="dxa"/>
        </w:tblCellMar>
      </w:tblPr>
      <w:tblGrid>
        <w:gridCol w:w="1667"/>
        <w:gridCol w:w="1510"/>
        <w:gridCol w:w="1100"/>
        <w:gridCol w:w="1220"/>
        <w:gridCol w:w="1240"/>
        <w:gridCol w:w="1260"/>
        <w:gridCol w:w="1031"/>
      </w:tblGrid>
      <w:tr w14:paraId="0F9055D5">
        <w:tblPrEx>
          <w:tblBorders>
            <w:top w:val="double" w:color="000000" w:themeColor="text1" w:sz="6" w:space="0"/>
            <w:left w:val="double" w:color="000000" w:themeColor="text1" w:sz="6" w:space="0"/>
            <w:bottom w:val="double" w:color="000000" w:themeColor="text1" w:sz="6" w:space="0"/>
            <w:right w:val="double" w:color="000000" w:themeColor="text1" w:sz="6"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1759" w:hRule="atLeast"/>
        </w:trPr>
        <w:tc>
          <w:tcPr>
            <w:tcW w:w="1667" w:type="dxa"/>
            <w:tcBorders>
              <w:tl2br w:val="nil"/>
              <w:tr2bl w:val="nil"/>
            </w:tcBorders>
            <w:tcMar>
              <w:top w:w="60" w:type="dxa"/>
              <w:left w:w="120" w:type="dxa"/>
              <w:bottom w:w="30" w:type="dxa"/>
              <w:right w:w="120" w:type="dxa"/>
            </w:tcMar>
            <w:vAlign w:val="center"/>
          </w:tcPr>
          <w:p w14:paraId="7CF7EC7E">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监测时段</w:t>
            </w:r>
          </w:p>
        </w:tc>
        <w:tc>
          <w:tcPr>
            <w:tcW w:w="1510" w:type="dxa"/>
            <w:tcBorders>
              <w:tl2br w:val="nil"/>
              <w:tr2bl w:val="nil"/>
            </w:tcBorders>
            <w:tcMar>
              <w:top w:w="60" w:type="dxa"/>
              <w:left w:w="120" w:type="dxa"/>
              <w:bottom w:w="30" w:type="dxa"/>
              <w:right w:w="120" w:type="dxa"/>
            </w:tcMar>
            <w:vAlign w:val="center"/>
          </w:tcPr>
          <w:p w14:paraId="34D713F1">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rPr>
              <w:t>新脱盐水流量</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平均值</w:t>
            </w:r>
            <w:r>
              <w:rPr>
                <w:rFonts w:hint="eastAsia" w:ascii="宋体" w:hAnsi="宋体" w:eastAsia="宋体" w:cs="宋体"/>
                <w:sz w:val="21"/>
                <w:szCs w:val="21"/>
                <w:lang w:eastAsia="zh-CN"/>
              </w:rPr>
              <w:t>）</w:t>
            </w:r>
          </w:p>
          <w:p w14:paraId="7710F2BC">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（m³/h）</w:t>
            </w:r>
          </w:p>
        </w:tc>
        <w:tc>
          <w:tcPr>
            <w:tcW w:w="1100" w:type="dxa"/>
            <w:tcBorders>
              <w:tl2br w:val="nil"/>
              <w:tr2bl w:val="nil"/>
            </w:tcBorders>
            <w:tcMar>
              <w:top w:w="60" w:type="dxa"/>
              <w:left w:w="120" w:type="dxa"/>
              <w:bottom w:w="30" w:type="dxa"/>
              <w:right w:w="120" w:type="dxa"/>
            </w:tcMar>
            <w:vAlign w:val="center"/>
          </w:tcPr>
          <w:p w14:paraId="33024191">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除氧器进口水温</w:t>
            </w:r>
          </w:p>
          <w:p w14:paraId="77B901C1">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220" w:type="dxa"/>
            <w:tcBorders>
              <w:tl2br w:val="nil"/>
              <w:tr2bl w:val="nil"/>
            </w:tcBorders>
            <w:tcMar>
              <w:top w:w="60" w:type="dxa"/>
              <w:left w:w="120" w:type="dxa"/>
              <w:bottom w:w="30" w:type="dxa"/>
              <w:right w:w="120" w:type="dxa"/>
            </w:tcMar>
            <w:vAlign w:val="center"/>
          </w:tcPr>
          <w:p w14:paraId="1F6EEA48">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除氧器出口水温</w:t>
            </w:r>
          </w:p>
          <w:p w14:paraId="5270F996">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240" w:type="dxa"/>
            <w:tcBorders>
              <w:tl2br w:val="nil"/>
              <w:tr2bl w:val="nil"/>
            </w:tcBorders>
            <w:tcMar>
              <w:top w:w="60" w:type="dxa"/>
              <w:left w:w="120" w:type="dxa"/>
              <w:bottom w:w="30" w:type="dxa"/>
              <w:right w:w="120" w:type="dxa"/>
            </w:tcMar>
            <w:vAlign w:val="center"/>
          </w:tcPr>
          <w:p w14:paraId="5CD061FC">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平均蒸汽消耗量（t/h）</w:t>
            </w:r>
          </w:p>
        </w:tc>
        <w:tc>
          <w:tcPr>
            <w:tcW w:w="1260" w:type="dxa"/>
            <w:tcBorders>
              <w:tl2br w:val="nil"/>
              <w:tr2bl w:val="nil"/>
            </w:tcBorders>
            <w:tcMar>
              <w:top w:w="60" w:type="dxa"/>
              <w:left w:w="120" w:type="dxa"/>
              <w:bottom w:w="30" w:type="dxa"/>
              <w:right w:w="120" w:type="dxa"/>
            </w:tcMar>
            <w:vAlign w:val="center"/>
          </w:tcPr>
          <w:p w14:paraId="2F103CFD">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单位蒸汽消耗</w:t>
            </w:r>
          </w:p>
          <w:p w14:paraId="4306F0E5">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（t/t水）</w:t>
            </w:r>
          </w:p>
        </w:tc>
        <w:tc>
          <w:tcPr>
            <w:tcW w:w="1031" w:type="dxa"/>
            <w:tcBorders>
              <w:tl2br w:val="nil"/>
              <w:tr2bl w:val="nil"/>
            </w:tcBorders>
            <w:tcMar>
              <w:top w:w="60" w:type="dxa"/>
              <w:left w:w="120" w:type="dxa"/>
              <w:bottom w:w="30" w:type="dxa"/>
              <w:right w:w="120" w:type="dxa"/>
            </w:tcMar>
            <w:vAlign w:val="center"/>
          </w:tcPr>
          <w:p w14:paraId="3932DABA">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蒸汽消耗降幅</w:t>
            </w:r>
          </w:p>
        </w:tc>
      </w:tr>
      <w:tr w14:paraId="6618BA15">
        <w:tblPrEx>
          <w:tblBorders>
            <w:top w:val="double" w:color="000000" w:themeColor="text1" w:sz="6" w:space="0"/>
            <w:left w:val="double" w:color="000000" w:themeColor="text1" w:sz="6" w:space="0"/>
            <w:bottom w:val="double" w:color="000000" w:themeColor="text1" w:sz="6" w:space="0"/>
            <w:right w:val="double" w:color="000000" w:themeColor="text1" w:sz="6"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1290" w:hRule="atLeast"/>
        </w:trPr>
        <w:tc>
          <w:tcPr>
            <w:tcW w:w="1667" w:type="dxa"/>
            <w:tcBorders>
              <w:tl2br w:val="nil"/>
              <w:tr2bl w:val="nil"/>
            </w:tcBorders>
            <w:tcMar>
              <w:top w:w="60" w:type="dxa"/>
              <w:left w:w="120" w:type="dxa"/>
              <w:bottom w:w="30" w:type="dxa"/>
              <w:right w:w="120" w:type="dxa"/>
            </w:tcMar>
            <w:vAlign w:val="center"/>
          </w:tcPr>
          <w:p w14:paraId="675C538F">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调整</w:t>
            </w:r>
            <w:r>
              <w:rPr>
                <w:rFonts w:hint="eastAsia" w:ascii="宋体" w:hAnsi="宋体" w:eastAsia="宋体" w:cs="宋体"/>
                <w:sz w:val="21"/>
                <w:szCs w:val="21"/>
                <w:lang w:val="en-US" w:eastAsia="zh-CN"/>
              </w:rPr>
              <w:t>前</w:t>
            </w:r>
            <w:r>
              <w:rPr>
                <w:rFonts w:hint="eastAsia" w:ascii="宋体" w:hAnsi="宋体" w:eastAsia="宋体" w:cs="宋体"/>
                <w:sz w:val="21"/>
                <w:szCs w:val="21"/>
              </w:rPr>
              <w:t>（2024.1-</w:t>
            </w:r>
            <w:r>
              <w:rPr>
                <w:rFonts w:hint="eastAsia" w:ascii="宋体" w:hAnsi="宋体" w:eastAsia="宋体" w:cs="宋体"/>
                <w:sz w:val="21"/>
                <w:szCs w:val="21"/>
                <w:lang w:val="en-US" w:eastAsia="zh-CN"/>
              </w:rPr>
              <w:t>12</w:t>
            </w:r>
            <w:r>
              <w:rPr>
                <w:rFonts w:hint="eastAsia" w:ascii="宋体" w:hAnsi="宋体" w:eastAsia="宋体" w:cs="宋体"/>
                <w:sz w:val="21"/>
                <w:szCs w:val="21"/>
              </w:rPr>
              <w:t>）</w:t>
            </w:r>
          </w:p>
        </w:tc>
        <w:tc>
          <w:tcPr>
            <w:tcW w:w="1510" w:type="dxa"/>
            <w:tcBorders>
              <w:tl2br w:val="nil"/>
              <w:tr2bl w:val="nil"/>
            </w:tcBorders>
            <w:tcMar>
              <w:top w:w="60" w:type="dxa"/>
              <w:left w:w="120" w:type="dxa"/>
              <w:bottom w:w="30" w:type="dxa"/>
              <w:right w:w="120" w:type="dxa"/>
            </w:tcMar>
            <w:vAlign w:val="center"/>
          </w:tcPr>
          <w:p w14:paraId="41783BFE">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11</w:t>
            </w:r>
            <w:r>
              <w:rPr>
                <w:rFonts w:hint="eastAsia" w:ascii="宋体" w:hAnsi="宋体" w:eastAsia="宋体" w:cs="宋体"/>
                <w:sz w:val="21"/>
                <w:szCs w:val="21"/>
                <w:lang w:val="en-US" w:eastAsia="zh-CN"/>
              </w:rPr>
              <w:t>0</w:t>
            </w:r>
          </w:p>
        </w:tc>
        <w:tc>
          <w:tcPr>
            <w:tcW w:w="1100" w:type="dxa"/>
            <w:tcBorders>
              <w:tl2br w:val="nil"/>
              <w:tr2bl w:val="nil"/>
            </w:tcBorders>
            <w:tcMar>
              <w:top w:w="60" w:type="dxa"/>
              <w:left w:w="120" w:type="dxa"/>
              <w:bottom w:w="30" w:type="dxa"/>
              <w:right w:w="120" w:type="dxa"/>
            </w:tcMar>
            <w:vAlign w:val="center"/>
          </w:tcPr>
          <w:p w14:paraId="11F0B7BC">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30.2</w:t>
            </w:r>
          </w:p>
        </w:tc>
        <w:tc>
          <w:tcPr>
            <w:tcW w:w="1220" w:type="dxa"/>
            <w:tcBorders>
              <w:tl2br w:val="nil"/>
              <w:tr2bl w:val="nil"/>
            </w:tcBorders>
            <w:tcMar>
              <w:top w:w="60" w:type="dxa"/>
              <w:left w:w="120" w:type="dxa"/>
              <w:bottom w:w="30" w:type="dxa"/>
              <w:right w:w="120" w:type="dxa"/>
            </w:tcMar>
            <w:vAlign w:val="center"/>
          </w:tcPr>
          <w:p w14:paraId="13D6DF9D">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10</w:t>
            </w:r>
            <w:r>
              <w:rPr>
                <w:rFonts w:hint="eastAsia" w:ascii="宋体" w:hAnsi="宋体" w:eastAsia="宋体" w:cs="宋体"/>
                <w:sz w:val="21"/>
                <w:szCs w:val="21"/>
                <w:lang w:val="en-US" w:eastAsia="zh-CN"/>
              </w:rPr>
              <w:t>8</w:t>
            </w:r>
          </w:p>
        </w:tc>
        <w:tc>
          <w:tcPr>
            <w:tcW w:w="1240" w:type="dxa"/>
            <w:tcBorders>
              <w:tl2br w:val="nil"/>
              <w:tr2bl w:val="nil"/>
            </w:tcBorders>
            <w:tcMar>
              <w:top w:w="60" w:type="dxa"/>
              <w:left w:w="120" w:type="dxa"/>
              <w:bottom w:w="30" w:type="dxa"/>
              <w:right w:w="120" w:type="dxa"/>
            </w:tcMar>
            <w:vAlign w:val="center"/>
          </w:tcPr>
          <w:p w14:paraId="722E51EC">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15.0</w:t>
            </w:r>
          </w:p>
        </w:tc>
        <w:tc>
          <w:tcPr>
            <w:tcW w:w="1260" w:type="dxa"/>
            <w:tcBorders>
              <w:tl2br w:val="nil"/>
              <w:tr2bl w:val="nil"/>
            </w:tcBorders>
            <w:tcMar>
              <w:top w:w="60" w:type="dxa"/>
              <w:left w:w="120" w:type="dxa"/>
              <w:bottom w:w="30" w:type="dxa"/>
              <w:right w:w="120" w:type="dxa"/>
            </w:tcMar>
            <w:vAlign w:val="center"/>
          </w:tcPr>
          <w:p w14:paraId="6AC798B9">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0.130</w:t>
            </w:r>
          </w:p>
        </w:tc>
        <w:tc>
          <w:tcPr>
            <w:tcW w:w="1031" w:type="dxa"/>
            <w:tcBorders>
              <w:tl2br w:val="nil"/>
              <w:tr2bl w:val="nil"/>
            </w:tcBorders>
            <w:tcMar>
              <w:top w:w="60" w:type="dxa"/>
              <w:left w:w="120" w:type="dxa"/>
              <w:bottom w:w="30" w:type="dxa"/>
              <w:right w:w="120" w:type="dxa"/>
            </w:tcMar>
            <w:vAlign w:val="center"/>
          </w:tcPr>
          <w:p w14:paraId="363F8B3F">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09BD75C3">
        <w:tblPrEx>
          <w:tblBorders>
            <w:top w:val="double" w:color="000000" w:themeColor="text1" w:sz="6" w:space="0"/>
            <w:left w:val="double" w:color="000000" w:themeColor="text1" w:sz="6" w:space="0"/>
            <w:bottom w:val="double" w:color="000000" w:themeColor="text1" w:sz="6" w:space="0"/>
            <w:right w:val="double" w:color="000000" w:themeColor="text1" w:sz="6" w:space="0"/>
            <w:insideH w:val="single" w:color="000000" w:themeColor="text1" w:sz="2" w:space="0"/>
            <w:insideV w:val="single" w:color="000000" w:themeColor="text1" w:sz="2" w:space="0"/>
          </w:tblBorders>
          <w:tblCellMar>
            <w:top w:w="0" w:type="dxa"/>
            <w:left w:w="10" w:type="dxa"/>
            <w:bottom w:w="0" w:type="dxa"/>
            <w:right w:w="10" w:type="dxa"/>
          </w:tblCellMar>
        </w:tblPrEx>
        <w:tc>
          <w:tcPr>
            <w:tcW w:w="1667" w:type="dxa"/>
            <w:tcBorders>
              <w:tl2br w:val="nil"/>
              <w:tr2bl w:val="nil"/>
            </w:tcBorders>
            <w:tcMar>
              <w:top w:w="60" w:type="dxa"/>
              <w:left w:w="120" w:type="dxa"/>
              <w:bottom w:w="30" w:type="dxa"/>
              <w:right w:w="120" w:type="dxa"/>
            </w:tcMar>
            <w:vAlign w:val="center"/>
          </w:tcPr>
          <w:p w14:paraId="0234BAEB">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调整后（202</w:t>
            </w:r>
            <w:r>
              <w:rPr>
                <w:rFonts w:hint="eastAsia" w:ascii="宋体" w:hAnsi="宋体" w:eastAsia="宋体" w:cs="宋体"/>
                <w:sz w:val="21"/>
                <w:szCs w:val="21"/>
                <w:lang w:val="en-US" w:eastAsia="zh-CN"/>
              </w:rPr>
              <w:t>5</w:t>
            </w:r>
            <w:r>
              <w:rPr>
                <w:rFonts w:hint="eastAsia" w:ascii="宋体" w:hAnsi="宋体" w:eastAsia="宋体" w:cs="宋体"/>
                <w:sz w:val="21"/>
                <w:szCs w:val="21"/>
              </w:rPr>
              <w:t>.</w:t>
            </w:r>
            <w:r>
              <w:rPr>
                <w:rFonts w:hint="eastAsia" w:ascii="宋体" w:hAnsi="宋体" w:eastAsia="宋体" w:cs="宋体"/>
                <w:sz w:val="21"/>
                <w:szCs w:val="21"/>
                <w:lang w:val="en-US" w:eastAsia="zh-CN"/>
              </w:rPr>
              <w:t>1</w:t>
            </w:r>
            <w:r>
              <w:rPr>
                <w:rFonts w:hint="eastAsia" w:ascii="宋体" w:hAnsi="宋体" w:eastAsia="宋体" w:cs="宋体"/>
                <w:sz w:val="21"/>
                <w:szCs w:val="21"/>
              </w:rPr>
              <w:t>-1</w:t>
            </w:r>
            <w:r>
              <w:rPr>
                <w:rFonts w:hint="eastAsia" w:ascii="宋体" w:hAnsi="宋体" w:eastAsia="宋体" w:cs="宋体"/>
                <w:sz w:val="21"/>
                <w:szCs w:val="21"/>
                <w:lang w:val="en-US" w:eastAsia="zh-CN"/>
              </w:rPr>
              <w:t>2</w:t>
            </w:r>
            <w:r>
              <w:rPr>
                <w:rFonts w:hint="eastAsia" w:ascii="宋体" w:hAnsi="宋体" w:eastAsia="宋体" w:cs="宋体"/>
                <w:sz w:val="21"/>
                <w:szCs w:val="21"/>
              </w:rPr>
              <w:t>）</w:t>
            </w:r>
          </w:p>
        </w:tc>
        <w:tc>
          <w:tcPr>
            <w:tcW w:w="1510" w:type="dxa"/>
            <w:tcBorders>
              <w:tl2br w:val="nil"/>
              <w:tr2bl w:val="nil"/>
            </w:tcBorders>
            <w:tcMar>
              <w:top w:w="60" w:type="dxa"/>
              <w:left w:w="120" w:type="dxa"/>
              <w:bottom w:w="30" w:type="dxa"/>
              <w:right w:w="120" w:type="dxa"/>
            </w:tcMar>
            <w:vAlign w:val="center"/>
          </w:tcPr>
          <w:p w14:paraId="30C7A37F">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11</w:t>
            </w:r>
            <w:r>
              <w:rPr>
                <w:rFonts w:hint="eastAsia" w:ascii="宋体" w:hAnsi="宋体" w:eastAsia="宋体" w:cs="宋体"/>
                <w:sz w:val="21"/>
                <w:szCs w:val="21"/>
                <w:lang w:val="en-US" w:eastAsia="zh-CN"/>
              </w:rPr>
              <w:t>5</w:t>
            </w:r>
          </w:p>
        </w:tc>
        <w:tc>
          <w:tcPr>
            <w:tcW w:w="1100" w:type="dxa"/>
            <w:tcBorders>
              <w:tl2br w:val="nil"/>
              <w:tr2bl w:val="nil"/>
            </w:tcBorders>
            <w:tcMar>
              <w:top w:w="60" w:type="dxa"/>
              <w:left w:w="120" w:type="dxa"/>
              <w:bottom w:w="30" w:type="dxa"/>
              <w:right w:w="120" w:type="dxa"/>
            </w:tcMar>
            <w:vAlign w:val="center"/>
          </w:tcPr>
          <w:p w14:paraId="043F1BDC">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6</w:t>
            </w:r>
            <w:r>
              <w:rPr>
                <w:rFonts w:hint="eastAsia" w:ascii="宋体" w:hAnsi="宋体" w:eastAsia="宋体" w:cs="宋体"/>
                <w:sz w:val="21"/>
                <w:szCs w:val="21"/>
                <w:lang w:val="en-US" w:eastAsia="zh-CN"/>
              </w:rPr>
              <w:t>4</w:t>
            </w:r>
          </w:p>
        </w:tc>
        <w:tc>
          <w:tcPr>
            <w:tcW w:w="1220" w:type="dxa"/>
            <w:tcBorders>
              <w:tl2br w:val="nil"/>
              <w:tr2bl w:val="nil"/>
            </w:tcBorders>
            <w:tcMar>
              <w:top w:w="60" w:type="dxa"/>
              <w:left w:w="120" w:type="dxa"/>
              <w:bottom w:w="30" w:type="dxa"/>
              <w:right w:w="120" w:type="dxa"/>
            </w:tcMar>
            <w:vAlign w:val="center"/>
          </w:tcPr>
          <w:p w14:paraId="0373E1B8">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10</w:t>
            </w:r>
            <w:r>
              <w:rPr>
                <w:rFonts w:hint="eastAsia" w:ascii="宋体" w:hAnsi="宋体" w:eastAsia="宋体" w:cs="宋体"/>
                <w:sz w:val="21"/>
                <w:szCs w:val="21"/>
                <w:lang w:val="en-US" w:eastAsia="zh-CN"/>
              </w:rPr>
              <w:t>6</w:t>
            </w:r>
          </w:p>
        </w:tc>
        <w:tc>
          <w:tcPr>
            <w:tcW w:w="1240" w:type="dxa"/>
            <w:tcBorders>
              <w:tl2br w:val="nil"/>
              <w:tr2bl w:val="nil"/>
            </w:tcBorders>
            <w:tcMar>
              <w:top w:w="60" w:type="dxa"/>
              <w:left w:w="120" w:type="dxa"/>
              <w:bottom w:w="30" w:type="dxa"/>
              <w:right w:w="120" w:type="dxa"/>
            </w:tcMar>
            <w:vAlign w:val="center"/>
          </w:tcPr>
          <w:p w14:paraId="53B68E66">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6.</w:t>
            </w:r>
            <w:r>
              <w:rPr>
                <w:rFonts w:hint="eastAsia" w:ascii="宋体" w:hAnsi="宋体" w:eastAsia="宋体" w:cs="宋体"/>
                <w:sz w:val="21"/>
                <w:szCs w:val="21"/>
                <w:lang w:val="en-US" w:eastAsia="zh-CN"/>
              </w:rPr>
              <w:t>5</w:t>
            </w:r>
          </w:p>
        </w:tc>
        <w:tc>
          <w:tcPr>
            <w:tcW w:w="1260" w:type="dxa"/>
            <w:tcBorders>
              <w:tl2br w:val="nil"/>
              <w:tr2bl w:val="nil"/>
            </w:tcBorders>
            <w:tcMar>
              <w:top w:w="60" w:type="dxa"/>
              <w:left w:w="120" w:type="dxa"/>
              <w:bottom w:w="30" w:type="dxa"/>
              <w:right w:w="120" w:type="dxa"/>
            </w:tcMar>
            <w:vAlign w:val="center"/>
          </w:tcPr>
          <w:p w14:paraId="7B650D54">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0.061</w:t>
            </w:r>
          </w:p>
        </w:tc>
        <w:tc>
          <w:tcPr>
            <w:tcW w:w="1031" w:type="dxa"/>
            <w:tcBorders>
              <w:tl2br w:val="nil"/>
              <w:tr2bl w:val="nil"/>
            </w:tcBorders>
            <w:tcMar>
              <w:top w:w="60" w:type="dxa"/>
              <w:left w:w="120" w:type="dxa"/>
              <w:bottom w:w="30" w:type="dxa"/>
              <w:right w:w="120" w:type="dxa"/>
            </w:tcMar>
            <w:vAlign w:val="center"/>
          </w:tcPr>
          <w:p w14:paraId="387BDEB7">
            <w:pPr>
              <w:pStyle w:val="45"/>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54.7%</w:t>
            </w:r>
          </w:p>
        </w:tc>
      </w:tr>
    </w:tbl>
    <w:p w14:paraId="66D948B8">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从上表中可以看出，工艺调整后蒸汽的消耗量得到显著的降低；平均每小时消耗量从15.0 t降至6.8 t，降幅达54.7%；单位蒸汽消耗（每吨脱盐水所需蒸汽量）从0.130 t降至0.061 t，降幅达53.1%。</w:t>
      </w:r>
    </w:p>
    <w:p w14:paraId="0F688FF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4.4 从除氧水水质方面论证</w:t>
      </w:r>
    </w:p>
    <w:p w14:paraId="19F0AAD7">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每周取样送检的监测结果显示，除氧水的含氧量平均值为11 μg/L，最高值为15 μg/L，最低值为8 μg/L，均满足≤15 μg/L的使用要求；这表明新脱盐水预热后进入除氧器，并未影响其除氧效果。证明了除氧器在蒸汽消耗量大幅下降的情况下，依然能有效去除水中溶解氧。</w:t>
      </w:r>
    </w:p>
    <w:p w14:paraId="345CC76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4.5 从设备运行效果方面论证</w:t>
      </w:r>
    </w:p>
    <w:p w14:paraId="3964A565">
      <w:pPr>
        <w:pStyle w:val="45"/>
        <w:pageBreakBefore w:val="0"/>
        <w:numPr>
          <w:ilvl w:val="0"/>
          <w:numId w:val="9"/>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工艺调整后冷凝水入口温度稳定在80 ℃以下（未出现超温情况），高温混床树脂颜色保持均匀淡黄色（原有工艺后期树脂呈深褐色），树脂交换容量维持在设计值的95%以上（原有工艺1年后交换容量已降至80%以下）；</w:t>
      </w:r>
    </w:p>
    <w:p w14:paraId="61070BA4">
      <w:pPr>
        <w:pStyle w:val="45"/>
        <w:pageBreakBefore w:val="0"/>
        <w:numPr>
          <w:ilvl w:val="0"/>
          <w:numId w:val="9"/>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板式换热器运行时压力稳定在0.4MPa～0.5MPa，进出口压差控制在0.1MPa 以下，且设备无泄漏、结垢现象。</w:t>
      </w:r>
    </w:p>
    <w:p w14:paraId="02F1DEB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 分析其经济效益与社会效益</w:t>
      </w:r>
    </w:p>
    <w:p w14:paraId="14F29BF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5.1 直接经济效益计算</w:t>
      </w:r>
    </w:p>
    <w:p w14:paraId="1AB9F6A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5.1.1 对蒸汽的节约量进行计算</w:t>
      </w:r>
    </w:p>
    <w:p w14:paraId="080B3AB3">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我司硫酸装置年运行时间按8000小时计算（已扣除检修时间），调整后每小时可节约蒸汽15.0－6.5=8.5 t，可得年节约蒸汽量为：8.5 t/h×8000 h=68000 t</w:t>
      </w:r>
    </w:p>
    <w:p w14:paraId="1C7A031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5.1.2 对蒸汽成本节约进行计算</w:t>
      </w:r>
    </w:p>
    <w:p w14:paraId="13C0E255">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按照我司所处地区均价计算，0.6 MPa低压蒸汽的价格按照200元/t计算，则年节约蒸汽成本为：68000 t×200元/t=13600000 元（即1360万元）</w:t>
      </w:r>
    </w:p>
    <w:p w14:paraId="5658EB2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5.2 分析计算间接经济效益</w:t>
      </w:r>
    </w:p>
    <w:p w14:paraId="47F54194">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除直接降低生产成本外，本次工艺调整还带来以下间接效益：</w:t>
      </w:r>
    </w:p>
    <w:p w14:paraId="264B7470">
      <w:pPr>
        <w:pStyle w:val="45"/>
        <w:pageBreakBefore w:val="0"/>
        <w:numPr>
          <w:ilvl w:val="0"/>
          <w:numId w:val="10"/>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虽然降低了除氧器的蒸汽消耗量，但是除氧水质仍能保障锅炉的稳定运行；</w:t>
      </w:r>
    </w:p>
    <w:p w14:paraId="59C2B6B1">
      <w:pPr>
        <w:pStyle w:val="45"/>
        <w:pageBreakBefore w:val="0"/>
        <w:numPr>
          <w:ilvl w:val="0"/>
          <w:numId w:val="10"/>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对高温混床的树脂起到保护作用，保障设备稳定运行的同时减少了设备损害；</w:t>
      </w:r>
    </w:p>
    <w:p w14:paraId="58D933E2">
      <w:pPr>
        <w:pStyle w:val="45"/>
        <w:pageBreakBefore w:val="0"/>
        <w:numPr>
          <w:ilvl w:val="0"/>
          <w:numId w:val="10"/>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冷凝水中的余热得到回收利用，减少了硫酸循环水系统的运行负荷。</w:t>
      </w:r>
    </w:p>
    <w:p w14:paraId="0B8088C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5.3 社会效益层面分析</w:t>
      </w:r>
    </w:p>
    <w:p w14:paraId="34F7F02B">
      <w:pPr>
        <w:pStyle w:val="45"/>
        <w:pageBreakBefore w:val="0"/>
        <w:kinsoku/>
        <w:wordWrap/>
        <w:overflowPunct/>
        <w:topLinePunct w:val="0"/>
        <w:autoSpaceDE/>
        <w:autoSpaceDN/>
        <w:bidi w:val="0"/>
        <w:spacing w:before="0" w:after="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本次工艺调整</w:t>
      </w:r>
      <w:r>
        <w:rPr>
          <w:rFonts w:hint="eastAsia" w:ascii="宋体" w:hAnsi="宋体" w:eastAsia="宋体" w:cs="宋体"/>
          <w:sz w:val="21"/>
          <w:szCs w:val="21"/>
          <w:lang w:val="en-US" w:eastAsia="zh-CN"/>
        </w:rPr>
        <w:t>仍</w:t>
      </w:r>
      <w:r>
        <w:rPr>
          <w:rFonts w:hint="eastAsia" w:ascii="宋体" w:hAnsi="宋体" w:eastAsia="宋体" w:cs="宋体"/>
          <w:sz w:val="21"/>
          <w:szCs w:val="21"/>
        </w:rPr>
        <w:t>具有</w:t>
      </w:r>
      <w:r>
        <w:rPr>
          <w:rFonts w:hint="eastAsia" w:ascii="宋体" w:hAnsi="宋体" w:eastAsia="宋体" w:cs="宋体"/>
          <w:sz w:val="21"/>
          <w:szCs w:val="21"/>
          <w:lang w:val="en-US" w:eastAsia="zh-CN"/>
        </w:rPr>
        <w:t>明显</w:t>
      </w:r>
      <w:r>
        <w:rPr>
          <w:rFonts w:hint="eastAsia" w:ascii="宋体" w:hAnsi="宋体" w:eastAsia="宋体" w:cs="宋体"/>
          <w:sz w:val="21"/>
          <w:szCs w:val="21"/>
        </w:rPr>
        <w:t>的社会效益：</w:t>
      </w:r>
    </w:p>
    <w:p w14:paraId="3887C01D">
      <w:pPr>
        <w:pStyle w:val="45"/>
        <w:pageBreakBefore w:val="0"/>
        <w:numPr>
          <w:ilvl w:val="0"/>
          <w:numId w:val="11"/>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当年节约蒸汽68000 t，每吨蒸汽可折合0.07吨标煤，相当于每年节约标准煤4760 吨，相对应的减少二氧化碳排放量约11900吨（以每吨标煤排放2.5吨二氧化碳计算），对环境保护起到直接的积极作用；</w:t>
      </w:r>
    </w:p>
    <w:p w14:paraId="7DAAFDC6">
      <w:pPr>
        <w:pStyle w:val="45"/>
        <w:pageBreakBefore w:val="0"/>
        <w:numPr>
          <w:ilvl w:val="0"/>
          <w:numId w:val="11"/>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通过工艺优化的方法实现了余热回收，提高了能源利用效率，为化工行业“零投资节能”提供了积极地示范；</w:t>
      </w:r>
    </w:p>
    <w:p w14:paraId="53D53D25">
      <w:pPr>
        <w:pStyle w:val="45"/>
        <w:pageBreakBefore w:val="0"/>
        <w:numPr>
          <w:ilvl w:val="0"/>
          <w:numId w:val="11"/>
        </w:numPr>
        <w:kinsoku/>
        <w:wordWrap/>
        <w:overflowPunct/>
        <w:topLinePunct w:val="0"/>
        <w:autoSpaceDE/>
        <w:autoSpaceDN/>
        <w:bidi w:val="0"/>
        <w:spacing w:before="0" w:after="0"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由于设备维修中产生的废弃物（废旧树脂）大大减少了，故有利于降低环境处理压力，十分符合绿色生产的发展理念。</w:t>
      </w:r>
    </w:p>
    <w:p w14:paraId="2B3A7DA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6 结论</w:t>
      </w:r>
    </w:p>
    <w:p w14:paraId="0B3E4810">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本次硫酸装置通过变更板式换热器换热介质的工艺调整，实现了“节能降耗”与“设备保护”的双重目的。调整后脱盐水温度从30 ℃稳定提升至65 ℃左右，除氧器蒸汽消耗量从15 t/h降至6.8 t/h以下，降幅达54.7%，年节约直接经济效益1360万元；同时磷酸装置100～110 ℃冷凝水稳定降温至80 ℃以下，高温混床树脂寿命延长了50%，使得设备维修成本显著降低。</w:t>
      </w:r>
    </w:p>
    <w:p w14:paraId="458DF4DA">
      <w:pPr>
        <w:pStyle w:val="45"/>
        <w:pageBreakBefore w:val="0"/>
        <w:kinsoku/>
        <w:wordWrap/>
        <w:overflowPunct/>
        <w:topLinePunct w:val="0"/>
        <w:autoSpaceDE/>
        <w:autoSpaceDN/>
        <w:bidi w:val="0"/>
        <w:spacing w:before="0" w:after="0" w:line="400" w:lineRule="exact"/>
        <w:ind w:firstLine="50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该工艺调整无需新增设备投资，仅通过优化换热逻辑即可实现多重效益，操作简单、运行稳定，且不影响装置原有生产流程和产品质量。实践证明，工业生产中通过 “变废为宝” 的余热回收和工艺优化，是降低生产成本、保障设备安全、实现绿色发展的有效途径。该案例可为同类硫酸生产企业或化工行业的除氧系统、冷凝水处理系统优化提供重要参考，具有广泛的推广应用价值。</w:t>
      </w:r>
    </w:p>
    <w:p w14:paraId="21B0BB5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p>
    <w:p w14:paraId="51F122E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参考文献</w:t>
      </w:r>
    </w:p>
    <w:p w14:paraId="38848225">
      <w:pPr>
        <w:pStyle w:val="45"/>
        <w:pageBreakBefore w:val="0"/>
        <w:kinsoku/>
        <w:wordWrap/>
        <w:overflowPunct/>
        <w:topLinePunct w:val="0"/>
        <w:autoSpaceDE/>
        <w:autoSpaceDN/>
        <w:bidi w:val="0"/>
        <w:spacing w:before="0" w:after="0"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[1]王永盛。除氧器乏汽回收装置的应用及经济效益分析 [J]. 科技资讯，2010, 8 (15): 34.</w:t>
      </w:r>
    </w:p>
    <w:p w14:paraId="427594F7">
      <w:pPr>
        <w:pStyle w:val="45"/>
        <w:pageBreakBefore w:val="0"/>
        <w:kinsoku/>
        <w:wordWrap/>
        <w:overflowPunct/>
        <w:topLinePunct w:val="0"/>
        <w:autoSpaceDE/>
        <w:autoSpaceDN/>
        <w:bidi w:val="0"/>
        <w:spacing w:before="0" w:after="0"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[2]魏正坤。硫酸装置除氧器乏汽回收节能技改 [J]. 磷肥与复肥，2017, 32 (6): 34-35.</w:t>
      </w:r>
    </w:p>
    <w:p w14:paraId="2954ECD1">
      <w:pPr>
        <w:pStyle w:val="45"/>
        <w:pageBreakBefore w:val="0"/>
        <w:kinsoku/>
        <w:wordWrap/>
        <w:overflowPunct/>
        <w:topLinePunct w:val="0"/>
        <w:autoSpaceDE/>
        <w:autoSpaceDN/>
        <w:bidi w:val="0"/>
        <w:spacing w:before="0" w:after="0"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[3]钱淑芳，杨承谱。硫酸厂废热锅炉给水热力除氧系统改进 [J]. 硫酸工业，2012 (2): 22-25.</w:t>
      </w:r>
    </w:p>
    <w:p w14:paraId="6006125E">
      <w:pPr>
        <w:pStyle w:val="45"/>
        <w:pageBreakBefore w:val="0"/>
        <w:kinsoku/>
        <w:wordWrap/>
        <w:overflowPunct/>
        <w:topLinePunct w:val="0"/>
        <w:autoSpaceDE/>
        <w:autoSpaceDN/>
        <w:bidi w:val="0"/>
        <w:spacing w:before="0" w:after="0"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[4]刘祥恩，黄英文，陈世学。采用空塔冷凝器回收除氧器乏汽的生产实践 [J]. 硫酸工业，2022 (1): 20-22.</w:t>
      </w:r>
    </w:p>
    <w:p w14:paraId="170BFC74">
      <w:pPr>
        <w:pStyle w:val="45"/>
        <w:pageBreakBefore w:val="0"/>
        <w:kinsoku/>
        <w:wordWrap/>
        <w:overflowPunct/>
        <w:topLinePunct w:val="0"/>
        <w:autoSpaceDE/>
        <w:autoSpaceDN/>
        <w:bidi w:val="0"/>
        <w:spacing w:before="0" w:after="0"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[5]连云港市宏琦电力辅机有限公司。解析除氧器排汽换热器应用实例分析 [EB/OL]. </w:t>
      </w:r>
      <w:r>
        <w:rPr>
          <w:rFonts w:hint="eastAsia" w:ascii="宋体" w:hAnsi="宋体" w:eastAsia="宋体" w:cs="宋体"/>
          <w:sz w:val="21"/>
          <w:szCs w:val="21"/>
          <w:lang w:val="en-US" w:eastAsia="zh-CN"/>
        </w:rPr>
        <w:fldChar w:fldCharType="begin"/>
      </w:r>
      <w:r>
        <w:rPr>
          <w:rFonts w:hint="eastAsia" w:ascii="宋体" w:hAnsi="宋体" w:eastAsia="宋体" w:cs="宋体"/>
          <w:sz w:val="21"/>
          <w:szCs w:val="21"/>
          <w:lang w:val="en-US" w:eastAsia="zh-CN"/>
        </w:rPr>
        <w:instrText xml:space="preserve"> HYPERLINK "https://lyghqfj.com/new.asp?id=773" </w:instrText>
      </w:r>
      <w:r>
        <w:rPr>
          <w:rFonts w:hint="eastAsia" w:ascii="宋体" w:hAnsi="宋体" w:eastAsia="宋体" w:cs="宋体"/>
          <w:sz w:val="21"/>
          <w:szCs w:val="21"/>
          <w:lang w:val="en-US" w:eastAsia="zh-CN"/>
        </w:rPr>
        <w:fldChar w:fldCharType="separate"/>
      </w:r>
      <w:r>
        <w:rPr>
          <w:rFonts w:hint="eastAsia" w:ascii="宋体" w:hAnsi="宋体" w:eastAsia="宋体" w:cs="宋体"/>
          <w:sz w:val="21"/>
          <w:szCs w:val="21"/>
          <w:lang w:val="en-US" w:eastAsia="zh-CN"/>
        </w:rPr>
        <w:t>https://lyghqfj.com/new.asp?id=773</w:t>
      </w:r>
      <w:r>
        <w:rPr>
          <w:rFonts w:hint="eastAsia" w:ascii="宋体" w:hAnsi="宋体" w:eastAsia="宋体" w:cs="宋体"/>
          <w:sz w:val="21"/>
          <w:szCs w:val="21"/>
          <w:lang w:val="en-US" w:eastAsia="zh-CN"/>
        </w:rPr>
        <w:fldChar w:fldCharType="end"/>
      </w:r>
      <w:r>
        <w:rPr>
          <w:rFonts w:hint="eastAsia" w:ascii="宋体" w:hAnsi="宋体" w:eastAsia="宋体" w:cs="宋体"/>
          <w:sz w:val="21"/>
          <w:szCs w:val="21"/>
          <w:lang w:val="en-US" w:eastAsia="zh-CN"/>
        </w:rPr>
        <w:t>, 2026.</w:t>
      </w:r>
    </w:p>
    <w:p w14:paraId="0AED919F">
      <w:pPr>
        <w:pStyle w:val="45"/>
        <w:pageBreakBefore w:val="0"/>
        <w:kinsoku/>
        <w:wordWrap/>
        <w:overflowPunct/>
        <w:topLinePunct w:val="0"/>
        <w:autoSpaceDE/>
        <w:autoSpaceDN/>
        <w:bidi w:val="0"/>
        <w:spacing w:before="0" w:after="0"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[6]张建国，李军。化工装置冷凝水余热回收利用技术探讨 [J]. 化工设计通讯，2020, 46 (3): 102-103.</w:t>
      </w:r>
    </w:p>
    <w:p w14:paraId="3631C800">
      <w:pPr>
        <w:pStyle w:val="45"/>
        <w:pageBreakBefore w:val="0"/>
        <w:kinsoku/>
        <w:wordWrap/>
        <w:overflowPunct/>
        <w:topLinePunct w:val="0"/>
        <w:autoSpaceDE/>
        <w:autoSpaceDN/>
        <w:bidi w:val="0"/>
        <w:spacing w:before="0" w:after="0"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[7]赵志强。高温混床运行影响因素及优化措施 [J]. 水处理技术，2019, 45 (8): 145-147.</w:t>
      </w: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9722C7"/>
    <w:multiLevelType w:val="singleLevel"/>
    <w:tmpl w:val="8C9722C7"/>
    <w:lvl w:ilvl="0" w:tentative="0">
      <w:start w:val="1"/>
      <w:numFmt w:val="decimal"/>
      <w:suff w:val="nothing"/>
      <w:lvlText w:val="%1、"/>
      <w:lvlJc w:val="left"/>
      <w:pPr>
        <w:ind w:left="0" w:leftChars="0" w:firstLine="0" w:firstLineChars="0"/>
      </w:pPr>
      <w:rPr>
        <w:rFonts w:hint="default"/>
      </w:rPr>
    </w:lvl>
  </w:abstractNum>
  <w:abstractNum w:abstractNumId="1">
    <w:nsid w:val="97599FE1"/>
    <w:multiLevelType w:val="singleLevel"/>
    <w:tmpl w:val="97599FE1"/>
    <w:lvl w:ilvl="0" w:tentative="0">
      <w:start w:val="1"/>
      <w:numFmt w:val="decimalEnclosedCircleChinese"/>
      <w:suff w:val="nothing"/>
      <w:lvlText w:val="%1"/>
      <w:lvlJc w:val="left"/>
      <w:pPr>
        <w:ind w:left="0" w:firstLine="0"/>
      </w:pPr>
      <w:rPr>
        <w:rFonts w:hint="eastAsia"/>
      </w:rPr>
    </w:lvl>
  </w:abstractNum>
  <w:abstractNum w:abstractNumId="2">
    <w:nsid w:val="A1243C00"/>
    <w:multiLevelType w:val="singleLevel"/>
    <w:tmpl w:val="A1243C00"/>
    <w:lvl w:ilvl="0" w:tentative="0">
      <w:start w:val="1"/>
      <w:numFmt w:val="decimalEnclosedCircleChinese"/>
      <w:suff w:val="nothing"/>
      <w:lvlText w:val="%1"/>
      <w:lvlJc w:val="left"/>
      <w:pPr>
        <w:ind w:left="0" w:firstLine="0"/>
      </w:pPr>
      <w:rPr>
        <w:rFonts w:hint="eastAsia"/>
      </w:rPr>
    </w:lvl>
  </w:abstractNum>
  <w:abstractNum w:abstractNumId="3">
    <w:nsid w:val="A516B066"/>
    <w:multiLevelType w:val="singleLevel"/>
    <w:tmpl w:val="A516B066"/>
    <w:lvl w:ilvl="0" w:tentative="0">
      <w:start w:val="1"/>
      <w:numFmt w:val="decimalEnclosedCircleChinese"/>
      <w:suff w:val="nothing"/>
      <w:lvlText w:val="%1"/>
      <w:lvlJc w:val="left"/>
      <w:pPr>
        <w:ind w:left="0" w:firstLine="0"/>
      </w:pPr>
      <w:rPr>
        <w:rFonts w:hint="eastAsia"/>
      </w:rPr>
    </w:lvl>
  </w:abstractNum>
  <w:abstractNum w:abstractNumId="4">
    <w:nsid w:val="D793D817"/>
    <w:multiLevelType w:val="singleLevel"/>
    <w:tmpl w:val="D793D817"/>
    <w:lvl w:ilvl="0" w:tentative="0">
      <w:start w:val="1"/>
      <w:numFmt w:val="decimalEnclosedCircleChinese"/>
      <w:suff w:val="nothing"/>
      <w:lvlText w:val="%1"/>
      <w:lvlJc w:val="left"/>
      <w:pPr>
        <w:ind w:left="0" w:firstLine="0"/>
      </w:pPr>
      <w:rPr>
        <w:rFonts w:hint="eastAsia"/>
      </w:rPr>
    </w:lvl>
  </w:abstractNum>
  <w:abstractNum w:abstractNumId="5">
    <w:nsid w:val="F5B6B08F"/>
    <w:multiLevelType w:val="singleLevel"/>
    <w:tmpl w:val="F5B6B08F"/>
    <w:lvl w:ilvl="0" w:tentative="0">
      <w:start w:val="1"/>
      <w:numFmt w:val="decimalEnclosedCircleChinese"/>
      <w:suff w:val="nothing"/>
      <w:lvlText w:val="%1"/>
      <w:lvlJc w:val="left"/>
      <w:pPr>
        <w:ind w:left="0" w:firstLine="0"/>
      </w:pPr>
      <w:rPr>
        <w:rFonts w:hint="eastAsia"/>
      </w:rPr>
    </w:lvl>
  </w:abstractNum>
  <w:abstractNum w:abstractNumId="6">
    <w:nsid w:val="2FF41B7B"/>
    <w:multiLevelType w:val="singleLevel"/>
    <w:tmpl w:val="2FF41B7B"/>
    <w:lvl w:ilvl="0" w:tentative="0">
      <w:start w:val="1"/>
      <w:numFmt w:val="decimalEnclosedCircleChinese"/>
      <w:suff w:val="nothing"/>
      <w:lvlText w:val="%1"/>
      <w:lvlJc w:val="left"/>
      <w:pPr>
        <w:ind w:left="0" w:firstLine="0"/>
      </w:pPr>
      <w:rPr>
        <w:rFonts w:hint="eastAsia"/>
      </w:rPr>
    </w:lvl>
  </w:abstractNum>
  <w:abstractNum w:abstractNumId="7">
    <w:nsid w:val="34F6DBDF"/>
    <w:multiLevelType w:val="singleLevel"/>
    <w:tmpl w:val="34F6DBDF"/>
    <w:lvl w:ilvl="0" w:tentative="0">
      <w:start w:val="1"/>
      <w:numFmt w:val="decimalEnclosedCircleChinese"/>
      <w:suff w:val="nothing"/>
      <w:lvlText w:val="%1"/>
      <w:lvlJc w:val="left"/>
      <w:pPr>
        <w:ind w:left="0" w:firstLine="0"/>
      </w:pPr>
      <w:rPr>
        <w:rFonts w:hint="eastAsia"/>
      </w:rPr>
    </w:lvl>
  </w:abstractNum>
  <w:abstractNum w:abstractNumId="8">
    <w:nsid w:val="434CC5D9"/>
    <w:multiLevelType w:val="singleLevel"/>
    <w:tmpl w:val="434CC5D9"/>
    <w:lvl w:ilvl="0" w:tentative="0">
      <w:start w:val="1"/>
      <w:numFmt w:val="decimalEnclosedCircleChinese"/>
      <w:suff w:val="nothing"/>
      <w:lvlText w:val="%1"/>
      <w:lvlJc w:val="left"/>
      <w:pPr>
        <w:ind w:left="0" w:firstLine="0"/>
      </w:pPr>
      <w:rPr>
        <w:rFonts w:hint="eastAsia"/>
      </w:rPr>
    </w:lvl>
  </w:abstractNum>
  <w:abstractNum w:abstractNumId="9">
    <w:nsid w:val="58D8B246"/>
    <w:multiLevelType w:val="singleLevel"/>
    <w:tmpl w:val="58D8B246"/>
    <w:lvl w:ilvl="0" w:tentative="0">
      <w:start w:val="1"/>
      <w:numFmt w:val="decimal"/>
      <w:suff w:val="nothing"/>
      <w:lvlText w:val="%1、"/>
      <w:lvlJc w:val="left"/>
      <w:pPr>
        <w:ind w:left="0" w:leftChars="0" w:firstLine="0" w:firstLineChars="0"/>
      </w:pPr>
      <w:rPr>
        <w:rFonts w:hint="default"/>
      </w:rPr>
    </w:lvl>
  </w:abstractNum>
  <w:abstractNum w:abstractNumId="10">
    <w:nsid w:val="68EB859F"/>
    <w:multiLevelType w:val="singleLevel"/>
    <w:tmpl w:val="68EB859F"/>
    <w:lvl w:ilvl="0" w:tentative="0">
      <w:start w:val="1"/>
      <w:numFmt w:val="decimalEnclosedCircleChinese"/>
      <w:suff w:val="nothing"/>
      <w:lvlText w:val="%1"/>
      <w:lvlJc w:val="left"/>
      <w:pPr>
        <w:ind w:left="0" w:firstLine="0"/>
      </w:pPr>
      <w:rPr>
        <w:rFonts w:hint="eastAsia"/>
      </w:rPr>
    </w:lvl>
  </w:abstractNum>
  <w:num w:numId="1">
    <w:abstractNumId w:val="9"/>
  </w:num>
  <w:num w:numId="2">
    <w:abstractNumId w:val="1"/>
  </w:num>
  <w:num w:numId="3">
    <w:abstractNumId w:val="3"/>
  </w:num>
  <w:num w:numId="4">
    <w:abstractNumId w:val="4"/>
  </w:num>
  <w:num w:numId="5">
    <w:abstractNumId w:val="2"/>
  </w:num>
  <w:num w:numId="6">
    <w:abstractNumId w:val="7"/>
  </w:num>
  <w:num w:numId="7">
    <w:abstractNumId w:val="10"/>
  </w:num>
  <w:num w:numId="8">
    <w:abstractNumId w:val="5"/>
  </w:num>
  <w:num w:numId="9">
    <w:abstractNumId w:val="0"/>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255120"/>
    <w:rsid w:val="01520363"/>
    <w:rsid w:val="01C963F3"/>
    <w:rsid w:val="01DE1C5C"/>
    <w:rsid w:val="02203B3A"/>
    <w:rsid w:val="025F0B06"/>
    <w:rsid w:val="02B86B51"/>
    <w:rsid w:val="03304250"/>
    <w:rsid w:val="0374238F"/>
    <w:rsid w:val="03A5079A"/>
    <w:rsid w:val="03C50E3C"/>
    <w:rsid w:val="03C527A5"/>
    <w:rsid w:val="03DD7F34"/>
    <w:rsid w:val="048748A1"/>
    <w:rsid w:val="04CC1D57"/>
    <w:rsid w:val="04DC643E"/>
    <w:rsid w:val="056106F1"/>
    <w:rsid w:val="05AE130F"/>
    <w:rsid w:val="05FB3670"/>
    <w:rsid w:val="06112117"/>
    <w:rsid w:val="062077BC"/>
    <w:rsid w:val="065F10D4"/>
    <w:rsid w:val="0730481F"/>
    <w:rsid w:val="076E5F7E"/>
    <w:rsid w:val="07B471FE"/>
    <w:rsid w:val="07C05BA3"/>
    <w:rsid w:val="07E3246F"/>
    <w:rsid w:val="07F7358F"/>
    <w:rsid w:val="08564759"/>
    <w:rsid w:val="089D7C92"/>
    <w:rsid w:val="08BA0844"/>
    <w:rsid w:val="091A7E4E"/>
    <w:rsid w:val="09420839"/>
    <w:rsid w:val="09931095"/>
    <w:rsid w:val="09F00295"/>
    <w:rsid w:val="0A4B20AA"/>
    <w:rsid w:val="0AEE6ECB"/>
    <w:rsid w:val="0AFF2E86"/>
    <w:rsid w:val="0B664CB3"/>
    <w:rsid w:val="0C0E77A3"/>
    <w:rsid w:val="0C2B45A8"/>
    <w:rsid w:val="0C580AA0"/>
    <w:rsid w:val="0C8E44C1"/>
    <w:rsid w:val="0CDE6ACB"/>
    <w:rsid w:val="0CE82491"/>
    <w:rsid w:val="0CF56428"/>
    <w:rsid w:val="0D525F6F"/>
    <w:rsid w:val="0D731909"/>
    <w:rsid w:val="0DA11FD2"/>
    <w:rsid w:val="0E2449B2"/>
    <w:rsid w:val="0E470192"/>
    <w:rsid w:val="0E5352AC"/>
    <w:rsid w:val="0E792F4F"/>
    <w:rsid w:val="0EC8358F"/>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23F1DBA"/>
    <w:rsid w:val="12AF6F40"/>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7836BED"/>
    <w:rsid w:val="178C5AA1"/>
    <w:rsid w:val="17AD77C6"/>
    <w:rsid w:val="180933FC"/>
    <w:rsid w:val="185C6006"/>
    <w:rsid w:val="18616F2E"/>
    <w:rsid w:val="191221DB"/>
    <w:rsid w:val="19235F91"/>
    <w:rsid w:val="19800B64"/>
    <w:rsid w:val="19836A30"/>
    <w:rsid w:val="199944A6"/>
    <w:rsid w:val="19FD4A34"/>
    <w:rsid w:val="1A533F79"/>
    <w:rsid w:val="1A5A1E87"/>
    <w:rsid w:val="1AC217DA"/>
    <w:rsid w:val="1B2F179A"/>
    <w:rsid w:val="1B6F3710"/>
    <w:rsid w:val="1BD9327F"/>
    <w:rsid w:val="1C250273"/>
    <w:rsid w:val="1D01483C"/>
    <w:rsid w:val="1D5D57EA"/>
    <w:rsid w:val="1E171E3D"/>
    <w:rsid w:val="1EBA2EF4"/>
    <w:rsid w:val="1EC41FC5"/>
    <w:rsid w:val="1EFE3E02"/>
    <w:rsid w:val="1F78690B"/>
    <w:rsid w:val="1FA40E26"/>
    <w:rsid w:val="20181E55"/>
    <w:rsid w:val="20200F8C"/>
    <w:rsid w:val="204B20BB"/>
    <w:rsid w:val="204F1D62"/>
    <w:rsid w:val="205C7FDB"/>
    <w:rsid w:val="20CA763A"/>
    <w:rsid w:val="21294361"/>
    <w:rsid w:val="21661758"/>
    <w:rsid w:val="21CD7ECD"/>
    <w:rsid w:val="227635D6"/>
    <w:rsid w:val="22A939AB"/>
    <w:rsid w:val="22BA5BB9"/>
    <w:rsid w:val="230D784D"/>
    <w:rsid w:val="23B95F13"/>
    <w:rsid w:val="24174945"/>
    <w:rsid w:val="24212C83"/>
    <w:rsid w:val="244020ED"/>
    <w:rsid w:val="248B32E5"/>
    <w:rsid w:val="24B17D3C"/>
    <w:rsid w:val="24EE1B49"/>
    <w:rsid w:val="25867FD4"/>
    <w:rsid w:val="259C77F7"/>
    <w:rsid w:val="261C4494"/>
    <w:rsid w:val="262A3A04"/>
    <w:rsid w:val="269C7383"/>
    <w:rsid w:val="26B66697"/>
    <w:rsid w:val="273D46C2"/>
    <w:rsid w:val="27435A51"/>
    <w:rsid w:val="27466F3A"/>
    <w:rsid w:val="276F4A98"/>
    <w:rsid w:val="283B6E9A"/>
    <w:rsid w:val="28414686"/>
    <w:rsid w:val="287C746C"/>
    <w:rsid w:val="288D3427"/>
    <w:rsid w:val="28C3509B"/>
    <w:rsid w:val="28D44D60"/>
    <w:rsid w:val="29F55569"/>
    <w:rsid w:val="2A6D1762"/>
    <w:rsid w:val="2A9C2048"/>
    <w:rsid w:val="2AF37C49"/>
    <w:rsid w:val="2C1A3224"/>
    <w:rsid w:val="2C5F332D"/>
    <w:rsid w:val="2CDC497D"/>
    <w:rsid w:val="2DA03BFD"/>
    <w:rsid w:val="2DA336ED"/>
    <w:rsid w:val="2DD45655"/>
    <w:rsid w:val="2E7221A8"/>
    <w:rsid w:val="2EC67693"/>
    <w:rsid w:val="2EE30245"/>
    <w:rsid w:val="2F087CAC"/>
    <w:rsid w:val="2F0E4B96"/>
    <w:rsid w:val="2F1A353B"/>
    <w:rsid w:val="2F1F6DA3"/>
    <w:rsid w:val="2F397E65"/>
    <w:rsid w:val="2F620882"/>
    <w:rsid w:val="2F633134"/>
    <w:rsid w:val="2F882B9B"/>
    <w:rsid w:val="2FA86D99"/>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480B4A"/>
    <w:rsid w:val="34821AD6"/>
    <w:rsid w:val="35A52FD0"/>
    <w:rsid w:val="35D501BC"/>
    <w:rsid w:val="36407D2B"/>
    <w:rsid w:val="36BE3BE8"/>
    <w:rsid w:val="36DA26A7"/>
    <w:rsid w:val="36DB5CA6"/>
    <w:rsid w:val="37227431"/>
    <w:rsid w:val="3756532C"/>
    <w:rsid w:val="37B01725"/>
    <w:rsid w:val="37DA41AF"/>
    <w:rsid w:val="38061044"/>
    <w:rsid w:val="381C3783"/>
    <w:rsid w:val="389E342F"/>
    <w:rsid w:val="38C5276A"/>
    <w:rsid w:val="391D25A6"/>
    <w:rsid w:val="392576AC"/>
    <w:rsid w:val="39783C80"/>
    <w:rsid w:val="399551B1"/>
    <w:rsid w:val="39AD58C4"/>
    <w:rsid w:val="39D619B3"/>
    <w:rsid w:val="39F149A5"/>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B6105E"/>
    <w:rsid w:val="3FE444E6"/>
    <w:rsid w:val="40583EC3"/>
    <w:rsid w:val="40642868"/>
    <w:rsid w:val="407A652F"/>
    <w:rsid w:val="40923879"/>
    <w:rsid w:val="410F592B"/>
    <w:rsid w:val="411424E0"/>
    <w:rsid w:val="41641264"/>
    <w:rsid w:val="41700BEB"/>
    <w:rsid w:val="41727207"/>
    <w:rsid w:val="426C3C56"/>
    <w:rsid w:val="42786A9F"/>
    <w:rsid w:val="42BC1743"/>
    <w:rsid w:val="42EE53FF"/>
    <w:rsid w:val="43326EEB"/>
    <w:rsid w:val="43E4263E"/>
    <w:rsid w:val="45554E75"/>
    <w:rsid w:val="459D60E3"/>
    <w:rsid w:val="45B70627"/>
    <w:rsid w:val="45C10D0F"/>
    <w:rsid w:val="45CA5863"/>
    <w:rsid w:val="45E5444B"/>
    <w:rsid w:val="46362EF9"/>
    <w:rsid w:val="465515D1"/>
    <w:rsid w:val="468E4AE3"/>
    <w:rsid w:val="46F54E2D"/>
    <w:rsid w:val="46FD57C4"/>
    <w:rsid w:val="47925F0D"/>
    <w:rsid w:val="47A143DA"/>
    <w:rsid w:val="47E81E53"/>
    <w:rsid w:val="482F7BFF"/>
    <w:rsid w:val="48A028AB"/>
    <w:rsid w:val="48B545A9"/>
    <w:rsid w:val="495C0DBE"/>
    <w:rsid w:val="49CB1BAA"/>
    <w:rsid w:val="4A070E34"/>
    <w:rsid w:val="4A4F4589"/>
    <w:rsid w:val="4AB60164"/>
    <w:rsid w:val="4B8E06C7"/>
    <w:rsid w:val="4BA40904"/>
    <w:rsid w:val="4C934BC0"/>
    <w:rsid w:val="4CFB09F8"/>
    <w:rsid w:val="4D057181"/>
    <w:rsid w:val="4D447CA9"/>
    <w:rsid w:val="4D5123C6"/>
    <w:rsid w:val="4D6B792C"/>
    <w:rsid w:val="4DA16EA9"/>
    <w:rsid w:val="4DDA060D"/>
    <w:rsid w:val="4DED1912"/>
    <w:rsid w:val="4E257ADB"/>
    <w:rsid w:val="4E353A96"/>
    <w:rsid w:val="4EAD187E"/>
    <w:rsid w:val="4EB175C0"/>
    <w:rsid w:val="4EB62E28"/>
    <w:rsid w:val="4F0911AA"/>
    <w:rsid w:val="4F78309C"/>
    <w:rsid w:val="4F7E394E"/>
    <w:rsid w:val="508F56DF"/>
    <w:rsid w:val="50A20D13"/>
    <w:rsid w:val="50AD3DB7"/>
    <w:rsid w:val="50AF7B2F"/>
    <w:rsid w:val="50B02F71"/>
    <w:rsid w:val="50C26CF2"/>
    <w:rsid w:val="50EC0D83"/>
    <w:rsid w:val="50FE0CB7"/>
    <w:rsid w:val="510936E3"/>
    <w:rsid w:val="512D188F"/>
    <w:rsid w:val="51363DAD"/>
    <w:rsid w:val="513B5867"/>
    <w:rsid w:val="5144673C"/>
    <w:rsid w:val="519C34EA"/>
    <w:rsid w:val="519D207E"/>
    <w:rsid w:val="51EC090F"/>
    <w:rsid w:val="51FB00AC"/>
    <w:rsid w:val="52E57838"/>
    <w:rsid w:val="542B3971"/>
    <w:rsid w:val="54335EE7"/>
    <w:rsid w:val="5463310B"/>
    <w:rsid w:val="54AF45A2"/>
    <w:rsid w:val="54C142D5"/>
    <w:rsid w:val="55254864"/>
    <w:rsid w:val="553C395C"/>
    <w:rsid w:val="55BA1450"/>
    <w:rsid w:val="55EC7130"/>
    <w:rsid w:val="56037691"/>
    <w:rsid w:val="56083D8A"/>
    <w:rsid w:val="56135E24"/>
    <w:rsid w:val="564017AC"/>
    <w:rsid w:val="567B0721"/>
    <w:rsid w:val="56F97D56"/>
    <w:rsid w:val="57081D47"/>
    <w:rsid w:val="57511940"/>
    <w:rsid w:val="57AF6667"/>
    <w:rsid w:val="57E97DCB"/>
    <w:rsid w:val="57EF1159"/>
    <w:rsid w:val="583059FA"/>
    <w:rsid w:val="5847689F"/>
    <w:rsid w:val="58532B2C"/>
    <w:rsid w:val="58984204"/>
    <w:rsid w:val="58C47EF0"/>
    <w:rsid w:val="59285798"/>
    <w:rsid w:val="596F60AE"/>
    <w:rsid w:val="5A0C5FF2"/>
    <w:rsid w:val="5A2A0227"/>
    <w:rsid w:val="5A7B0A82"/>
    <w:rsid w:val="5B0311A3"/>
    <w:rsid w:val="5B4041A6"/>
    <w:rsid w:val="5BB5218E"/>
    <w:rsid w:val="5BFE5E0F"/>
    <w:rsid w:val="5CAA564F"/>
    <w:rsid w:val="5CD03307"/>
    <w:rsid w:val="5D2D2508"/>
    <w:rsid w:val="5E361890"/>
    <w:rsid w:val="5EDA046D"/>
    <w:rsid w:val="5EE237C6"/>
    <w:rsid w:val="5EFF7ED4"/>
    <w:rsid w:val="5F7679C4"/>
    <w:rsid w:val="5F7F2DC3"/>
    <w:rsid w:val="5FBF1411"/>
    <w:rsid w:val="601A09BC"/>
    <w:rsid w:val="60395667"/>
    <w:rsid w:val="60AA0313"/>
    <w:rsid w:val="610D33E8"/>
    <w:rsid w:val="615E35D8"/>
    <w:rsid w:val="619568CD"/>
    <w:rsid w:val="61E67129"/>
    <w:rsid w:val="621A5025"/>
    <w:rsid w:val="62CC27C3"/>
    <w:rsid w:val="635A7DCF"/>
    <w:rsid w:val="637D586B"/>
    <w:rsid w:val="63872EA4"/>
    <w:rsid w:val="63F26259"/>
    <w:rsid w:val="64061D04"/>
    <w:rsid w:val="640A365A"/>
    <w:rsid w:val="640E2967"/>
    <w:rsid w:val="64616F3B"/>
    <w:rsid w:val="64754794"/>
    <w:rsid w:val="64FD7B2B"/>
    <w:rsid w:val="657B402C"/>
    <w:rsid w:val="65C07C91"/>
    <w:rsid w:val="66CA526B"/>
    <w:rsid w:val="67C12792"/>
    <w:rsid w:val="67DD0FCE"/>
    <w:rsid w:val="680E2F36"/>
    <w:rsid w:val="687436E1"/>
    <w:rsid w:val="687A681D"/>
    <w:rsid w:val="68D73C6F"/>
    <w:rsid w:val="690B56C7"/>
    <w:rsid w:val="69594684"/>
    <w:rsid w:val="696A4D66"/>
    <w:rsid w:val="69867965"/>
    <w:rsid w:val="699456BD"/>
    <w:rsid w:val="6A4E3ABD"/>
    <w:rsid w:val="6A9A31A7"/>
    <w:rsid w:val="6ABE6E95"/>
    <w:rsid w:val="6AD06BC8"/>
    <w:rsid w:val="6B3929BF"/>
    <w:rsid w:val="6B3D425E"/>
    <w:rsid w:val="6B431148"/>
    <w:rsid w:val="6B56531F"/>
    <w:rsid w:val="6B575C91"/>
    <w:rsid w:val="6BB8040C"/>
    <w:rsid w:val="6C5C6966"/>
    <w:rsid w:val="6C6E5E1A"/>
    <w:rsid w:val="6C8E2897"/>
    <w:rsid w:val="6CDF30F3"/>
    <w:rsid w:val="6CF22E26"/>
    <w:rsid w:val="6D282CEC"/>
    <w:rsid w:val="6D921E65"/>
    <w:rsid w:val="6DE22E9A"/>
    <w:rsid w:val="6DF606F4"/>
    <w:rsid w:val="6E267136"/>
    <w:rsid w:val="6E2D67FA"/>
    <w:rsid w:val="6E6E0BD2"/>
    <w:rsid w:val="6E91041D"/>
    <w:rsid w:val="6ECB392F"/>
    <w:rsid w:val="6F562B93"/>
    <w:rsid w:val="6F5D76BD"/>
    <w:rsid w:val="6FA348AB"/>
    <w:rsid w:val="6FBB39A3"/>
    <w:rsid w:val="6FD23894"/>
    <w:rsid w:val="6FE23626"/>
    <w:rsid w:val="70383246"/>
    <w:rsid w:val="703D260A"/>
    <w:rsid w:val="7060279C"/>
    <w:rsid w:val="70626FA0"/>
    <w:rsid w:val="70756EB2"/>
    <w:rsid w:val="71E73078"/>
    <w:rsid w:val="7258197D"/>
    <w:rsid w:val="72C60FDD"/>
    <w:rsid w:val="72EB27F1"/>
    <w:rsid w:val="730241B0"/>
    <w:rsid w:val="731A1328"/>
    <w:rsid w:val="73530396"/>
    <w:rsid w:val="73587D1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1D6496"/>
    <w:rsid w:val="796450AB"/>
    <w:rsid w:val="797352EE"/>
    <w:rsid w:val="79EB30D7"/>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 w:type="paragraph" w:customStyle="1" w:styleId="45">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339</Words>
  <Characters>352</Characters>
  <Lines>35</Lines>
  <Paragraphs>9</Paragraphs>
  <TotalTime>3</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2026-05-27T07:49:17Z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