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CE5C974">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硅藻土载体的理化性质及其对钒催化剂性能的影响研究</w:t>
      </w:r>
    </w:p>
    <w:p w14:paraId="266E4DDF">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刘应炜 杨胜飞 黄亮亮 王晓勉 冉隆勇 田坤 黄晓文</w:t>
      </w:r>
    </w:p>
    <w:p w14:paraId="4F4FFCFC">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贵州威顿催化技术有限公司</w:t>
      </w:r>
    </w:p>
    <w:p w14:paraId="0841760C">
      <w:pPr>
        <w:rPr>
          <w:rFonts w:ascii="Times New Roman" w:hAnsi="Times New Roman" w:eastAsia="宋体" w:cs="Times New Roman"/>
          <w:sz w:val="24"/>
          <w:szCs w:val="24"/>
        </w:rPr>
      </w:pPr>
    </w:p>
    <w:p w14:paraId="57F878C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摘要：</w:t>
      </w:r>
      <w:r>
        <w:rPr>
          <w:rFonts w:hint="eastAsia" w:ascii="宋体" w:hAnsi="宋体" w:eastAsia="宋体" w:cs="宋体"/>
          <w:sz w:val="21"/>
          <w:szCs w:val="21"/>
        </w:rPr>
        <w:t>硅藻土因质量轻、堆密度低、高孔隙率、优异的化学稳定性和良好的热稳定性等优点，被广泛应用于二氧化硫氧化制硫酸的钒催化剂载体。鉴于硅藻土种类繁多，对何种类型硅藻土适合作为钒催化剂载体研究不足，本研究选取了四种国内外典型的硅藻土，对其物相、化学组分、热重、形貌以及孔径等进行了分析，并对比研究了四种硅藻土理化性质差异与其钒催化剂活性之间的关系。以硅藻土B为载体制成的钒催化剂展现出优异的活性，在485 °C时SO</w:t>
      </w:r>
      <w:r>
        <w:rPr>
          <w:rFonts w:hint="eastAsia" w:ascii="宋体" w:hAnsi="宋体" w:eastAsia="宋体" w:cs="宋体"/>
          <w:sz w:val="21"/>
          <w:szCs w:val="21"/>
          <w:vertAlign w:val="subscript"/>
        </w:rPr>
        <w:t>2</w:t>
      </w:r>
      <w:r>
        <w:rPr>
          <w:rFonts w:hint="eastAsia" w:ascii="宋体" w:hAnsi="宋体" w:eastAsia="宋体" w:cs="宋体"/>
          <w:sz w:val="21"/>
          <w:szCs w:val="21"/>
        </w:rPr>
        <w:t>转化率达到了92.48%，其优异的性能归因于较高的SiO</w:t>
      </w:r>
      <w:r>
        <w:rPr>
          <w:rFonts w:hint="eastAsia" w:ascii="宋体" w:hAnsi="宋体" w:eastAsia="宋体" w:cs="宋体"/>
          <w:sz w:val="21"/>
          <w:szCs w:val="21"/>
          <w:vertAlign w:val="subscript"/>
        </w:rPr>
        <w:t>2</w:t>
      </w:r>
      <w:r>
        <w:rPr>
          <w:rFonts w:hint="eastAsia" w:ascii="宋体" w:hAnsi="宋体" w:eastAsia="宋体" w:cs="宋体"/>
          <w:sz w:val="21"/>
          <w:szCs w:val="21"/>
        </w:rPr>
        <w:t>含量、良好的热稳定性以及较大的孔面积和孔隙率。</w:t>
      </w:r>
    </w:p>
    <w:p w14:paraId="7958296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sz w:val="21"/>
          <w:szCs w:val="21"/>
        </w:rPr>
      </w:pPr>
      <w:r>
        <w:rPr>
          <w:rFonts w:hint="eastAsia" w:ascii="宋体" w:hAnsi="宋体" w:eastAsia="宋体" w:cs="宋体"/>
          <w:b/>
          <w:bCs/>
          <w:sz w:val="21"/>
          <w:szCs w:val="21"/>
          <w:lang w:val="en-US" w:eastAsia="zh-CN"/>
        </w:rPr>
        <w:t>关键词：</w:t>
      </w:r>
      <w:r>
        <w:rPr>
          <w:rFonts w:hint="eastAsia" w:ascii="宋体" w:hAnsi="宋体" w:eastAsia="宋体" w:cs="宋体"/>
          <w:sz w:val="21"/>
          <w:szCs w:val="21"/>
        </w:rPr>
        <w:t>硅藻土</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直链藻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圆盘藻</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钒催化剂</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催化活性</w:t>
      </w:r>
    </w:p>
    <w:p w14:paraId="28D87E7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p>
    <w:p w14:paraId="0231EFC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1. 引言</w:t>
      </w:r>
    </w:p>
    <w:p w14:paraId="50C7DD49">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钒催化剂是一种负载型催化剂，由五氧化二钒、硫酸盐、稀硫酸、硅藻土等制作而成，主要用于工业硫酸生产。硅藻土因有着低堆密度、高孔隙率、优异的化学稳定性、良好的热稳定性和机械强度适配等优势</w:t>
      </w:r>
      <w:r>
        <w:rPr>
          <w:rFonts w:hint="eastAsia" w:ascii="宋体" w:hAnsi="宋体" w:eastAsia="宋体" w:cs="宋体"/>
          <w:sz w:val="21"/>
          <w:szCs w:val="21"/>
          <w:vertAlign w:val="superscript"/>
        </w:rPr>
        <w:t>[1,2]</w:t>
      </w:r>
      <w:r>
        <w:rPr>
          <w:rFonts w:hint="eastAsia" w:ascii="宋体" w:hAnsi="宋体" w:eastAsia="宋体" w:cs="宋体"/>
          <w:sz w:val="21"/>
          <w:szCs w:val="21"/>
        </w:rPr>
        <w:t>，广泛应用于钒催化剂载体</w:t>
      </w:r>
      <w:r>
        <w:rPr>
          <w:rFonts w:hint="eastAsia" w:ascii="宋体" w:hAnsi="宋体" w:eastAsia="宋体" w:cs="宋体"/>
          <w:sz w:val="21"/>
          <w:szCs w:val="21"/>
          <w:vertAlign w:val="superscript"/>
        </w:rPr>
        <w:t>[3]</w:t>
      </w:r>
      <w:r>
        <w:rPr>
          <w:rFonts w:hint="eastAsia" w:ascii="宋体" w:hAnsi="宋体" w:eastAsia="宋体" w:cs="宋体"/>
          <w:sz w:val="21"/>
          <w:szCs w:val="21"/>
        </w:rPr>
        <w:t>。硅藻土质轻，可降低转化器的负载，同时满足钒催化剂对载体机械强度的要求；此外，硅藻土为催化剂活性组分提供充足的附着位点，保证反应物在孔道内顺畅扩散，增大接触面积，从而提升钒催化剂活性</w:t>
      </w:r>
      <w:r>
        <w:rPr>
          <w:rFonts w:hint="eastAsia" w:ascii="宋体" w:hAnsi="宋体" w:eastAsia="宋体" w:cs="宋体"/>
          <w:sz w:val="21"/>
          <w:szCs w:val="21"/>
          <w:vertAlign w:val="superscript"/>
        </w:rPr>
        <w:t>[4-6]</w:t>
      </w:r>
      <w:r>
        <w:rPr>
          <w:rFonts w:hint="eastAsia" w:ascii="宋体" w:hAnsi="宋体" w:eastAsia="宋体" w:cs="宋体"/>
          <w:sz w:val="21"/>
          <w:szCs w:val="21"/>
        </w:rPr>
        <w:t>。</w:t>
      </w:r>
    </w:p>
    <w:p w14:paraId="1E81245F">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硅藻土是由单细胞水生植物硅藻的遗骸经过亿万年的沉积和地质变迁而形成的非金属矿产资源，硅藻壳体的主要化学成分是无定形SiO</w:t>
      </w:r>
      <w:r>
        <w:rPr>
          <w:rFonts w:hint="eastAsia" w:ascii="宋体" w:hAnsi="宋体" w:eastAsia="宋体" w:cs="宋体"/>
          <w:sz w:val="21"/>
          <w:szCs w:val="21"/>
          <w:vertAlign w:val="subscript"/>
        </w:rPr>
        <w:t>2</w:t>
      </w:r>
      <w:r>
        <w:rPr>
          <w:rFonts w:hint="eastAsia" w:ascii="宋体" w:hAnsi="宋体" w:eastAsia="宋体" w:cs="宋体"/>
          <w:sz w:val="21"/>
          <w:szCs w:val="21"/>
        </w:rPr>
        <w:t>，SiO</w:t>
      </w:r>
      <w:r>
        <w:rPr>
          <w:rFonts w:hint="eastAsia" w:ascii="宋体" w:hAnsi="宋体" w:eastAsia="宋体" w:cs="宋体"/>
          <w:sz w:val="21"/>
          <w:szCs w:val="21"/>
          <w:vertAlign w:val="subscript"/>
        </w:rPr>
        <w:t>2</w:t>
      </w:r>
      <w:r>
        <w:rPr>
          <w:rFonts w:hint="eastAsia" w:ascii="宋体" w:hAnsi="宋体" w:eastAsia="宋体" w:cs="宋体"/>
          <w:sz w:val="21"/>
          <w:szCs w:val="21"/>
        </w:rPr>
        <w:t>小球紧密堆积后的球体间隙和壳体表面有规律的纳米级孔洞结构，导致硅藻土具有特殊的理化性能</w:t>
      </w:r>
      <w:r>
        <w:rPr>
          <w:rFonts w:hint="eastAsia" w:ascii="宋体" w:hAnsi="宋体" w:eastAsia="宋体" w:cs="宋体"/>
          <w:sz w:val="21"/>
          <w:szCs w:val="21"/>
          <w:vertAlign w:val="superscript"/>
        </w:rPr>
        <w:t>[7-9]</w:t>
      </w:r>
      <w:r>
        <w:rPr>
          <w:rFonts w:hint="eastAsia" w:ascii="宋体" w:hAnsi="宋体" w:eastAsia="宋体" w:cs="宋体"/>
          <w:sz w:val="21"/>
          <w:szCs w:val="21"/>
        </w:rPr>
        <w:t>。我国硅藻土种类繁多，资源储量位居世界第二位，但因质量参差不齐，能作为钒催化剂载体的很少。目前，行业内所用高品位硅藻土主要依靠从国外进口</w:t>
      </w:r>
      <w:r>
        <w:rPr>
          <w:rFonts w:hint="eastAsia" w:ascii="宋体" w:hAnsi="宋体" w:eastAsia="宋体" w:cs="宋体"/>
          <w:sz w:val="21"/>
          <w:szCs w:val="21"/>
          <w:vertAlign w:val="superscript"/>
        </w:rPr>
        <w:t>[10]</w:t>
      </w:r>
      <w:r>
        <w:rPr>
          <w:rFonts w:hint="eastAsia" w:ascii="宋体" w:hAnsi="宋体" w:eastAsia="宋体" w:cs="宋体"/>
          <w:sz w:val="21"/>
          <w:szCs w:val="21"/>
        </w:rPr>
        <w:t>。</w:t>
      </w:r>
    </w:p>
    <w:p w14:paraId="5B5D1BBD">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硅藻土目前使用最广泛的有直链藻和圆盘藻两大类，二者因孔隙结构差异，分别适配不同工业应用场景。吴红等人</w:t>
      </w:r>
      <w:r>
        <w:rPr>
          <w:rFonts w:hint="eastAsia" w:ascii="宋体" w:hAnsi="宋体" w:eastAsia="宋体" w:cs="宋体"/>
          <w:sz w:val="21"/>
          <w:szCs w:val="21"/>
          <w:vertAlign w:val="superscript"/>
        </w:rPr>
        <w:t>[11]</w:t>
      </w:r>
      <w:r>
        <w:rPr>
          <w:rFonts w:hint="eastAsia" w:ascii="宋体" w:hAnsi="宋体" w:eastAsia="宋体" w:cs="宋体"/>
          <w:sz w:val="21"/>
          <w:szCs w:val="21"/>
        </w:rPr>
        <w:t>探究了3种不同硅藻土作载体对钒催化剂催化性能的影响，结果表明催化剂的催化性能与硅藻土的品质有关，硅藻土中杂质含量越少，孔道结构越丰富，所得催化剂的催化活性越高</w:t>
      </w:r>
      <w:r>
        <w:rPr>
          <w:rFonts w:hint="eastAsia" w:ascii="宋体" w:hAnsi="宋体" w:eastAsia="宋体" w:cs="宋体"/>
          <w:sz w:val="21"/>
          <w:szCs w:val="21"/>
          <w:vertAlign w:val="superscript"/>
        </w:rPr>
        <w:t>[12]</w:t>
      </w:r>
      <w:r>
        <w:rPr>
          <w:rFonts w:hint="eastAsia" w:ascii="宋体" w:hAnsi="宋体" w:eastAsia="宋体" w:cs="宋体"/>
          <w:sz w:val="21"/>
          <w:szCs w:val="21"/>
        </w:rPr>
        <w:t>；此外，黄霞辉等人</w:t>
      </w:r>
      <w:r>
        <w:rPr>
          <w:rFonts w:hint="eastAsia" w:ascii="宋体" w:hAnsi="宋体" w:eastAsia="宋体" w:cs="宋体"/>
          <w:sz w:val="21"/>
          <w:szCs w:val="21"/>
          <w:vertAlign w:val="superscript"/>
        </w:rPr>
        <w:t>[13]</w:t>
      </w:r>
      <w:r>
        <w:rPr>
          <w:rFonts w:hint="eastAsia" w:ascii="宋体" w:hAnsi="宋体" w:eastAsia="宋体" w:cs="宋体"/>
          <w:sz w:val="21"/>
          <w:szCs w:val="21"/>
        </w:rPr>
        <w:t>探究了5种不同产地硅藻土的物化性质，以其为载体制备出 S108 型钒催化剂，结果表明吉林硅藻土制备的钒催化剂活性较好。</w:t>
      </w:r>
    </w:p>
    <w:p w14:paraId="2EC9C18E">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因此，针对当前对国外硅藻土研究较少，对何种类型硅藻土适合作为钒催化剂载体研究不足，本研究选取了4种国内外典型的硅藻土载体，其中两种载体中的硅藻种属为直链藻，另外两种载体中的硅藻种属为圆盘藻。分别对其物相、化学组分、热重、形貌以及孔径进行了表征分析，对比各种硅藻土载体理化性质差异以及用其制备的钒催化剂的催化活性差异。</w:t>
      </w:r>
    </w:p>
    <w:p w14:paraId="12B8F0A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 试验部分</w:t>
      </w:r>
    </w:p>
    <w:p w14:paraId="5BF5104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2.1原材料与仪器</w:t>
      </w:r>
    </w:p>
    <w:p w14:paraId="637E7D49">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V</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5</w:t>
      </w:r>
      <w:r>
        <w:rPr>
          <w:rFonts w:hint="eastAsia" w:ascii="宋体" w:hAnsi="宋体" w:eastAsia="宋体" w:cs="宋体"/>
          <w:sz w:val="21"/>
          <w:szCs w:val="21"/>
        </w:rPr>
        <w:t>，工业级，购自崇阳鑫瑞钒业有限公司；KOH，工业级，购自青海盐湖工业股份有限公司；K</w:t>
      </w:r>
      <w:r>
        <w:rPr>
          <w:rFonts w:hint="eastAsia" w:ascii="宋体" w:hAnsi="宋体" w:eastAsia="宋体" w:cs="宋体"/>
          <w:sz w:val="21"/>
          <w:szCs w:val="21"/>
          <w:vertAlign w:val="subscript"/>
        </w:rPr>
        <w:t>2</w:t>
      </w:r>
      <w:r>
        <w:rPr>
          <w:rFonts w:hint="eastAsia" w:ascii="宋体" w:hAnsi="宋体" w:eastAsia="宋体" w:cs="宋体"/>
          <w:sz w:val="21"/>
          <w:szCs w:val="21"/>
        </w:rPr>
        <w:t>SO</w:t>
      </w:r>
      <w:r>
        <w:rPr>
          <w:rFonts w:hint="eastAsia" w:ascii="宋体" w:hAnsi="宋体" w:eastAsia="宋体" w:cs="宋体"/>
          <w:sz w:val="21"/>
          <w:szCs w:val="21"/>
          <w:vertAlign w:val="subscript"/>
        </w:rPr>
        <w:t>4</w:t>
      </w:r>
      <w:r>
        <w:rPr>
          <w:rFonts w:hint="eastAsia" w:ascii="宋体" w:hAnsi="宋体" w:eastAsia="宋体" w:cs="宋体"/>
          <w:sz w:val="21"/>
          <w:szCs w:val="21"/>
        </w:rPr>
        <w:t>，工业级，购自山东金润梓生物利技有限公司；Na</w:t>
      </w:r>
      <w:r>
        <w:rPr>
          <w:rFonts w:hint="eastAsia" w:ascii="宋体" w:hAnsi="宋体" w:eastAsia="宋体" w:cs="宋体"/>
          <w:sz w:val="21"/>
          <w:szCs w:val="21"/>
          <w:vertAlign w:val="subscript"/>
        </w:rPr>
        <w:t>2</w:t>
      </w:r>
      <w:r>
        <w:rPr>
          <w:rFonts w:hint="eastAsia" w:ascii="宋体" w:hAnsi="宋体" w:eastAsia="宋体" w:cs="宋体"/>
          <w:sz w:val="21"/>
          <w:szCs w:val="21"/>
        </w:rPr>
        <w:t>SO</w:t>
      </w:r>
      <w:r>
        <w:rPr>
          <w:rFonts w:hint="eastAsia" w:ascii="宋体" w:hAnsi="宋体" w:eastAsia="宋体" w:cs="宋体"/>
          <w:sz w:val="21"/>
          <w:szCs w:val="21"/>
          <w:vertAlign w:val="subscript"/>
        </w:rPr>
        <w:t>4</w:t>
      </w:r>
      <w:r>
        <w:rPr>
          <w:rFonts w:hint="eastAsia" w:ascii="宋体" w:hAnsi="宋体" w:eastAsia="宋体" w:cs="宋体"/>
          <w:sz w:val="21"/>
          <w:szCs w:val="21"/>
        </w:rPr>
        <w:t>，工业级，购自四川同庆南风有限责任公司。硅藻土样品A，藻属为直链藻；硅藻土样品B，藻属为圆盘藻；硅藻土样品C，藻属为直链藻；硅藻土D，藻属为圆盘藻，均为工业级硅藻土。</w:t>
      </w:r>
    </w:p>
    <w:p w14:paraId="06993F47">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FB-R200型反应釜，购自江苏扬阳化工设备制造有限公司；CH-50型混料槽，购自江阴市杰顺机械有限公司；YL32G型成型液压机，购自扬力集团股份有限公司；DGG-9140A型干燥箱，购自上海齐欣科学仪器有限公司；GSL-1800X型管式炉，购自上海马弗炉科技仪器有限公司；自制四通道活性反应器，贵州威顿催化技术有限公司自制。</w:t>
      </w:r>
    </w:p>
    <w:p w14:paraId="401D2D8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2.2 催化剂制备</w:t>
      </w:r>
    </w:p>
    <w:p w14:paraId="6AB2B1EB">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催化剂制备流程参照李庆锋等人</w:t>
      </w:r>
      <w:r>
        <w:rPr>
          <w:rFonts w:hint="eastAsia" w:ascii="宋体" w:hAnsi="宋体" w:eastAsia="宋体" w:cs="宋体"/>
          <w:sz w:val="21"/>
          <w:szCs w:val="21"/>
          <w:vertAlign w:val="superscript"/>
        </w:rPr>
        <w:t>[3]</w:t>
      </w:r>
      <w:r>
        <w:rPr>
          <w:rFonts w:hint="eastAsia" w:ascii="宋体" w:hAnsi="宋体" w:eastAsia="宋体" w:cs="宋体"/>
          <w:sz w:val="21"/>
          <w:szCs w:val="21"/>
        </w:rPr>
        <w:t>报道制备流程：将五氧化二钒溶解在氢氧化钾溶液中，进行化碱化钒，随后加入少量硫酸盐和稀硫酸进行搅拌，将所得的物料与硅藻土载体均匀混合，不断搅拌使其达到成型的条件，然后在挤条机中制成条形，最后经过干燥和焙烧制得钒催化剂成品。本实验使用控制变量法，保持其他条件不变，只改变硅藻土种类（硅藻土A、B、C、D），确保所制备的催化剂样品只有硅藻土载体的不同，其制备催化剂记为：Cat-A、Cat-B、Cat-C、Cat-D。</w:t>
      </w:r>
    </w:p>
    <w:p w14:paraId="7626C74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2.3 表征</w:t>
      </w:r>
    </w:p>
    <w:p w14:paraId="48B7637B">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 X 射线衍射仪（XRD，日本Rigaku SmartLab）对所制备样品的晶体结构进行表征；采用扫描电子显微镜（SEM，德国ZEISS Sigma 300）观察样品的形貌与结构组成；采用电感耦合等离子体发射光谱仪（ICP-OES，美国Agilent 5110）测试样品的化学成分组成；采用压汞仪（美国Micromeritics Autopore 9500）测试样品的孔径结构；采用热重分析仪（德国Netzsch Sta 449 F3）测试分析样品随温度的质量损失。</w:t>
      </w:r>
    </w:p>
    <w:p w14:paraId="3E702F3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2.4催化剂活性评价</w:t>
      </w:r>
    </w:p>
    <w:p w14:paraId="39697059">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采用自制四通道活性反应器对所有催化剂样品进行活性检测与计算，活性检测包含耐热前与耐热后的活性，耐热条件为在850 ℃条件下保温12h。具体为将催化剂制成颗粒状，称取适量催化剂装入石英玻璃管中，将石英玻璃管插入固定床评价装置密闭旋紧，待装置达到设定的测试温度后，打开空气调节阀，通入一定流速的混合气体进行活性检测。测试温度点为410 ℃、440 ℃、485 ℃、600 ℃，在测试温度下稳定60 min后，采用气相色谱仪测定混合气体中SO</w:t>
      </w:r>
      <w:r>
        <w:rPr>
          <w:rFonts w:hint="eastAsia" w:ascii="宋体" w:hAnsi="宋体" w:eastAsia="宋体" w:cs="宋体"/>
          <w:sz w:val="21"/>
          <w:szCs w:val="21"/>
          <w:vertAlign w:val="subscript"/>
        </w:rPr>
        <w:t>2</w:t>
      </w:r>
      <w:r>
        <w:rPr>
          <w:rFonts w:hint="eastAsia" w:ascii="宋体" w:hAnsi="宋体" w:eastAsia="宋体" w:cs="宋体"/>
          <w:sz w:val="21"/>
          <w:szCs w:val="21"/>
        </w:rPr>
        <w:t>的浓度变化，计算出SO</w:t>
      </w:r>
      <w:r>
        <w:rPr>
          <w:rFonts w:hint="eastAsia" w:ascii="宋体" w:hAnsi="宋体" w:eastAsia="宋体" w:cs="宋体"/>
          <w:sz w:val="21"/>
          <w:szCs w:val="21"/>
          <w:vertAlign w:val="subscript"/>
        </w:rPr>
        <w:t>2</w:t>
      </w:r>
      <w:r>
        <w:rPr>
          <w:rFonts w:hint="eastAsia" w:ascii="宋体" w:hAnsi="宋体" w:eastAsia="宋体" w:cs="宋体"/>
          <w:sz w:val="21"/>
          <w:szCs w:val="21"/>
        </w:rPr>
        <w:t>的转化率。一个温度点测定结束后，以5 ℃/min升至下一个待测温度点，温度稳定后进行测定。耐热前活性测完后，升温至850 ℃，保温12小时，再降温至410 ℃、440 ℃、485 ℃、600 ℃，测试在各温度条件下耐热后的活性。</w:t>
      </w:r>
    </w:p>
    <w:p w14:paraId="08DBD2FE">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 结果与讨论</w:t>
      </w:r>
    </w:p>
    <w:p w14:paraId="07BAB31D">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3.1硅藻土物相分析</w:t>
      </w:r>
    </w:p>
    <w:p w14:paraId="3BAF8A5D">
      <w:pPr>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3411220" cy="2736850"/>
            <wp:effectExtent l="0" t="0" r="1778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38139" cy="2758457"/>
                    </a:xfrm>
                    <a:prstGeom prst="rect">
                      <a:avLst/>
                    </a:prstGeom>
                  </pic:spPr>
                </pic:pic>
              </a:graphicData>
            </a:graphic>
          </wp:inline>
        </w:drawing>
      </w:r>
    </w:p>
    <w:p w14:paraId="585BD35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图1 四种硅藻土XRD图</w:t>
      </w:r>
    </w:p>
    <w:p w14:paraId="55C7D4B3">
      <w:pPr>
        <w:pageBreakBefore w:val="0"/>
        <w:widowControl w:val="0"/>
        <w:kinsoku/>
        <w:wordWrap/>
        <w:overflowPunct/>
        <w:topLinePunct w:val="0"/>
        <w:autoSpaceDE/>
        <w:autoSpaceDN/>
        <w:bidi w:val="0"/>
        <w:adjustRightInd/>
        <w:snapToGrid/>
        <w:spacing w:line="400" w:lineRule="exact"/>
        <w:ind w:firstLine="420"/>
        <w:textAlignment w:val="auto"/>
        <w:rPr>
          <w:rFonts w:hint="eastAsia" w:ascii="宋体" w:hAnsi="宋体" w:eastAsia="宋体" w:cs="宋体"/>
          <w:sz w:val="21"/>
          <w:szCs w:val="21"/>
        </w:rPr>
      </w:pPr>
      <w:r>
        <w:rPr>
          <w:rFonts w:hint="eastAsia" w:ascii="宋体" w:hAnsi="宋体" w:eastAsia="宋体" w:cs="宋体"/>
          <w:sz w:val="21"/>
          <w:szCs w:val="21"/>
        </w:rPr>
        <w:t>采用 X 射线衍射仪（XRD）分析四种硅藻土样品的物相组成，结果如图1所示，所有硅藻土样品在衍射角为21.8°左右均显示出宽衍射峰，这归因于硅藻蛋白石中无定形的二氧化硅。此外，所有硅藻土样品均显示出杂衍射峰，其中硅藻土A杂衍射峰最多，在衍射角为6.1°、21.7°、23.5°、26.5°、27.6°、35.1°时存在强度较低的石英、高岭石、蒙脱石、伊利石等矿物的衍射峰</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EN.CITE &lt;EndNote&gt;&lt;Cite&gt;&lt;Author&gt;Zheng&lt;/Author&gt;&lt;Year&gt;2018&lt;/Year&gt;&lt;RecNum&gt;59&lt;/RecNum&gt;&lt;DisplayText&gt;&lt;style face="superscript"&gt;[14]&lt;/style&gt;&lt;/DisplayText&gt;&lt;record&gt;&lt;rec-number&gt;59&lt;/rec-number&gt;&lt;foreign-keys&gt;&lt;key app="EN" db-id="tt5xxde0mrvz0zefwauxrwf3af05xt2xpwfp" timestamp="1774588945"&gt;59&lt;/key&gt;&lt;/foreign-keys&gt;&lt;ref-type name="Journal Article"&gt;17&lt;/ref-type&gt;&lt;contributors&gt;&lt;authors&gt;&lt;author&gt;Zheng, Renji&lt;/author&gt;&lt;author&gt;Ren, Zijie&lt;/author&gt;&lt;author&gt;Gao, Huimin&lt;/author&gt;&lt;author&gt;Zhang, Anling&lt;/author&gt;&lt;author&gt;Bian, Zheng %J Journal of Alloys&lt;/author&gt;&lt;author&gt;Compounds&lt;/author&gt;&lt;/authors&gt;&lt;/contributors&gt;&lt;titles&gt;&lt;title&gt;Effects of calcination on silica phase transition in diatomite&lt;/title&gt;&lt;/titles&gt;&lt;pages&gt;364-371&lt;/pages&gt;&lt;volume&gt;757&lt;/volume&gt;&lt;dates&gt;&lt;year&gt;2018&lt;/year&gt;&lt;/dates&gt;&lt;isbn&gt;0925-8388&lt;/isbn&gt;&lt;urls&gt;&lt;/urls&gt;&lt;/record&gt;&lt;/Cite&gt;&lt;/EndNote&gt;</w:instrText>
      </w:r>
      <w:r>
        <w:rPr>
          <w:rFonts w:hint="eastAsia" w:ascii="宋体" w:hAnsi="宋体" w:eastAsia="宋体" w:cs="宋体"/>
          <w:sz w:val="21"/>
          <w:szCs w:val="21"/>
        </w:rPr>
        <w:fldChar w:fldCharType="separate"/>
      </w:r>
      <w:r>
        <w:rPr>
          <w:rFonts w:hint="eastAsia" w:ascii="宋体" w:hAnsi="宋体" w:eastAsia="宋体" w:cs="宋体"/>
          <w:sz w:val="21"/>
          <w:szCs w:val="21"/>
        </w:rPr>
        <w:t>[14]</w:t>
      </w:r>
      <w:r>
        <w:rPr>
          <w:rFonts w:hint="eastAsia" w:ascii="宋体" w:hAnsi="宋体" w:eastAsia="宋体" w:cs="宋体"/>
          <w:sz w:val="21"/>
          <w:szCs w:val="21"/>
        </w:rPr>
        <w:fldChar w:fldCharType="end"/>
      </w:r>
      <w:r>
        <w:rPr>
          <w:rFonts w:hint="eastAsia" w:ascii="宋体" w:hAnsi="宋体" w:eastAsia="宋体" w:cs="宋体"/>
          <w:sz w:val="21"/>
          <w:szCs w:val="21"/>
        </w:rPr>
        <w:t>；硅藻土D中有着强度较高的石英的衍射峰，石英主要成分为结晶型的二氧化硅，这与硅藻蛋白石中无定形的二氧化硅不同；此外，可以看出硅藻土B和硅藻土C杂衍射峰较少，品质较为纯净，这与硅藻土A和硅藻土D略有差异。</w:t>
      </w:r>
    </w:p>
    <w:p w14:paraId="138215B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3.2硅藻土化学组成分析</w:t>
      </w:r>
    </w:p>
    <w:p w14:paraId="0087CE7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表1四种硅藻土样品化学组分表（LOI：烧失量）</w:t>
      </w:r>
    </w:p>
    <w:tbl>
      <w:tblPr>
        <w:tblStyle w:val="17"/>
        <w:tblW w:w="8222" w:type="dxa"/>
        <w:jc w:val="center"/>
        <w:tblLayout w:type="autofit"/>
        <w:tblCellMar>
          <w:top w:w="0" w:type="dxa"/>
          <w:left w:w="108" w:type="dxa"/>
          <w:bottom w:w="0" w:type="dxa"/>
          <w:right w:w="108" w:type="dxa"/>
        </w:tblCellMar>
      </w:tblPr>
      <w:tblGrid>
        <w:gridCol w:w="1531"/>
        <w:gridCol w:w="1616"/>
        <w:gridCol w:w="1616"/>
        <w:gridCol w:w="1616"/>
        <w:gridCol w:w="1843"/>
      </w:tblGrid>
      <w:tr w14:paraId="7064777A">
        <w:tblPrEx>
          <w:tblCellMar>
            <w:top w:w="0" w:type="dxa"/>
            <w:left w:w="108" w:type="dxa"/>
            <w:bottom w:w="0" w:type="dxa"/>
            <w:right w:w="108" w:type="dxa"/>
          </w:tblCellMar>
        </w:tblPrEx>
        <w:trPr>
          <w:tblHeader/>
          <w:jc w:val="center"/>
        </w:trPr>
        <w:tc>
          <w:tcPr>
            <w:tcW w:w="1531" w:type="dxa"/>
            <w:vMerge w:val="restart"/>
            <w:tcBorders>
              <w:top w:val="single" w:color="auto" w:sz="12" w:space="0"/>
              <w:left w:val="nil"/>
              <w:right w:val="nil"/>
            </w:tcBorders>
            <w:tcMar>
              <w:top w:w="-1" w:type="dxa"/>
              <w:left w:w="-1" w:type="dxa"/>
              <w:bottom w:w="-1" w:type="dxa"/>
              <w:right w:w="-1" w:type="dxa"/>
            </w:tcMar>
            <w:vAlign w:val="center"/>
          </w:tcPr>
          <w:p w14:paraId="5E7D4C21">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lang w:bidi="ar"/>
              </w:rPr>
            </w:pPr>
            <w:r>
              <w:rPr>
                <w:rFonts w:hint="eastAsia" w:ascii="宋体" w:hAnsi="宋体" w:eastAsia="宋体" w:cs="宋体"/>
                <w:sz w:val="18"/>
                <w:szCs w:val="18"/>
                <w:lang w:bidi="ar"/>
              </w:rPr>
              <w:t>成分</w:t>
            </w:r>
          </w:p>
        </w:tc>
        <w:tc>
          <w:tcPr>
            <w:tcW w:w="6691" w:type="dxa"/>
            <w:gridSpan w:val="4"/>
            <w:tcBorders>
              <w:top w:val="single" w:color="auto" w:sz="12" w:space="0"/>
              <w:left w:val="nil"/>
              <w:bottom w:val="single" w:color="auto" w:sz="6" w:space="0"/>
              <w:right w:val="nil"/>
            </w:tcBorders>
            <w:tcMar>
              <w:top w:w="-1" w:type="dxa"/>
              <w:left w:w="-1" w:type="dxa"/>
              <w:bottom w:w="-1" w:type="dxa"/>
              <w:right w:w="-1" w:type="dxa"/>
            </w:tcMar>
            <w:vAlign w:val="center"/>
          </w:tcPr>
          <w:p w14:paraId="14327FFB">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四种硅藻土组分含量（%）</w:t>
            </w:r>
          </w:p>
        </w:tc>
      </w:tr>
      <w:tr w14:paraId="05A2EC9E">
        <w:tblPrEx>
          <w:tblCellMar>
            <w:top w:w="0" w:type="dxa"/>
            <w:left w:w="108" w:type="dxa"/>
            <w:bottom w:w="0" w:type="dxa"/>
            <w:right w:w="108" w:type="dxa"/>
          </w:tblCellMar>
        </w:tblPrEx>
        <w:trPr>
          <w:tblHeader/>
          <w:jc w:val="center"/>
        </w:trPr>
        <w:tc>
          <w:tcPr>
            <w:tcW w:w="1531" w:type="dxa"/>
            <w:vMerge w:val="continue"/>
            <w:tcBorders>
              <w:left w:val="nil"/>
              <w:bottom w:val="nil"/>
              <w:right w:val="nil"/>
            </w:tcBorders>
            <w:tcMar>
              <w:top w:w="-1" w:type="dxa"/>
              <w:left w:w="-1" w:type="dxa"/>
              <w:bottom w:w="-1" w:type="dxa"/>
              <w:right w:w="-1" w:type="dxa"/>
            </w:tcMar>
            <w:vAlign w:val="center"/>
          </w:tcPr>
          <w:p w14:paraId="3F2AD87F">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p>
        </w:tc>
        <w:tc>
          <w:tcPr>
            <w:tcW w:w="1616" w:type="dxa"/>
            <w:tcBorders>
              <w:top w:val="single" w:color="auto" w:sz="6" w:space="0"/>
              <w:left w:val="nil"/>
              <w:bottom w:val="single" w:color="auto" w:sz="4" w:space="0"/>
              <w:right w:val="nil"/>
            </w:tcBorders>
            <w:tcMar>
              <w:top w:w="-1" w:type="dxa"/>
              <w:left w:w="-1" w:type="dxa"/>
              <w:bottom w:w="-1" w:type="dxa"/>
              <w:right w:w="-1" w:type="dxa"/>
            </w:tcMar>
            <w:vAlign w:val="center"/>
          </w:tcPr>
          <w:p w14:paraId="69C06417">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硅藻土A</w:t>
            </w:r>
          </w:p>
        </w:tc>
        <w:tc>
          <w:tcPr>
            <w:tcW w:w="1616" w:type="dxa"/>
            <w:tcBorders>
              <w:top w:val="single" w:color="auto" w:sz="6" w:space="0"/>
              <w:left w:val="nil"/>
              <w:bottom w:val="single" w:color="auto" w:sz="4" w:space="0"/>
              <w:right w:val="nil"/>
            </w:tcBorders>
            <w:tcMar>
              <w:top w:w="-1" w:type="dxa"/>
              <w:left w:w="-1" w:type="dxa"/>
              <w:bottom w:w="-1" w:type="dxa"/>
              <w:right w:w="-1" w:type="dxa"/>
            </w:tcMar>
            <w:vAlign w:val="center"/>
          </w:tcPr>
          <w:p w14:paraId="14CCAC09">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硅藻土B</w:t>
            </w:r>
          </w:p>
        </w:tc>
        <w:tc>
          <w:tcPr>
            <w:tcW w:w="1616" w:type="dxa"/>
            <w:tcBorders>
              <w:top w:val="single" w:color="auto" w:sz="6" w:space="0"/>
              <w:left w:val="nil"/>
              <w:bottom w:val="single" w:color="auto" w:sz="4" w:space="0"/>
              <w:right w:val="nil"/>
            </w:tcBorders>
            <w:tcMar>
              <w:top w:w="-1" w:type="dxa"/>
              <w:left w:w="-1" w:type="dxa"/>
              <w:bottom w:w="-1" w:type="dxa"/>
              <w:right w:w="-1" w:type="dxa"/>
            </w:tcMar>
            <w:vAlign w:val="center"/>
          </w:tcPr>
          <w:p w14:paraId="0AF09B68">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硅藻土C</w:t>
            </w:r>
          </w:p>
        </w:tc>
        <w:tc>
          <w:tcPr>
            <w:tcW w:w="1843" w:type="dxa"/>
            <w:tcBorders>
              <w:top w:val="single" w:color="auto" w:sz="6" w:space="0"/>
              <w:left w:val="nil"/>
              <w:bottom w:val="single" w:color="auto" w:sz="4" w:space="0"/>
              <w:right w:val="nil"/>
            </w:tcBorders>
            <w:tcMar>
              <w:top w:w="-1" w:type="dxa"/>
              <w:left w:w="-1" w:type="dxa"/>
              <w:bottom w:w="-1" w:type="dxa"/>
              <w:right w:w="-1" w:type="dxa"/>
            </w:tcMar>
            <w:vAlign w:val="center"/>
          </w:tcPr>
          <w:p w14:paraId="4B8698DB">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硅藻土D</w:t>
            </w:r>
          </w:p>
        </w:tc>
      </w:tr>
      <w:tr w14:paraId="207A2FF3">
        <w:tblPrEx>
          <w:tblCellMar>
            <w:top w:w="0" w:type="dxa"/>
            <w:left w:w="108" w:type="dxa"/>
            <w:bottom w:w="0" w:type="dxa"/>
            <w:right w:w="108" w:type="dxa"/>
          </w:tblCellMar>
        </w:tblPrEx>
        <w:trPr>
          <w:jc w:val="center"/>
        </w:trPr>
        <w:tc>
          <w:tcPr>
            <w:tcW w:w="1531" w:type="dxa"/>
            <w:tcBorders>
              <w:top w:val="single" w:color="auto" w:sz="4" w:space="0"/>
              <w:left w:val="nil"/>
              <w:bottom w:val="nil"/>
              <w:right w:val="nil"/>
            </w:tcBorders>
            <w:tcMar>
              <w:top w:w="-1" w:type="dxa"/>
              <w:left w:w="-1" w:type="dxa"/>
              <w:bottom w:w="-1" w:type="dxa"/>
              <w:right w:w="-1" w:type="dxa"/>
            </w:tcMar>
            <w:vAlign w:val="center"/>
          </w:tcPr>
          <w:p w14:paraId="565C21D2">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LOI</w:t>
            </w:r>
          </w:p>
        </w:tc>
        <w:tc>
          <w:tcPr>
            <w:tcW w:w="1616" w:type="dxa"/>
            <w:tcBorders>
              <w:top w:val="single" w:color="auto" w:sz="4" w:space="0"/>
              <w:left w:val="nil"/>
              <w:bottom w:val="nil"/>
              <w:right w:val="nil"/>
            </w:tcBorders>
            <w:tcMar>
              <w:top w:w="-1" w:type="dxa"/>
              <w:left w:w="-1" w:type="dxa"/>
              <w:bottom w:w="-1" w:type="dxa"/>
              <w:right w:w="-1" w:type="dxa"/>
            </w:tcMar>
            <w:vAlign w:val="center"/>
          </w:tcPr>
          <w:p w14:paraId="278A4683">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8.00</w:t>
            </w:r>
          </w:p>
        </w:tc>
        <w:tc>
          <w:tcPr>
            <w:tcW w:w="1616" w:type="dxa"/>
            <w:tcBorders>
              <w:top w:val="single" w:color="auto" w:sz="4" w:space="0"/>
              <w:left w:val="nil"/>
              <w:bottom w:val="nil"/>
              <w:right w:val="nil"/>
            </w:tcBorders>
            <w:tcMar>
              <w:top w:w="-1" w:type="dxa"/>
              <w:left w:w="-1" w:type="dxa"/>
              <w:bottom w:w="-1" w:type="dxa"/>
              <w:right w:w="-1" w:type="dxa"/>
            </w:tcMar>
            <w:vAlign w:val="center"/>
          </w:tcPr>
          <w:p w14:paraId="7EBFE587">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7.60</w:t>
            </w:r>
          </w:p>
        </w:tc>
        <w:tc>
          <w:tcPr>
            <w:tcW w:w="1616" w:type="dxa"/>
            <w:tcBorders>
              <w:top w:val="single" w:color="auto" w:sz="4" w:space="0"/>
              <w:left w:val="nil"/>
              <w:bottom w:val="nil"/>
              <w:right w:val="nil"/>
            </w:tcBorders>
            <w:tcMar>
              <w:top w:w="-1" w:type="dxa"/>
              <w:left w:w="-1" w:type="dxa"/>
              <w:bottom w:w="-1" w:type="dxa"/>
              <w:right w:w="-1" w:type="dxa"/>
            </w:tcMar>
            <w:vAlign w:val="center"/>
          </w:tcPr>
          <w:p w14:paraId="22D5795C">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8.64</w:t>
            </w:r>
          </w:p>
        </w:tc>
        <w:tc>
          <w:tcPr>
            <w:tcW w:w="1843" w:type="dxa"/>
            <w:tcBorders>
              <w:top w:val="single" w:color="auto" w:sz="4" w:space="0"/>
              <w:left w:val="nil"/>
              <w:bottom w:val="nil"/>
              <w:right w:val="nil"/>
            </w:tcBorders>
            <w:tcMar>
              <w:top w:w="-1" w:type="dxa"/>
              <w:left w:w="-1" w:type="dxa"/>
              <w:bottom w:w="-1" w:type="dxa"/>
              <w:right w:w="-1" w:type="dxa"/>
            </w:tcMar>
            <w:vAlign w:val="center"/>
          </w:tcPr>
          <w:p w14:paraId="729D8813">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9.80</w:t>
            </w:r>
          </w:p>
        </w:tc>
      </w:tr>
      <w:tr w14:paraId="7AECF652">
        <w:tblPrEx>
          <w:tblCellMar>
            <w:top w:w="0" w:type="dxa"/>
            <w:left w:w="108" w:type="dxa"/>
            <w:bottom w:w="0" w:type="dxa"/>
            <w:right w:w="108" w:type="dxa"/>
          </w:tblCellMar>
        </w:tblPrEx>
        <w:trPr>
          <w:jc w:val="center"/>
        </w:trPr>
        <w:tc>
          <w:tcPr>
            <w:tcW w:w="1531" w:type="dxa"/>
            <w:tcBorders>
              <w:top w:val="nil"/>
              <w:left w:val="nil"/>
              <w:bottom w:val="nil"/>
              <w:right w:val="nil"/>
            </w:tcBorders>
            <w:tcMar>
              <w:top w:w="-1" w:type="dxa"/>
              <w:left w:w="-1" w:type="dxa"/>
              <w:bottom w:w="-1" w:type="dxa"/>
              <w:right w:w="-1" w:type="dxa"/>
            </w:tcMar>
            <w:vAlign w:val="center"/>
          </w:tcPr>
          <w:p w14:paraId="0A8E3840">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Al</w:t>
            </w:r>
            <w:r>
              <w:rPr>
                <w:rFonts w:hint="eastAsia" w:ascii="宋体" w:hAnsi="宋体" w:eastAsia="宋体" w:cs="宋体"/>
                <w:sz w:val="18"/>
                <w:szCs w:val="18"/>
                <w:vertAlign w:val="subscript"/>
                <w:lang w:bidi="ar"/>
              </w:rPr>
              <w:t>2</w:t>
            </w:r>
            <w:r>
              <w:rPr>
                <w:rFonts w:hint="eastAsia" w:ascii="宋体" w:hAnsi="宋体" w:eastAsia="宋体" w:cs="宋体"/>
                <w:sz w:val="18"/>
                <w:szCs w:val="18"/>
                <w:lang w:bidi="ar"/>
              </w:rPr>
              <w:t>O</w:t>
            </w:r>
            <w:r>
              <w:rPr>
                <w:rFonts w:hint="eastAsia" w:ascii="宋体" w:hAnsi="宋体" w:eastAsia="宋体" w:cs="宋体"/>
                <w:sz w:val="18"/>
                <w:szCs w:val="18"/>
                <w:vertAlign w:val="subscript"/>
                <w:lang w:bidi="ar"/>
              </w:rPr>
              <w:t>3</w:t>
            </w:r>
          </w:p>
        </w:tc>
        <w:tc>
          <w:tcPr>
            <w:tcW w:w="1616" w:type="dxa"/>
            <w:tcBorders>
              <w:top w:val="nil"/>
              <w:left w:val="nil"/>
              <w:bottom w:val="nil"/>
              <w:right w:val="nil"/>
            </w:tcBorders>
            <w:tcMar>
              <w:top w:w="-1" w:type="dxa"/>
              <w:left w:w="-1" w:type="dxa"/>
              <w:bottom w:w="-1" w:type="dxa"/>
              <w:right w:w="-1" w:type="dxa"/>
            </w:tcMar>
            <w:vAlign w:val="center"/>
          </w:tcPr>
          <w:p w14:paraId="0D10A0DB">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5.05</w:t>
            </w:r>
          </w:p>
        </w:tc>
        <w:tc>
          <w:tcPr>
            <w:tcW w:w="1616" w:type="dxa"/>
            <w:tcBorders>
              <w:top w:val="nil"/>
              <w:left w:val="nil"/>
              <w:bottom w:val="nil"/>
              <w:right w:val="nil"/>
            </w:tcBorders>
            <w:tcMar>
              <w:top w:w="-1" w:type="dxa"/>
              <w:left w:w="-1" w:type="dxa"/>
              <w:bottom w:w="-1" w:type="dxa"/>
              <w:right w:w="-1" w:type="dxa"/>
            </w:tcMar>
            <w:vAlign w:val="center"/>
          </w:tcPr>
          <w:p w14:paraId="51F7AE79">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3.51</w:t>
            </w:r>
          </w:p>
        </w:tc>
        <w:tc>
          <w:tcPr>
            <w:tcW w:w="1616" w:type="dxa"/>
            <w:tcBorders>
              <w:top w:val="nil"/>
              <w:left w:val="nil"/>
              <w:bottom w:val="nil"/>
              <w:right w:val="nil"/>
            </w:tcBorders>
            <w:tcMar>
              <w:top w:w="-1" w:type="dxa"/>
              <w:left w:w="-1" w:type="dxa"/>
              <w:bottom w:w="-1" w:type="dxa"/>
              <w:right w:w="-1" w:type="dxa"/>
            </w:tcMar>
            <w:vAlign w:val="center"/>
          </w:tcPr>
          <w:p w14:paraId="25ED4BA6">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4.02</w:t>
            </w:r>
          </w:p>
        </w:tc>
        <w:tc>
          <w:tcPr>
            <w:tcW w:w="1843" w:type="dxa"/>
            <w:tcBorders>
              <w:top w:val="nil"/>
              <w:left w:val="nil"/>
              <w:bottom w:val="nil"/>
              <w:right w:val="nil"/>
            </w:tcBorders>
            <w:tcMar>
              <w:top w:w="-1" w:type="dxa"/>
              <w:left w:w="-1" w:type="dxa"/>
              <w:bottom w:w="-1" w:type="dxa"/>
              <w:right w:w="-1" w:type="dxa"/>
            </w:tcMar>
            <w:vAlign w:val="center"/>
          </w:tcPr>
          <w:p w14:paraId="1B7BE42B">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2.64</w:t>
            </w:r>
          </w:p>
        </w:tc>
      </w:tr>
      <w:tr w14:paraId="4D460D8B">
        <w:tblPrEx>
          <w:tblCellMar>
            <w:top w:w="0" w:type="dxa"/>
            <w:left w:w="108" w:type="dxa"/>
            <w:bottom w:w="0" w:type="dxa"/>
            <w:right w:w="108" w:type="dxa"/>
          </w:tblCellMar>
        </w:tblPrEx>
        <w:trPr>
          <w:jc w:val="center"/>
        </w:trPr>
        <w:tc>
          <w:tcPr>
            <w:tcW w:w="1531" w:type="dxa"/>
            <w:tcBorders>
              <w:top w:val="nil"/>
              <w:left w:val="nil"/>
              <w:bottom w:val="nil"/>
              <w:right w:val="nil"/>
            </w:tcBorders>
            <w:tcMar>
              <w:top w:w="-1" w:type="dxa"/>
              <w:left w:w="-1" w:type="dxa"/>
              <w:bottom w:w="-1" w:type="dxa"/>
              <w:right w:w="-1" w:type="dxa"/>
            </w:tcMar>
            <w:vAlign w:val="center"/>
          </w:tcPr>
          <w:p w14:paraId="6FB2AA89">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SIO</w:t>
            </w:r>
            <w:r>
              <w:rPr>
                <w:rFonts w:hint="eastAsia" w:ascii="宋体" w:hAnsi="宋体" w:eastAsia="宋体" w:cs="宋体"/>
                <w:sz w:val="18"/>
                <w:szCs w:val="18"/>
                <w:vertAlign w:val="subscript"/>
                <w:lang w:bidi="ar"/>
              </w:rPr>
              <w:t>2</w:t>
            </w:r>
          </w:p>
        </w:tc>
        <w:tc>
          <w:tcPr>
            <w:tcW w:w="1616" w:type="dxa"/>
            <w:tcBorders>
              <w:top w:val="nil"/>
              <w:left w:val="nil"/>
              <w:bottom w:val="nil"/>
              <w:right w:val="nil"/>
            </w:tcBorders>
            <w:tcMar>
              <w:top w:w="-1" w:type="dxa"/>
              <w:left w:w="-1" w:type="dxa"/>
              <w:bottom w:w="-1" w:type="dxa"/>
              <w:right w:w="-1" w:type="dxa"/>
            </w:tcMar>
            <w:vAlign w:val="center"/>
          </w:tcPr>
          <w:p w14:paraId="344548A0">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82.62</w:t>
            </w:r>
          </w:p>
        </w:tc>
        <w:tc>
          <w:tcPr>
            <w:tcW w:w="1616" w:type="dxa"/>
            <w:tcBorders>
              <w:top w:val="nil"/>
              <w:left w:val="nil"/>
              <w:bottom w:val="nil"/>
              <w:right w:val="nil"/>
            </w:tcBorders>
            <w:tcMar>
              <w:top w:w="-1" w:type="dxa"/>
              <w:left w:w="-1" w:type="dxa"/>
              <w:bottom w:w="-1" w:type="dxa"/>
              <w:right w:w="-1" w:type="dxa"/>
            </w:tcMar>
            <w:vAlign w:val="center"/>
          </w:tcPr>
          <w:p w14:paraId="60FFE988">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86.43</w:t>
            </w:r>
          </w:p>
        </w:tc>
        <w:tc>
          <w:tcPr>
            <w:tcW w:w="1616" w:type="dxa"/>
            <w:tcBorders>
              <w:top w:val="nil"/>
              <w:left w:val="nil"/>
              <w:bottom w:val="nil"/>
              <w:right w:val="nil"/>
            </w:tcBorders>
            <w:tcMar>
              <w:top w:w="-1" w:type="dxa"/>
              <w:left w:w="-1" w:type="dxa"/>
              <w:bottom w:w="-1" w:type="dxa"/>
              <w:right w:w="-1" w:type="dxa"/>
            </w:tcMar>
            <w:vAlign w:val="center"/>
          </w:tcPr>
          <w:p w14:paraId="54AEE437">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84.82</w:t>
            </w:r>
          </w:p>
        </w:tc>
        <w:tc>
          <w:tcPr>
            <w:tcW w:w="1843" w:type="dxa"/>
            <w:tcBorders>
              <w:top w:val="nil"/>
              <w:left w:val="nil"/>
              <w:bottom w:val="nil"/>
              <w:right w:val="nil"/>
            </w:tcBorders>
            <w:tcMar>
              <w:top w:w="-1" w:type="dxa"/>
              <w:left w:w="-1" w:type="dxa"/>
              <w:bottom w:w="-1" w:type="dxa"/>
              <w:right w:w="-1" w:type="dxa"/>
            </w:tcMar>
            <w:vAlign w:val="center"/>
          </w:tcPr>
          <w:p w14:paraId="5475FBB4">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84.45</w:t>
            </w:r>
          </w:p>
        </w:tc>
      </w:tr>
      <w:tr w14:paraId="5F5D8754">
        <w:tblPrEx>
          <w:tblCellMar>
            <w:top w:w="0" w:type="dxa"/>
            <w:left w:w="108" w:type="dxa"/>
            <w:bottom w:w="0" w:type="dxa"/>
            <w:right w:w="108" w:type="dxa"/>
          </w:tblCellMar>
        </w:tblPrEx>
        <w:trPr>
          <w:jc w:val="center"/>
        </w:trPr>
        <w:tc>
          <w:tcPr>
            <w:tcW w:w="1531" w:type="dxa"/>
            <w:tcBorders>
              <w:top w:val="nil"/>
              <w:left w:val="nil"/>
              <w:bottom w:val="nil"/>
              <w:right w:val="nil"/>
            </w:tcBorders>
            <w:tcMar>
              <w:top w:w="-1" w:type="dxa"/>
              <w:left w:w="-1" w:type="dxa"/>
              <w:bottom w:w="-1" w:type="dxa"/>
              <w:right w:w="-1" w:type="dxa"/>
            </w:tcMar>
            <w:vAlign w:val="center"/>
          </w:tcPr>
          <w:p w14:paraId="13826F95">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Fe</w:t>
            </w:r>
            <w:r>
              <w:rPr>
                <w:rFonts w:hint="eastAsia" w:ascii="宋体" w:hAnsi="宋体" w:eastAsia="宋体" w:cs="宋体"/>
                <w:sz w:val="18"/>
                <w:szCs w:val="18"/>
                <w:vertAlign w:val="subscript"/>
                <w:lang w:bidi="ar"/>
              </w:rPr>
              <w:t>2</w:t>
            </w:r>
            <w:r>
              <w:rPr>
                <w:rFonts w:hint="eastAsia" w:ascii="宋体" w:hAnsi="宋体" w:eastAsia="宋体" w:cs="宋体"/>
                <w:sz w:val="18"/>
                <w:szCs w:val="18"/>
                <w:lang w:bidi="ar"/>
              </w:rPr>
              <w:t>O</w:t>
            </w:r>
            <w:r>
              <w:rPr>
                <w:rFonts w:hint="eastAsia" w:ascii="宋体" w:hAnsi="宋体" w:eastAsia="宋体" w:cs="宋体"/>
                <w:sz w:val="18"/>
                <w:szCs w:val="18"/>
                <w:vertAlign w:val="subscript"/>
                <w:lang w:bidi="ar"/>
              </w:rPr>
              <w:t>3</w:t>
            </w:r>
          </w:p>
        </w:tc>
        <w:tc>
          <w:tcPr>
            <w:tcW w:w="1616" w:type="dxa"/>
            <w:tcBorders>
              <w:top w:val="nil"/>
              <w:left w:val="nil"/>
              <w:bottom w:val="nil"/>
              <w:right w:val="nil"/>
            </w:tcBorders>
            <w:tcMar>
              <w:top w:w="-1" w:type="dxa"/>
              <w:left w:w="-1" w:type="dxa"/>
              <w:bottom w:w="-1" w:type="dxa"/>
              <w:right w:w="-1" w:type="dxa"/>
            </w:tcMar>
            <w:vAlign w:val="center"/>
          </w:tcPr>
          <w:p w14:paraId="0DFF51B1">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2.04</w:t>
            </w:r>
          </w:p>
        </w:tc>
        <w:tc>
          <w:tcPr>
            <w:tcW w:w="1616" w:type="dxa"/>
            <w:tcBorders>
              <w:top w:val="nil"/>
              <w:left w:val="nil"/>
              <w:bottom w:val="nil"/>
              <w:right w:val="nil"/>
            </w:tcBorders>
            <w:tcMar>
              <w:top w:w="-1" w:type="dxa"/>
              <w:left w:w="-1" w:type="dxa"/>
              <w:bottom w:w="-1" w:type="dxa"/>
              <w:right w:w="-1" w:type="dxa"/>
            </w:tcMar>
            <w:vAlign w:val="center"/>
          </w:tcPr>
          <w:p w14:paraId="16EDAD5F">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1.18</w:t>
            </w:r>
          </w:p>
        </w:tc>
        <w:tc>
          <w:tcPr>
            <w:tcW w:w="1616" w:type="dxa"/>
            <w:tcBorders>
              <w:top w:val="nil"/>
              <w:left w:val="nil"/>
              <w:bottom w:val="nil"/>
              <w:right w:val="nil"/>
            </w:tcBorders>
            <w:tcMar>
              <w:top w:w="-1" w:type="dxa"/>
              <w:left w:w="-1" w:type="dxa"/>
              <w:bottom w:w="-1" w:type="dxa"/>
              <w:right w:w="-1" w:type="dxa"/>
            </w:tcMar>
            <w:vAlign w:val="center"/>
          </w:tcPr>
          <w:p w14:paraId="3720E696">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0.96</w:t>
            </w:r>
          </w:p>
        </w:tc>
        <w:tc>
          <w:tcPr>
            <w:tcW w:w="1843" w:type="dxa"/>
            <w:tcBorders>
              <w:top w:val="nil"/>
              <w:left w:val="nil"/>
              <w:bottom w:val="nil"/>
              <w:right w:val="nil"/>
            </w:tcBorders>
            <w:tcMar>
              <w:top w:w="-1" w:type="dxa"/>
              <w:left w:w="-1" w:type="dxa"/>
              <w:bottom w:w="-1" w:type="dxa"/>
              <w:right w:w="-1" w:type="dxa"/>
            </w:tcMar>
            <w:vAlign w:val="center"/>
          </w:tcPr>
          <w:p w14:paraId="043AD081">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1.58</w:t>
            </w:r>
          </w:p>
        </w:tc>
      </w:tr>
      <w:tr w14:paraId="5D8A35AE">
        <w:tblPrEx>
          <w:tblCellMar>
            <w:top w:w="0" w:type="dxa"/>
            <w:left w:w="108" w:type="dxa"/>
            <w:bottom w:w="0" w:type="dxa"/>
            <w:right w:w="108" w:type="dxa"/>
          </w:tblCellMar>
        </w:tblPrEx>
        <w:trPr>
          <w:jc w:val="center"/>
        </w:trPr>
        <w:tc>
          <w:tcPr>
            <w:tcW w:w="1531" w:type="dxa"/>
            <w:tcBorders>
              <w:top w:val="nil"/>
              <w:left w:val="nil"/>
              <w:bottom w:val="nil"/>
              <w:right w:val="nil"/>
            </w:tcBorders>
            <w:tcMar>
              <w:top w:w="-1" w:type="dxa"/>
              <w:left w:w="-1" w:type="dxa"/>
              <w:bottom w:w="-1" w:type="dxa"/>
              <w:right w:w="-1" w:type="dxa"/>
            </w:tcMar>
            <w:vAlign w:val="center"/>
          </w:tcPr>
          <w:p w14:paraId="221D90A3">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K</w:t>
            </w:r>
            <w:r>
              <w:rPr>
                <w:rFonts w:hint="eastAsia" w:ascii="宋体" w:hAnsi="宋体" w:eastAsia="宋体" w:cs="宋体"/>
                <w:sz w:val="18"/>
                <w:szCs w:val="18"/>
                <w:vertAlign w:val="subscript"/>
                <w:lang w:bidi="ar"/>
              </w:rPr>
              <w:t>2</w:t>
            </w:r>
            <w:r>
              <w:rPr>
                <w:rFonts w:hint="eastAsia" w:ascii="宋体" w:hAnsi="宋体" w:eastAsia="宋体" w:cs="宋体"/>
                <w:sz w:val="18"/>
                <w:szCs w:val="18"/>
                <w:lang w:bidi="ar"/>
              </w:rPr>
              <w:t>O</w:t>
            </w:r>
          </w:p>
        </w:tc>
        <w:tc>
          <w:tcPr>
            <w:tcW w:w="1616" w:type="dxa"/>
            <w:tcBorders>
              <w:top w:val="nil"/>
              <w:left w:val="nil"/>
              <w:bottom w:val="nil"/>
              <w:right w:val="nil"/>
            </w:tcBorders>
            <w:tcMar>
              <w:top w:w="-1" w:type="dxa"/>
              <w:left w:w="-1" w:type="dxa"/>
              <w:bottom w:w="-1" w:type="dxa"/>
              <w:right w:w="-1" w:type="dxa"/>
            </w:tcMar>
            <w:vAlign w:val="center"/>
          </w:tcPr>
          <w:p w14:paraId="63427F00">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0.39</w:t>
            </w:r>
          </w:p>
        </w:tc>
        <w:tc>
          <w:tcPr>
            <w:tcW w:w="1616" w:type="dxa"/>
            <w:tcBorders>
              <w:top w:val="nil"/>
              <w:left w:val="nil"/>
              <w:bottom w:val="nil"/>
              <w:right w:val="nil"/>
            </w:tcBorders>
            <w:tcMar>
              <w:top w:w="-1" w:type="dxa"/>
              <w:left w:w="-1" w:type="dxa"/>
              <w:bottom w:w="-1" w:type="dxa"/>
              <w:right w:w="-1" w:type="dxa"/>
            </w:tcMar>
            <w:vAlign w:val="center"/>
          </w:tcPr>
          <w:p w14:paraId="090F0F46">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0.22</w:t>
            </w:r>
          </w:p>
        </w:tc>
        <w:tc>
          <w:tcPr>
            <w:tcW w:w="1616" w:type="dxa"/>
            <w:tcBorders>
              <w:top w:val="nil"/>
              <w:left w:val="nil"/>
              <w:bottom w:val="nil"/>
              <w:right w:val="nil"/>
            </w:tcBorders>
            <w:tcMar>
              <w:top w:w="-1" w:type="dxa"/>
              <w:left w:w="-1" w:type="dxa"/>
              <w:bottom w:w="-1" w:type="dxa"/>
              <w:right w:w="-1" w:type="dxa"/>
            </w:tcMar>
            <w:vAlign w:val="center"/>
          </w:tcPr>
          <w:p w14:paraId="21C9B5F7">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0.12</w:t>
            </w:r>
          </w:p>
        </w:tc>
        <w:tc>
          <w:tcPr>
            <w:tcW w:w="1843" w:type="dxa"/>
            <w:tcBorders>
              <w:top w:val="nil"/>
              <w:left w:val="nil"/>
              <w:bottom w:val="nil"/>
              <w:right w:val="nil"/>
            </w:tcBorders>
            <w:tcMar>
              <w:top w:w="-1" w:type="dxa"/>
              <w:left w:w="-1" w:type="dxa"/>
              <w:bottom w:w="-1" w:type="dxa"/>
              <w:right w:w="-1" w:type="dxa"/>
            </w:tcMar>
            <w:vAlign w:val="center"/>
          </w:tcPr>
          <w:p w14:paraId="52568DC9">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0.46</w:t>
            </w:r>
          </w:p>
        </w:tc>
      </w:tr>
      <w:tr w14:paraId="5342EE9B">
        <w:tblPrEx>
          <w:tblCellMar>
            <w:top w:w="0" w:type="dxa"/>
            <w:left w:w="108" w:type="dxa"/>
            <w:bottom w:w="0" w:type="dxa"/>
            <w:right w:w="108" w:type="dxa"/>
          </w:tblCellMar>
        </w:tblPrEx>
        <w:trPr>
          <w:trHeight w:val="265" w:hRule="atLeast"/>
          <w:jc w:val="center"/>
        </w:trPr>
        <w:tc>
          <w:tcPr>
            <w:tcW w:w="1531" w:type="dxa"/>
            <w:tcBorders>
              <w:top w:val="nil"/>
              <w:left w:val="nil"/>
              <w:bottom w:val="single" w:color="000000" w:sz="12" w:space="0"/>
              <w:right w:val="nil"/>
            </w:tcBorders>
            <w:tcMar>
              <w:top w:w="-1" w:type="dxa"/>
              <w:left w:w="-1" w:type="dxa"/>
              <w:bottom w:w="-1" w:type="dxa"/>
              <w:right w:w="-1" w:type="dxa"/>
            </w:tcMar>
            <w:vAlign w:val="center"/>
          </w:tcPr>
          <w:p w14:paraId="1A3A3000">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Na</w:t>
            </w:r>
            <w:r>
              <w:rPr>
                <w:rFonts w:hint="eastAsia" w:ascii="宋体" w:hAnsi="宋体" w:eastAsia="宋体" w:cs="宋体"/>
                <w:sz w:val="18"/>
                <w:szCs w:val="18"/>
                <w:vertAlign w:val="subscript"/>
                <w:lang w:bidi="ar"/>
              </w:rPr>
              <w:t>2</w:t>
            </w:r>
            <w:r>
              <w:rPr>
                <w:rFonts w:hint="eastAsia" w:ascii="宋体" w:hAnsi="宋体" w:eastAsia="宋体" w:cs="宋体"/>
                <w:sz w:val="18"/>
                <w:szCs w:val="18"/>
                <w:lang w:bidi="ar"/>
              </w:rPr>
              <w:t>O</w:t>
            </w:r>
          </w:p>
        </w:tc>
        <w:tc>
          <w:tcPr>
            <w:tcW w:w="1616" w:type="dxa"/>
            <w:tcBorders>
              <w:top w:val="nil"/>
              <w:left w:val="nil"/>
              <w:bottom w:val="single" w:color="000000" w:sz="12" w:space="0"/>
              <w:right w:val="nil"/>
            </w:tcBorders>
            <w:tcMar>
              <w:top w:w="-1" w:type="dxa"/>
              <w:left w:w="-1" w:type="dxa"/>
              <w:bottom w:w="-1" w:type="dxa"/>
              <w:right w:w="-1" w:type="dxa"/>
            </w:tcMar>
            <w:vAlign w:val="center"/>
          </w:tcPr>
          <w:p w14:paraId="45503708">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0.45</w:t>
            </w:r>
          </w:p>
        </w:tc>
        <w:tc>
          <w:tcPr>
            <w:tcW w:w="1616" w:type="dxa"/>
            <w:tcBorders>
              <w:top w:val="nil"/>
              <w:left w:val="nil"/>
              <w:bottom w:val="single" w:color="000000" w:sz="12" w:space="0"/>
              <w:right w:val="nil"/>
            </w:tcBorders>
            <w:tcMar>
              <w:top w:w="-1" w:type="dxa"/>
              <w:left w:w="-1" w:type="dxa"/>
              <w:bottom w:w="-1" w:type="dxa"/>
              <w:right w:w="-1" w:type="dxa"/>
            </w:tcMar>
            <w:vAlign w:val="center"/>
          </w:tcPr>
          <w:p w14:paraId="315C0F3D">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0.20</w:t>
            </w:r>
          </w:p>
        </w:tc>
        <w:tc>
          <w:tcPr>
            <w:tcW w:w="1616" w:type="dxa"/>
            <w:tcBorders>
              <w:top w:val="nil"/>
              <w:left w:val="nil"/>
              <w:bottom w:val="single" w:color="000000" w:sz="12" w:space="0"/>
              <w:right w:val="nil"/>
            </w:tcBorders>
            <w:tcMar>
              <w:top w:w="-1" w:type="dxa"/>
              <w:left w:w="-1" w:type="dxa"/>
              <w:bottom w:w="-1" w:type="dxa"/>
              <w:right w:w="-1" w:type="dxa"/>
            </w:tcMar>
            <w:vAlign w:val="center"/>
          </w:tcPr>
          <w:p w14:paraId="33C16F21">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0.18</w:t>
            </w:r>
          </w:p>
        </w:tc>
        <w:tc>
          <w:tcPr>
            <w:tcW w:w="1843" w:type="dxa"/>
            <w:tcBorders>
              <w:top w:val="nil"/>
              <w:left w:val="nil"/>
              <w:bottom w:val="single" w:color="000000" w:sz="12" w:space="0"/>
              <w:right w:val="nil"/>
            </w:tcBorders>
            <w:tcMar>
              <w:top w:w="-1" w:type="dxa"/>
              <w:left w:w="-1" w:type="dxa"/>
              <w:bottom w:w="-1" w:type="dxa"/>
              <w:right w:w="-1" w:type="dxa"/>
            </w:tcMar>
            <w:vAlign w:val="center"/>
          </w:tcPr>
          <w:p w14:paraId="1ED101E8">
            <w:pPr>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0.27</w:t>
            </w:r>
          </w:p>
        </w:tc>
      </w:tr>
    </w:tbl>
    <w:p w14:paraId="49C89B88">
      <w:pPr>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采用电感耦合等离子体发射光谱仪（ICP-OES）析了四种硅藻土载体样品的化学成分，如表1所示，四种硅藻土样品的化学组成相似，主要成分都为无定形的SiO</w:t>
      </w:r>
      <w:r>
        <w:rPr>
          <w:rFonts w:hint="eastAsia" w:ascii="宋体" w:hAnsi="宋体" w:eastAsia="宋体" w:cs="宋体"/>
          <w:sz w:val="21"/>
          <w:szCs w:val="21"/>
          <w:vertAlign w:val="subscript"/>
        </w:rPr>
        <w:t>2</w:t>
      </w:r>
      <w:r>
        <w:rPr>
          <w:rFonts w:hint="eastAsia" w:ascii="宋体" w:hAnsi="宋体" w:eastAsia="宋体" w:cs="宋体"/>
          <w:sz w:val="21"/>
          <w:szCs w:val="21"/>
        </w:rPr>
        <w:t>，这与XRD图（图1）相对应，除此外，也存在较少的Al</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、Fe</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、K</w:t>
      </w:r>
      <w:r>
        <w:rPr>
          <w:rFonts w:hint="eastAsia" w:ascii="宋体" w:hAnsi="宋体" w:eastAsia="宋体" w:cs="宋体"/>
          <w:sz w:val="21"/>
          <w:szCs w:val="21"/>
          <w:vertAlign w:val="subscript"/>
        </w:rPr>
        <w:t>2</w:t>
      </w:r>
      <w:r>
        <w:rPr>
          <w:rFonts w:hint="eastAsia" w:ascii="宋体" w:hAnsi="宋体" w:eastAsia="宋体" w:cs="宋体"/>
          <w:sz w:val="21"/>
          <w:szCs w:val="21"/>
        </w:rPr>
        <w:t>O、Na</w:t>
      </w:r>
      <w:r>
        <w:rPr>
          <w:rFonts w:hint="eastAsia" w:ascii="宋体" w:hAnsi="宋体" w:eastAsia="宋体" w:cs="宋体"/>
          <w:sz w:val="21"/>
          <w:szCs w:val="21"/>
          <w:vertAlign w:val="subscript"/>
        </w:rPr>
        <w:t>2</w:t>
      </w:r>
      <w:r>
        <w:rPr>
          <w:rFonts w:hint="eastAsia" w:ascii="宋体" w:hAnsi="宋体" w:eastAsia="宋体" w:cs="宋体"/>
          <w:sz w:val="21"/>
          <w:szCs w:val="21"/>
        </w:rPr>
        <w:t>O等物质</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EN.CITE &lt;EndNote&gt;&lt;Cite&gt;&lt;Author&gt;Chen&lt;/Author&gt;&lt;Year&gt;2020&lt;/Year&gt;&lt;RecNum&gt;56&lt;/RecNum&gt;&lt;DisplayText&gt;&lt;style face="superscript"&gt;[15]&lt;/style&gt;&lt;/DisplayText&gt;&lt;record&gt;&lt;rec-number&gt;56&lt;/rec-number&gt;&lt;foreign-keys&gt;&lt;key app="EN" db-id="tt5xxde0mrvz0zefwauxrwf3af05xt2xpwfp" timestamp="1774588425"&gt;56&lt;/key&gt;&lt;/foreign-keys&gt;&lt;ref-type name="Journal Article"&gt;17&lt;/ref-type&gt;&lt;contributors&gt;&lt;authors&gt;&lt;author&gt;Chen, Fu&lt;/author&gt;&lt;author&gt;Miao, Ying&lt;/author&gt;&lt;author&gt;Ma, Lili&lt;/author&gt;&lt;author&gt;Zhan, Feng&lt;/author&gt;&lt;author&gt;Wang, Wenhui&lt;/author&gt;&lt;author&gt;Chen, Nanchun&lt;/author&gt;&lt;author&gt;Xie, Qinglin&lt;/author&gt;&lt;/authors&gt;&lt;/contributors&gt;&lt;titles&gt;&lt;title&gt;Optimization of pore structure of a clayey diatomite&lt;/title&gt;&lt;secondary-title&gt;Particulate Science and Technology&lt;/secondary-title&gt;&lt;/titles&gt;&lt;periodical&gt;&lt;full-title&gt;Particulate Science and Technology&lt;/full-title&gt;&lt;/periodical&gt;&lt;pages&gt;522-528&lt;/pages&gt;&lt;volume&gt;38&lt;/volume&gt;&lt;number&gt;5&lt;/number&gt;&lt;dates&gt;&lt;year&gt;2020&lt;/year&gt;&lt;pub-dates&gt;&lt;date&gt;2020/07/03&lt;/date&gt;&lt;/pub-dates&gt;&lt;/dates&gt;&lt;publisher&gt;Taylor &amp;amp; Francis&lt;/publisher&gt;&lt;isbn&gt;0272-6351&lt;/isbn&gt;&lt;urls&gt;&lt;related-urls&gt;&lt;url&gt;https://doi.org/10.1080/02726351.2019.1567635&lt;/url&gt;&lt;/related-urls&gt;&lt;/urls&gt;&lt;electronic-resource-num&gt;10.1080/02726351.2019.1567635&lt;/electronic-resource-num&gt;&lt;/record&gt;&lt;/Cite&gt;&lt;/EndNote&gt;</w:instrText>
      </w:r>
      <w:r>
        <w:rPr>
          <w:rFonts w:hint="eastAsia" w:ascii="宋体" w:hAnsi="宋体" w:eastAsia="宋体" w:cs="宋体"/>
          <w:sz w:val="21"/>
          <w:szCs w:val="21"/>
        </w:rPr>
        <w:fldChar w:fldCharType="separate"/>
      </w:r>
      <w:r>
        <w:rPr>
          <w:rFonts w:hint="eastAsia" w:ascii="宋体" w:hAnsi="宋体" w:eastAsia="宋体" w:cs="宋体"/>
          <w:sz w:val="21"/>
          <w:szCs w:val="21"/>
          <w:vertAlign w:val="superscript"/>
        </w:rPr>
        <w:t>[15]</w:t>
      </w:r>
      <w:r>
        <w:rPr>
          <w:rFonts w:hint="eastAsia" w:ascii="宋体" w:hAnsi="宋体" w:eastAsia="宋体" w:cs="宋体"/>
          <w:sz w:val="21"/>
          <w:szCs w:val="21"/>
        </w:rPr>
        <w:fldChar w:fldCharType="end"/>
      </w:r>
      <w:r>
        <w:rPr>
          <w:rFonts w:hint="eastAsia" w:ascii="宋体" w:hAnsi="宋体" w:eastAsia="宋体" w:cs="宋体"/>
          <w:sz w:val="21"/>
          <w:szCs w:val="21"/>
        </w:rPr>
        <w:t>。在600 °C煅烧过程中，由于脱水、有机质或不稳定杂质矿物分解等而具有一定的质量损失（烧失量LOI），烧失量大小依次为硅藻土D＞硅藻土C＞硅藻土A＞硅藻土B，硅藻土D烧失量达到了9.80%。SiO</w:t>
      </w:r>
      <w:r>
        <w:rPr>
          <w:rFonts w:hint="eastAsia" w:ascii="宋体" w:hAnsi="宋体" w:eastAsia="宋体" w:cs="宋体"/>
          <w:sz w:val="21"/>
          <w:szCs w:val="21"/>
          <w:vertAlign w:val="subscript"/>
        </w:rPr>
        <w:t>2</w:t>
      </w:r>
      <w:r>
        <w:rPr>
          <w:rFonts w:hint="eastAsia" w:ascii="宋体" w:hAnsi="宋体" w:eastAsia="宋体" w:cs="宋体"/>
          <w:sz w:val="21"/>
          <w:szCs w:val="21"/>
        </w:rPr>
        <w:t>含量大小依次为硅藻土B&gt;硅藻土C &gt;硅藻土D&gt;硅藻土A，硅藻土B中 SiO</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含量最高，这可能因为硅藻土B中几乎没有杂质矿物，这与XRD图相对应。由表1可以得到硅藻土A的Al</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含量和Fe</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 xml:space="preserve"> 含量最高，这归因于该样品有着较多的杂质粘土矿物，而这些杂质粘土矿物常与含铁矿物伴生。综合而言，硅藻土B中 SiO</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含量最高，且Al</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 Fe</w:t>
      </w:r>
      <w:r>
        <w:rPr>
          <w:rFonts w:hint="eastAsia" w:ascii="宋体" w:hAnsi="宋体" w:eastAsia="宋体" w:cs="宋体"/>
          <w:sz w:val="21"/>
          <w:szCs w:val="21"/>
          <w:vertAlign w:val="subscript"/>
        </w:rPr>
        <w:t>2</w:t>
      </w:r>
      <w:r>
        <w:rPr>
          <w:rFonts w:hint="eastAsia" w:ascii="宋体" w:hAnsi="宋体" w:eastAsia="宋体" w:cs="宋体"/>
          <w:sz w:val="21"/>
          <w:szCs w:val="21"/>
        </w:rPr>
        <w:t>O</w:t>
      </w:r>
      <w:r>
        <w:rPr>
          <w:rFonts w:hint="eastAsia" w:ascii="宋体" w:hAnsi="宋体" w:eastAsia="宋体" w:cs="宋体"/>
          <w:sz w:val="21"/>
          <w:szCs w:val="21"/>
          <w:vertAlign w:val="subscript"/>
        </w:rPr>
        <w:t>3</w:t>
      </w:r>
      <w:r>
        <w:rPr>
          <w:rFonts w:hint="eastAsia" w:ascii="宋体" w:hAnsi="宋体" w:eastAsia="宋体" w:cs="宋体"/>
          <w:sz w:val="21"/>
          <w:szCs w:val="21"/>
        </w:rPr>
        <w:t>、</w:t>
      </w:r>
      <w:r>
        <w:rPr>
          <w:rFonts w:hint="eastAsia" w:ascii="宋体" w:hAnsi="宋体" w:eastAsia="宋体" w:cs="宋体"/>
          <w:color w:val="000000"/>
          <w:kern w:val="0"/>
          <w:sz w:val="21"/>
          <w:szCs w:val="21"/>
          <w:lang w:bidi="ar"/>
        </w:rPr>
        <w:t>K</w:t>
      </w:r>
      <w:r>
        <w:rPr>
          <w:rFonts w:hint="eastAsia" w:ascii="宋体" w:hAnsi="宋体" w:eastAsia="宋体" w:cs="宋体"/>
          <w:color w:val="000000"/>
          <w:kern w:val="0"/>
          <w:sz w:val="21"/>
          <w:szCs w:val="21"/>
          <w:vertAlign w:val="subscript"/>
          <w:lang w:bidi="ar"/>
        </w:rPr>
        <w:t>2</w:t>
      </w:r>
      <w:r>
        <w:rPr>
          <w:rFonts w:hint="eastAsia" w:ascii="宋体" w:hAnsi="宋体" w:eastAsia="宋体" w:cs="宋体"/>
          <w:color w:val="000000"/>
          <w:kern w:val="0"/>
          <w:sz w:val="21"/>
          <w:szCs w:val="21"/>
          <w:lang w:bidi="ar"/>
        </w:rPr>
        <w:t>O、Na</w:t>
      </w:r>
      <w:r>
        <w:rPr>
          <w:rFonts w:hint="eastAsia" w:ascii="宋体" w:hAnsi="宋体" w:eastAsia="宋体" w:cs="宋体"/>
          <w:color w:val="000000"/>
          <w:kern w:val="0"/>
          <w:sz w:val="21"/>
          <w:szCs w:val="21"/>
          <w:vertAlign w:val="subscript"/>
          <w:lang w:bidi="ar"/>
        </w:rPr>
        <w:t>2</w:t>
      </w:r>
      <w:r>
        <w:rPr>
          <w:rFonts w:hint="eastAsia" w:ascii="宋体" w:hAnsi="宋体" w:eastAsia="宋体" w:cs="宋体"/>
          <w:color w:val="000000"/>
          <w:kern w:val="0"/>
          <w:sz w:val="21"/>
          <w:szCs w:val="21"/>
          <w:lang w:bidi="ar"/>
        </w:rPr>
        <w:t>O等组分含量较低，其较高的</w:t>
      </w:r>
      <w:r>
        <w:rPr>
          <w:rFonts w:hint="eastAsia" w:ascii="宋体" w:hAnsi="宋体" w:eastAsia="宋体" w:cs="宋体"/>
          <w:sz w:val="21"/>
          <w:szCs w:val="21"/>
        </w:rPr>
        <w:t>SiO</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 含量对于催化活性的提升有着积极作用。</w:t>
      </w:r>
    </w:p>
    <w:p w14:paraId="325A328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3.3硅藻土热重分析</w:t>
      </w:r>
    </w:p>
    <w:p w14:paraId="49513DFC">
      <w:pPr>
        <w:spacing w:line="360" w:lineRule="auto"/>
        <w:jc w:val="center"/>
        <w:rPr>
          <w:rFonts w:ascii="Times New Roman" w:hAnsi="Times New Roman" w:eastAsia="宋体" w:cs="Times New Roman"/>
        </w:rPr>
      </w:pPr>
      <w:r>
        <w:rPr>
          <w:rFonts w:ascii="Times New Roman" w:hAnsi="Times New Roman" w:eastAsia="宋体" w:cs="Times New Roman"/>
        </w:rPr>
        <w:drawing>
          <wp:inline distT="0" distB="0" distL="0" distR="0">
            <wp:extent cx="5274310" cy="3693160"/>
            <wp:effectExtent l="0" t="0" r="2540"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693160"/>
                    </a:xfrm>
                    <a:prstGeom prst="rect">
                      <a:avLst/>
                    </a:prstGeom>
                  </pic:spPr>
                </pic:pic>
              </a:graphicData>
            </a:graphic>
          </wp:inline>
        </w:drawing>
      </w:r>
    </w:p>
    <w:p w14:paraId="4CC3B753">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图2 （a）硅藻土A；（b）硅藻土B；（c）硅藻土C；（d）硅藻土D的TG和DTG图</w:t>
      </w:r>
    </w:p>
    <w:p w14:paraId="0B5CCFA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采用热重分析仪分析对了四种硅藻载体样品的热稳定性，如图3所示。四种硅藻土样品随着温度的升高，热重曲线（TG）呈连续下降的趋势，到 900 ℃以后基本达到平衡，DTG 曲线也存在与TG曲线对应的失重峰。对于硅藻土A，存在三个失重峰，第一个失重峰在 33-279 ℃之间，5.80%的失重量主要由物理吸附水和部分表面羟基的去除所致。第二个失重峰在279-514 ℃之间，失重量为 1.50%，主要发生表面羟基的脱出或是有机质分解。第三个失重峰在514-745 ℃之间，失重量为 1.11%，主要因为硅藻内部结构羟基的脱失。总而言之，硅藻土A的总失重量约 8.61%。其他样品失重的原因与硅藻土A相似。硅藻土B的第一个失重峰在 33-222 ℃之间，失重量为 6.48%，第二个失重峰在 222-530 ℃之间，失重量为 0.65%，第三个失重峰在530-663 ℃之间，失重量为 1.61%，三者总的失重量约 8.74%。对于硅藻土C，第一个失重峰在33-278 ℃之间，失重量为 7.06%，第二个失重峰在273-663℃之间，失重量为2.01%，其总的失重量约 9.08%。硅藻土D中，第一个失重峰在33-280 ℃之间，失重量为 7.06%，第二个失重峰在280-481℃之间，失重量为2.01%，第三个失重峰在481-682℃之间，失重量为1.14%，总的失重量约 10.21%。需要注意的是，这里的总失重量是指在温度低于 750 ℃的失重之和，而当在 750-1000 ℃时，硅藻、杂质矿物如黏土矿物的结构破坏也会导致质量损失。此外，四种硅藻土热重曲线的失重量与表1中的烧失量大致对应，圆盘藻B有着最小的失重量和烧失量，说明其有着较好的热稳定性，硅藻土D则相反。</w:t>
      </w:r>
    </w:p>
    <w:p w14:paraId="67FC01D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3.4硅藻土形貌分析</w:t>
      </w:r>
    </w:p>
    <w:p w14:paraId="49DF990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扫描电子显微镜（SEM）对四种硅藻土表面形貌进行了观察，结果如图3所示，由图可知硅藻土A主要为圆柱状直链硅藻，单个硅藻清晰完整，无杂糅情况，碎屑少，孔道清晰且通畅；硅藻土B为圆盘硅藻，部分破碎，其单个硅藻疏松，孔尺寸小且数量多，通透性好；硅藻土C为圆柱状直链硅藻，单个硅藻较完整，有部分破碎，可见小孔通透，但表面部分孔被遮蔽；硅藻土D为圆盘硅藻，单个硅藻圆盘完整但较厚，碎屑较多，小孔细密，通透性一般。</w:t>
      </w:r>
    </w:p>
    <w:p w14:paraId="21FF82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5274310" cy="1889760"/>
            <wp:effectExtent l="0" t="0" r="2540" b="1524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1889760"/>
                    </a:xfrm>
                    <a:prstGeom prst="rect">
                      <a:avLst/>
                    </a:prstGeom>
                  </pic:spPr>
                </pic:pic>
              </a:graphicData>
            </a:graphic>
          </wp:inline>
        </w:drawing>
      </w:r>
    </w:p>
    <w:p w14:paraId="624DC96F">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图3 （a-b）硅藻土A；（c-d）硅藻土B；（e-f）硅藻土C；（g-h）硅藻土D的SEM图</w:t>
      </w:r>
    </w:p>
    <w:p w14:paraId="5D35884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3.5硅藻土孔径分析</w:t>
      </w:r>
    </w:p>
    <w:p w14:paraId="69BA0DA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表2 四种硅藻土样品孔径分析数据表</w:t>
      </w:r>
    </w:p>
    <w:tbl>
      <w:tblPr>
        <w:tblStyle w:val="17"/>
        <w:tblW w:w="8380" w:type="dxa"/>
        <w:jc w:val="center"/>
        <w:tblLayout w:type="autofit"/>
        <w:tblCellMar>
          <w:top w:w="0" w:type="dxa"/>
          <w:left w:w="108" w:type="dxa"/>
          <w:bottom w:w="0" w:type="dxa"/>
          <w:right w:w="108" w:type="dxa"/>
        </w:tblCellMar>
      </w:tblPr>
      <w:tblGrid>
        <w:gridCol w:w="1066"/>
        <w:gridCol w:w="1864"/>
        <w:gridCol w:w="1924"/>
        <w:gridCol w:w="1924"/>
        <w:gridCol w:w="1602"/>
      </w:tblGrid>
      <w:tr w14:paraId="2C00E78C">
        <w:tblPrEx>
          <w:tblCellMar>
            <w:top w:w="0" w:type="dxa"/>
            <w:left w:w="108" w:type="dxa"/>
            <w:bottom w:w="0" w:type="dxa"/>
            <w:right w:w="108" w:type="dxa"/>
          </w:tblCellMar>
        </w:tblPrEx>
        <w:trPr>
          <w:tblHeader/>
          <w:jc w:val="center"/>
        </w:trPr>
        <w:tc>
          <w:tcPr>
            <w:tcW w:w="1066" w:type="dxa"/>
            <w:tcBorders>
              <w:top w:val="single" w:color="000000" w:sz="12" w:space="0"/>
              <w:left w:val="nil"/>
              <w:bottom w:val="nil"/>
              <w:right w:val="nil"/>
            </w:tcBorders>
            <w:tcMar>
              <w:top w:w="-1" w:type="dxa"/>
              <w:left w:w="-1" w:type="dxa"/>
              <w:bottom w:w="-1" w:type="dxa"/>
              <w:right w:w="-1" w:type="dxa"/>
            </w:tcMar>
            <w:vAlign w:val="center"/>
          </w:tcPr>
          <w:p w14:paraId="21AA44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样品名称</w:t>
            </w:r>
          </w:p>
        </w:tc>
        <w:tc>
          <w:tcPr>
            <w:tcW w:w="1864" w:type="dxa"/>
            <w:tcBorders>
              <w:top w:val="single" w:color="000000" w:sz="12" w:space="0"/>
              <w:left w:val="nil"/>
              <w:bottom w:val="nil"/>
              <w:right w:val="nil"/>
            </w:tcBorders>
            <w:tcMar>
              <w:top w:w="-1" w:type="dxa"/>
              <w:left w:w="-1" w:type="dxa"/>
              <w:bottom w:w="-1" w:type="dxa"/>
              <w:right w:w="-1" w:type="dxa"/>
            </w:tcMar>
            <w:vAlign w:val="center"/>
          </w:tcPr>
          <w:p w14:paraId="1C1154B0">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孔面积(m</w:t>
            </w:r>
            <w:r>
              <w:rPr>
                <w:rFonts w:hint="eastAsia" w:ascii="宋体" w:hAnsi="宋体" w:eastAsia="宋体" w:cs="宋体"/>
                <w:sz w:val="18"/>
                <w:szCs w:val="18"/>
                <w:vertAlign w:val="superscript"/>
                <w:lang w:bidi="ar"/>
              </w:rPr>
              <w:t>2</w:t>
            </w:r>
            <w:r>
              <w:rPr>
                <w:rFonts w:hint="eastAsia" w:ascii="宋体" w:hAnsi="宋体" w:eastAsia="宋体" w:cs="宋体"/>
                <w:sz w:val="18"/>
                <w:szCs w:val="18"/>
                <w:lang w:bidi="ar"/>
              </w:rPr>
              <w:t>/g)</w:t>
            </w:r>
          </w:p>
        </w:tc>
        <w:tc>
          <w:tcPr>
            <w:tcW w:w="1924" w:type="dxa"/>
            <w:tcBorders>
              <w:top w:val="single" w:color="000000" w:sz="12" w:space="0"/>
              <w:left w:val="nil"/>
              <w:bottom w:val="nil"/>
              <w:right w:val="nil"/>
            </w:tcBorders>
            <w:tcMar>
              <w:top w:w="-1" w:type="dxa"/>
              <w:left w:w="-1" w:type="dxa"/>
              <w:bottom w:w="-1" w:type="dxa"/>
              <w:right w:w="-1" w:type="dxa"/>
            </w:tcMar>
            <w:vAlign w:val="center"/>
          </w:tcPr>
          <w:p w14:paraId="5FEA940A">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平均孔径(nm)</w:t>
            </w:r>
          </w:p>
        </w:tc>
        <w:tc>
          <w:tcPr>
            <w:tcW w:w="1924" w:type="dxa"/>
            <w:tcBorders>
              <w:top w:val="single" w:color="000000" w:sz="12" w:space="0"/>
              <w:left w:val="nil"/>
              <w:bottom w:val="nil"/>
              <w:right w:val="nil"/>
            </w:tcBorders>
            <w:tcMar>
              <w:top w:w="-1" w:type="dxa"/>
              <w:left w:w="-1" w:type="dxa"/>
              <w:bottom w:w="-1" w:type="dxa"/>
              <w:right w:w="-1" w:type="dxa"/>
            </w:tcMar>
            <w:vAlign w:val="center"/>
          </w:tcPr>
          <w:p w14:paraId="453E3500">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堆密度(g/ml)</w:t>
            </w:r>
          </w:p>
        </w:tc>
        <w:tc>
          <w:tcPr>
            <w:tcW w:w="1602" w:type="dxa"/>
            <w:tcBorders>
              <w:top w:val="single" w:color="000000" w:sz="12" w:space="0"/>
              <w:left w:val="nil"/>
              <w:bottom w:val="nil"/>
              <w:right w:val="nil"/>
            </w:tcBorders>
            <w:tcMar>
              <w:top w:w="-1" w:type="dxa"/>
              <w:left w:w="-1" w:type="dxa"/>
              <w:bottom w:w="-1" w:type="dxa"/>
              <w:right w:w="-1" w:type="dxa"/>
            </w:tcMar>
            <w:vAlign w:val="center"/>
          </w:tcPr>
          <w:p w14:paraId="7E841404">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孔隙率(%)</w:t>
            </w:r>
          </w:p>
        </w:tc>
      </w:tr>
      <w:tr w14:paraId="736284F2">
        <w:tblPrEx>
          <w:tblCellMar>
            <w:top w:w="0" w:type="dxa"/>
            <w:left w:w="108" w:type="dxa"/>
            <w:bottom w:w="0" w:type="dxa"/>
            <w:right w:w="108" w:type="dxa"/>
          </w:tblCellMar>
        </w:tblPrEx>
        <w:trPr>
          <w:jc w:val="center"/>
        </w:trPr>
        <w:tc>
          <w:tcPr>
            <w:tcW w:w="1066" w:type="dxa"/>
            <w:tcBorders>
              <w:top w:val="single" w:color="auto" w:sz="4" w:space="0"/>
              <w:left w:val="nil"/>
              <w:bottom w:val="nil"/>
              <w:right w:val="nil"/>
            </w:tcBorders>
            <w:tcMar>
              <w:top w:w="-1" w:type="dxa"/>
              <w:left w:w="-1" w:type="dxa"/>
              <w:bottom w:w="-1" w:type="dxa"/>
              <w:right w:w="-1" w:type="dxa"/>
            </w:tcMar>
            <w:vAlign w:val="center"/>
          </w:tcPr>
          <w:p w14:paraId="39BFB6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硅藻土A</w:t>
            </w:r>
          </w:p>
        </w:tc>
        <w:tc>
          <w:tcPr>
            <w:tcW w:w="1864" w:type="dxa"/>
            <w:tcBorders>
              <w:top w:val="single" w:color="auto" w:sz="4" w:space="0"/>
              <w:left w:val="nil"/>
              <w:bottom w:val="nil"/>
              <w:right w:val="nil"/>
            </w:tcBorders>
            <w:tcMar>
              <w:top w:w="-1" w:type="dxa"/>
              <w:left w:w="-1" w:type="dxa"/>
              <w:bottom w:w="-1" w:type="dxa"/>
              <w:right w:w="-1" w:type="dxa"/>
            </w:tcMar>
            <w:vAlign w:val="center"/>
          </w:tcPr>
          <w:p w14:paraId="0AD11739">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15.26</w:t>
            </w:r>
          </w:p>
        </w:tc>
        <w:tc>
          <w:tcPr>
            <w:tcW w:w="1924" w:type="dxa"/>
            <w:tcBorders>
              <w:top w:val="single" w:color="auto" w:sz="4" w:space="0"/>
              <w:left w:val="nil"/>
              <w:bottom w:val="nil"/>
              <w:right w:val="nil"/>
            </w:tcBorders>
            <w:tcMar>
              <w:top w:w="-1" w:type="dxa"/>
              <w:left w:w="-1" w:type="dxa"/>
              <w:bottom w:w="-1" w:type="dxa"/>
              <w:right w:w="-1" w:type="dxa"/>
            </w:tcMar>
            <w:vAlign w:val="center"/>
          </w:tcPr>
          <w:p w14:paraId="1274948A">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655</w:t>
            </w:r>
          </w:p>
        </w:tc>
        <w:tc>
          <w:tcPr>
            <w:tcW w:w="1924" w:type="dxa"/>
            <w:tcBorders>
              <w:top w:val="single" w:color="auto" w:sz="4" w:space="0"/>
              <w:left w:val="nil"/>
              <w:bottom w:val="nil"/>
              <w:right w:val="nil"/>
            </w:tcBorders>
            <w:tcMar>
              <w:top w:w="-1" w:type="dxa"/>
              <w:left w:w="-1" w:type="dxa"/>
              <w:bottom w:w="-1" w:type="dxa"/>
              <w:right w:w="-1" w:type="dxa"/>
            </w:tcMar>
            <w:vAlign w:val="center"/>
          </w:tcPr>
          <w:p w14:paraId="1D7339C4">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0.32</w:t>
            </w:r>
          </w:p>
        </w:tc>
        <w:tc>
          <w:tcPr>
            <w:tcW w:w="1602" w:type="dxa"/>
            <w:tcBorders>
              <w:top w:val="single" w:color="auto" w:sz="4" w:space="0"/>
              <w:left w:val="nil"/>
              <w:bottom w:val="nil"/>
              <w:right w:val="nil"/>
            </w:tcBorders>
            <w:tcMar>
              <w:top w:w="-1" w:type="dxa"/>
              <w:left w:w="-1" w:type="dxa"/>
              <w:bottom w:w="-1" w:type="dxa"/>
              <w:right w:w="-1" w:type="dxa"/>
            </w:tcMar>
            <w:vAlign w:val="center"/>
          </w:tcPr>
          <w:p w14:paraId="687BE08E">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78.80</w:t>
            </w:r>
          </w:p>
        </w:tc>
      </w:tr>
      <w:tr w14:paraId="32AE3A64">
        <w:tblPrEx>
          <w:tblCellMar>
            <w:top w:w="0" w:type="dxa"/>
            <w:left w:w="108" w:type="dxa"/>
            <w:bottom w:w="0" w:type="dxa"/>
            <w:right w:w="108" w:type="dxa"/>
          </w:tblCellMar>
        </w:tblPrEx>
        <w:trPr>
          <w:trHeight w:val="90" w:hRule="atLeast"/>
          <w:jc w:val="center"/>
        </w:trPr>
        <w:tc>
          <w:tcPr>
            <w:tcW w:w="1066" w:type="dxa"/>
            <w:tcBorders>
              <w:top w:val="nil"/>
              <w:left w:val="nil"/>
              <w:bottom w:val="nil"/>
              <w:right w:val="nil"/>
            </w:tcBorders>
            <w:tcMar>
              <w:top w:w="-1" w:type="dxa"/>
              <w:left w:w="-1" w:type="dxa"/>
              <w:bottom w:w="-1" w:type="dxa"/>
              <w:right w:w="-1" w:type="dxa"/>
            </w:tcMar>
            <w:vAlign w:val="center"/>
          </w:tcPr>
          <w:p w14:paraId="25931E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color w:val="000000"/>
                <w:sz w:val="18"/>
                <w:szCs w:val="18"/>
              </w:rPr>
            </w:pPr>
            <w:r>
              <w:rPr>
                <w:rFonts w:hint="eastAsia" w:ascii="宋体" w:hAnsi="宋体" w:eastAsia="宋体" w:cs="宋体"/>
                <w:sz w:val="18"/>
                <w:szCs w:val="18"/>
              </w:rPr>
              <w:t>硅藻土B</w:t>
            </w:r>
          </w:p>
        </w:tc>
        <w:tc>
          <w:tcPr>
            <w:tcW w:w="1864" w:type="dxa"/>
            <w:tcBorders>
              <w:top w:val="nil"/>
              <w:left w:val="nil"/>
              <w:bottom w:val="nil"/>
              <w:right w:val="nil"/>
            </w:tcBorders>
            <w:tcMar>
              <w:top w:w="-1" w:type="dxa"/>
              <w:left w:w="-1" w:type="dxa"/>
              <w:bottom w:w="-1" w:type="dxa"/>
              <w:right w:w="-1" w:type="dxa"/>
            </w:tcMar>
            <w:vAlign w:val="center"/>
          </w:tcPr>
          <w:p w14:paraId="17FA1565">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24.98</w:t>
            </w:r>
          </w:p>
        </w:tc>
        <w:tc>
          <w:tcPr>
            <w:tcW w:w="1924" w:type="dxa"/>
            <w:tcBorders>
              <w:top w:val="nil"/>
              <w:left w:val="nil"/>
              <w:bottom w:val="nil"/>
              <w:right w:val="nil"/>
            </w:tcBorders>
            <w:tcMar>
              <w:top w:w="-1" w:type="dxa"/>
              <w:left w:w="-1" w:type="dxa"/>
              <w:bottom w:w="-1" w:type="dxa"/>
              <w:right w:w="-1" w:type="dxa"/>
            </w:tcMar>
            <w:vAlign w:val="center"/>
          </w:tcPr>
          <w:p w14:paraId="70138421">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608</w:t>
            </w:r>
          </w:p>
        </w:tc>
        <w:tc>
          <w:tcPr>
            <w:tcW w:w="1924" w:type="dxa"/>
            <w:tcBorders>
              <w:top w:val="nil"/>
              <w:left w:val="nil"/>
              <w:bottom w:val="nil"/>
              <w:right w:val="nil"/>
            </w:tcBorders>
            <w:tcMar>
              <w:top w:w="-1" w:type="dxa"/>
              <w:left w:w="-1" w:type="dxa"/>
              <w:bottom w:w="-1" w:type="dxa"/>
              <w:right w:w="-1" w:type="dxa"/>
            </w:tcMar>
            <w:vAlign w:val="center"/>
          </w:tcPr>
          <w:p w14:paraId="37C0C7EC">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0.23</w:t>
            </w:r>
          </w:p>
        </w:tc>
        <w:tc>
          <w:tcPr>
            <w:tcW w:w="1602" w:type="dxa"/>
            <w:tcBorders>
              <w:top w:val="nil"/>
              <w:left w:val="nil"/>
              <w:bottom w:val="nil"/>
              <w:right w:val="nil"/>
            </w:tcBorders>
            <w:tcMar>
              <w:top w:w="-1" w:type="dxa"/>
              <w:left w:w="-1" w:type="dxa"/>
              <w:bottom w:w="-1" w:type="dxa"/>
              <w:right w:w="-1" w:type="dxa"/>
            </w:tcMar>
            <w:vAlign w:val="center"/>
          </w:tcPr>
          <w:p w14:paraId="79C26BCB">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86.91</w:t>
            </w:r>
          </w:p>
        </w:tc>
      </w:tr>
      <w:tr w14:paraId="1FDF6DA8">
        <w:tblPrEx>
          <w:tblCellMar>
            <w:top w:w="0" w:type="dxa"/>
            <w:left w:w="108" w:type="dxa"/>
            <w:bottom w:w="0" w:type="dxa"/>
            <w:right w:w="108" w:type="dxa"/>
          </w:tblCellMar>
        </w:tblPrEx>
        <w:trPr>
          <w:jc w:val="center"/>
        </w:trPr>
        <w:tc>
          <w:tcPr>
            <w:tcW w:w="1066" w:type="dxa"/>
            <w:tcBorders>
              <w:top w:val="nil"/>
              <w:left w:val="nil"/>
              <w:bottom w:val="nil"/>
              <w:right w:val="nil"/>
            </w:tcBorders>
            <w:tcMar>
              <w:top w:w="-1" w:type="dxa"/>
              <w:left w:w="-1" w:type="dxa"/>
              <w:bottom w:w="-1" w:type="dxa"/>
              <w:right w:w="-1" w:type="dxa"/>
            </w:tcMar>
            <w:vAlign w:val="center"/>
          </w:tcPr>
          <w:p w14:paraId="6102DA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sz w:val="18"/>
                <w:szCs w:val="18"/>
              </w:rPr>
            </w:pPr>
            <w:r>
              <w:rPr>
                <w:rFonts w:hint="eastAsia" w:ascii="宋体" w:hAnsi="宋体" w:eastAsia="宋体" w:cs="宋体"/>
                <w:sz w:val="18"/>
                <w:szCs w:val="18"/>
              </w:rPr>
              <w:t>硅藻土C</w:t>
            </w:r>
          </w:p>
        </w:tc>
        <w:tc>
          <w:tcPr>
            <w:tcW w:w="1864" w:type="dxa"/>
            <w:tcBorders>
              <w:top w:val="nil"/>
              <w:left w:val="nil"/>
              <w:bottom w:val="nil"/>
              <w:right w:val="nil"/>
            </w:tcBorders>
            <w:tcMar>
              <w:top w:w="-1" w:type="dxa"/>
              <w:left w:w="-1" w:type="dxa"/>
              <w:bottom w:w="-1" w:type="dxa"/>
              <w:right w:w="-1" w:type="dxa"/>
            </w:tcMar>
            <w:vAlign w:val="center"/>
          </w:tcPr>
          <w:p w14:paraId="458C2292">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15.94</w:t>
            </w:r>
          </w:p>
        </w:tc>
        <w:tc>
          <w:tcPr>
            <w:tcW w:w="1924" w:type="dxa"/>
            <w:tcBorders>
              <w:top w:val="nil"/>
              <w:left w:val="nil"/>
              <w:bottom w:val="nil"/>
              <w:right w:val="nil"/>
            </w:tcBorders>
            <w:tcMar>
              <w:top w:w="-1" w:type="dxa"/>
              <w:left w:w="-1" w:type="dxa"/>
              <w:bottom w:w="-1" w:type="dxa"/>
              <w:right w:w="-1" w:type="dxa"/>
            </w:tcMar>
            <w:vAlign w:val="center"/>
          </w:tcPr>
          <w:p w14:paraId="2C172151">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491</w:t>
            </w:r>
          </w:p>
        </w:tc>
        <w:tc>
          <w:tcPr>
            <w:tcW w:w="1924" w:type="dxa"/>
            <w:tcBorders>
              <w:top w:val="nil"/>
              <w:left w:val="nil"/>
              <w:bottom w:val="nil"/>
              <w:right w:val="nil"/>
            </w:tcBorders>
            <w:tcMar>
              <w:top w:w="-1" w:type="dxa"/>
              <w:left w:w="-1" w:type="dxa"/>
              <w:bottom w:w="-1" w:type="dxa"/>
              <w:right w:w="-1" w:type="dxa"/>
            </w:tcMar>
            <w:vAlign w:val="center"/>
          </w:tcPr>
          <w:p w14:paraId="0E65F7F2">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0.39</w:t>
            </w:r>
          </w:p>
        </w:tc>
        <w:tc>
          <w:tcPr>
            <w:tcW w:w="1602" w:type="dxa"/>
            <w:tcBorders>
              <w:top w:val="nil"/>
              <w:left w:val="nil"/>
              <w:bottom w:val="nil"/>
              <w:right w:val="nil"/>
            </w:tcBorders>
            <w:tcMar>
              <w:top w:w="-1" w:type="dxa"/>
              <w:left w:w="-1" w:type="dxa"/>
              <w:bottom w:w="-1" w:type="dxa"/>
              <w:right w:w="-1" w:type="dxa"/>
            </w:tcMar>
            <w:vAlign w:val="center"/>
          </w:tcPr>
          <w:p w14:paraId="78E5B862">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77.20</w:t>
            </w:r>
          </w:p>
        </w:tc>
      </w:tr>
      <w:tr w14:paraId="62873B45">
        <w:tblPrEx>
          <w:tblCellMar>
            <w:top w:w="0" w:type="dxa"/>
            <w:left w:w="108" w:type="dxa"/>
            <w:bottom w:w="0" w:type="dxa"/>
            <w:right w:w="108" w:type="dxa"/>
          </w:tblCellMar>
        </w:tblPrEx>
        <w:trPr>
          <w:jc w:val="center"/>
        </w:trPr>
        <w:tc>
          <w:tcPr>
            <w:tcW w:w="1066" w:type="dxa"/>
            <w:tcBorders>
              <w:top w:val="nil"/>
              <w:left w:val="nil"/>
              <w:bottom w:val="single" w:color="000000" w:sz="12" w:space="0"/>
              <w:right w:val="nil"/>
            </w:tcBorders>
            <w:tcMar>
              <w:top w:w="-1" w:type="dxa"/>
              <w:left w:w="-1" w:type="dxa"/>
              <w:bottom w:w="-1" w:type="dxa"/>
              <w:right w:w="-1" w:type="dxa"/>
            </w:tcMar>
            <w:vAlign w:val="center"/>
          </w:tcPr>
          <w:p w14:paraId="597E88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000000"/>
                <w:kern w:val="0"/>
                <w:sz w:val="18"/>
                <w:szCs w:val="18"/>
                <w:lang w:bidi="ar"/>
              </w:rPr>
            </w:pPr>
            <w:r>
              <w:rPr>
                <w:rFonts w:hint="eastAsia" w:ascii="宋体" w:hAnsi="宋体" w:eastAsia="宋体" w:cs="宋体"/>
                <w:sz w:val="18"/>
                <w:szCs w:val="18"/>
              </w:rPr>
              <w:t>硅藻土D</w:t>
            </w:r>
          </w:p>
        </w:tc>
        <w:tc>
          <w:tcPr>
            <w:tcW w:w="1864" w:type="dxa"/>
            <w:tcBorders>
              <w:top w:val="nil"/>
              <w:left w:val="nil"/>
              <w:bottom w:val="single" w:color="000000" w:sz="12" w:space="0"/>
              <w:right w:val="nil"/>
            </w:tcBorders>
            <w:tcMar>
              <w:top w:w="-1" w:type="dxa"/>
              <w:left w:w="-1" w:type="dxa"/>
              <w:bottom w:w="-1" w:type="dxa"/>
              <w:right w:w="-1" w:type="dxa"/>
            </w:tcMar>
            <w:vAlign w:val="center"/>
          </w:tcPr>
          <w:p w14:paraId="6652A784">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17.41</w:t>
            </w:r>
          </w:p>
        </w:tc>
        <w:tc>
          <w:tcPr>
            <w:tcW w:w="1924" w:type="dxa"/>
            <w:tcBorders>
              <w:top w:val="nil"/>
              <w:left w:val="nil"/>
              <w:bottom w:val="single" w:color="000000" w:sz="12" w:space="0"/>
              <w:right w:val="nil"/>
            </w:tcBorders>
            <w:tcMar>
              <w:top w:w="-1" w:type="dxa"/>
              <w:left w:w="-1" w:type="dxa"/>
              <w:bottom w:w="-1" w:type="dxa"/>
              <w:right w:w="-1" w:type="dxa"/>
            </w:tcMar>
            <w:vAlign w:val="center"/>
          </w:tcPr>
          <w:p w14:paraId="0BF14FA5">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508</w:t>
            </w:r>
          </w:p>
        </w:tc>
        <w:tc>
          <w:tcPr>
            <w:tcW w:w="1924" w:type="dxa"/>
            <w:tcBorders>
              <w:top w:val="nil"/>
              <w:left w:val="nil"/>
              <w:bottom w:val="single" w:color="000000" w:sz="12" w:space="0"/>
              <w:right w:val="nil"/>
            </w:tcBorders>
            <w:tcMar>
              <w:top w:w="-1" w:type="dxa"/>
              <w:left w:w="-1" w:type="dxa"/>
              <w:bottom w:w="-1" w:type="dxa"/>
              <w:right w:w="-1" w:type="dxa"/>
            </w:tcMar>
            <w:vAlign w:val="center"/>
          </w:tcPr>
          <w:p w14:paraId="43891481">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0.34</w:t>
            </w:r>
          </w:p>
        </w:tc>
        <w:tc>
          <w:tcPr>
            <w:tcW w:w="1602" w:type="dxa"/>
            <w:tcBorders>
              <w:top w:val="nil"/>
              <w:left w:val="nil"/>
              <w:bottom w:val="single" w:color="000000" w:sz="12" w:space="0"/>
              <w:right w:val="nil"/>
            </w:tcBorders>
            <w:tcMar>
              <w:top w:w="-1" w:type="dxa"/>
              <w:left w:w="-1" w:type="dxa"/>
              <w:bottom w:w="-1" w:type="dxa"/>
              <w:right w:w="-1" w:type="dxa"/>
            </w:tcMar>
            <w:vAlign w:val="center"/>
          </w:tcPr>
          <w:p w14:paraId="7CE46F1A">
            <w:pPr>
              <w:keepNext w:val="0"/>
              <w:keepLines w:val="0"/>
              <w:pageBreakBefore w:val="0"/>
              <w:widowControl w:val="0"/>
              <w:kinsoku/>
              <w:wordWrap/>
              <w:overflowPunct/>
              <w:topLinePunct w:val="0"/>
              <w:autoSpaceDE/>
              <w:autoSpaceDN/>
              <w:bidi w:val="0"/>
              <w:adjustRightInd/>
              <w:snapToGrid/>
              <w:spacing w:line="400" w:lineRule="exact"/>
              <w:ind w:firstLine="360" w:firstLineChars="200"/>
              <w:jc w:val="center"/>
              <w:textAlignment w:val="auto"/>
              <w:rPr>
                <w:rFonts w:hint="eastAsia" w:ascii="宋体" w:hAnsi="宋体" w:eastAsia="宋体" w:cs="宋体"/>
                <w:sz w:val="18"/>
                <w:szCs w:val="18"/>
              </w:rPr>
            </w:pPr>
            <w:r>
              <w:rPr>
                <w:rFonts w:hint="eastAsia" w:ascii="宋体" w:hAnsi="宋体" w:eastAsia="宋体" w:cs="宋体"/>
                <w:sz w:val="18"/>
                <w:szCs w:val="18"/>
                <w:lang w:bidi="ar"/>
              </w:rPr>
              <w:t>75.96</w:t>
            </w:r>
          </w:p>
        </w:tc>
      </w:tr>
    </w:tbl>
    <w:p w14:paraId="78F9A59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采用压汞仪对四种硅藻土载体样品孔径大小进行了测试，如表2所示。孔面积大小依次为硅藻土B＞硅藻土D＞硅藻土C＞硅藻土A， 堆密度大小依次为硅藻土C＞硅藻土D＞硅藻土A＞硅藻土B，孔隙率大小依次为硅藻土B＞硅藻土A＞硅藻土C＞硅藻土D，可以得出圆盘藻B有着最大的孔面积、最小的堆密度、最大的孔隙率。大的孔面积和孔隙率有利于催化剂活性组分的负载，增大反应接触面积，从而提升催化活性，小的堆密度可以让催化剂在同等体积的装填量下质量更轻，降低转化器的负载。</w:t>
      </w:r>
    </w:p>
    <w:p w14:paraId="1C52CF2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3.6钒催化剂活性分析</w:t>
      </w:r>
    </w:p>
    <w:p w14:paraId="2FE0D1D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sz w:val="21"/>
          <w:szCs w:val="21"/>
        </w:rPr>
      </w:pPr>
      <w:r>
        <w:rPr>
          <w:rFonts w:hint="eastAsia" w:ascii="宋体" w:hAnsi="宋体" w:eastAsia="宋体" w:cs="宋体"/>
          <w:sz w:val="21"/>
          <w:szCs w:val="21"/>
        </w:rPr>
        <w:drawing>
          <wp:inline distT="0" distB="0" distL="0" distR="0">
            <wp:extent cx="5274310" cy="2105025"/>
            <wp:effectExtent l="0" t="0" r="2540"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105025"/>
                    </a:xfrm>
                    <a:prstGeom prst="rect">
                      <a:avLst/>
                    </a:prstGeom>
                  </pic:spPr>
                </pic:pic>
              </a:graphicData>
            </a:graphic>
          </wp:inline>
        </w:drawing>
      </w:r>
    </w:p>
    <w:p w14:paraId="5EE02A48">
      <w:pPr>
        <w:keepNext w:val="0"/>
        <w:keepLines w:val="0"/>
        <w:pageBreakBefore w:val="0"/>
        <w:widowControl w:val="0"/>
        <w:kinsoku/>
        <w:wordWrap/>
        <w:overflowPunct/>
        <w:topLinePunct w:val="0"/>
        <w:autoSpaceDE/>
        <w:autoSpaceDN/>
        <w:bidi w:val="0"/>
        <w:adjustRightInd/>
        <w:snapToGrid/>
        <w:spacing w:line="400" w:lineRule="exact"/>
        <w:ind w:left="2960" w:leftChars="0" w:hanging="2960" w:hangingChars="1404"/>
        <w:jc w:val="lef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图4（a）四种催化剂在不同温度点下的催化</w:t>
      </w:r>
      <w:r>
        <w:rPr>
          <w:rFonts w:hint="eastAsia" w:ascii="宋体" w:hAnsi="宋体" w:eastAsia="宋体" w:cs="宋体"/>
          <w:b/>
          <w:bCs/>
          <w:sz w:val="21"/>
          <w:szCs w:val="21"/>
          <w:lang w:val="en-US" w:eastAsia="zh-CN"/>
        </w:rPr>
        <w:t>活性图（b）四种催化剂在850℃老化后的催活性图</w:t>
      </w:r>
    </w:p>
    <w:p w14:paraId="58C2F6E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为评估四种催化剂的二氧化硫氧化制硫酸活性，本研究通过自制反应装置对四种硅藻土制成的催化剂样品进行了410 °C、440 °C、485 °C、600 °C四个温度点的活性测试，结果如图4a所示。可以看到随着温度的升高四种催化剂样品的SO</w:t>
      </w:r>
      <w:r>
        <w:rPr>
          <w:rFonts w:hint="eastAsia" w:ascii="宋体" w:hAnsi="宋体" w:eastAsia="宋体" w:cs="宋体"/>
          <w:sz w:val="21"/>
          <w:szCs w:val="21"/>
          <w:vertAlign w:val="subscript"/>
        </w:rPr>
        <w:t>2</w:t>
      </w:r>
      <w:r>
        <w:rPr>
          <w:rFonts w:hint="eastAsia" w:ascii="宋体" w:hAnsi="宋体" w:eastAsia="宋体" w:cs="宋体"/>
          <w:sz w:val="21"/>
          <w:szCs w:val="21"/>
        </w:rPr>
        <w:t>转化率存在先升高后降低的趋势，所有样品440 °C时的转化率较410 °C提升较大，且在485 °C时SO</w:t>
      </w:r>
      <w:r>
        <w:rPr>
          <w:rFonts w:hint="eastAsia" w:ascii="宋体" w:hAnsi="宋体" w:eastAsia="宋体" w:cs="宋体"/>
          <w:sz w:val="21"/>
          <w:szCs w:val="21"/>
          <w:vertAlign w:val="subscript"/>
        </w:rPr>
        <w:t>2</w:t>
      </w:r>
      <w:r>
        <w:rPr>
          <w:rFonts w:hint="eastAsia" w:ascii="宋体" w:hAnsi="宋体" w:eastAsia="宋体" w:cs="宋体"/>
          <w:sz w:val="21"/>
          <w:szCs w:val="21"/>
        </w:rPr>
        <w:t>转化率达到最大值，均大于86%，600 °C时转化率又略有降低。其中Cat-B（圆盘藻B制成的催化剂）在410 °C、440 °C、485 °C、600 °C时SO</w:t>
      </w:r>
      <w:r>
        <w:rPr>
          <w:rFonts w:hint="eastAsia" w:ascii="宋体" w:hAnsi="宋体" w:eastAsia="宋体" w:cs="宋体"/>
          <w:sz w:val="21"/>
          <w:szCs w:val="21"/>
          <w:vertAlign w:val="subscript"/>
        </w:rPr>
        <w:t>2</w:t>
      </w:r>
      <w:r>
        <w:rPr>
          <w:rFonts w:hint="eastAsia" w:ascii="宋体" w:hAnsi="宋体" w:eastAsia="宋体" w:cs="宋体"/>
          <w:sz w:val="21"/>
          <w:szCs w:val="21"/>
        </w:rPr>
        <w:t>转化率分别为51.51%、81.43%、92.48%、72.68%，高于Cat-A、Cat-B以及Cat-C，其优异的SO</w:t>
      </w:r>
      <w:r>
        <w:rPr>
          <w:rFonts w:hint="eastAsia" w:ascii="宋体" w:hAnsi="宋体" w:eastAsia="宋体" w:cs="宋体"/>
          <w:sz w:val="21"/>
          <w:szCs w:val="21"/>
          <w:vertAlign w:val="subscript"/>
        </w:rPr>
        <w:t>2</w:t>
      </w:r>
      <w:r>
        <w:rPr>
          <w:rFonts w:hint="eastAsia" w:ascii="宋体" w:hAnsi="宋体" w:eastAsia="宋体" w:cs="宋体"/>
          <w:sz w:val="21"/>
          <w:szCs w:val="21"/>
        </w:rPr>
        <w:t>转化率可能归因于其</w:t>
      </w:r>
      <w:bookmarkStart w:id="0" w:name="_Hlk229226681"/>
      <w:r>
        <w:rPr>
          <w:rFonts w:hint="eastAsia" w:ascii="宋体" w:hAnsi="宋体" w:eastAsia="宋体" w:cs="宋体"/>
          <w:sz w:val="21"/>
          <w:szCs w:val="21"/>
        </w:rPr>
        <w:t>较高的SiO</w:t>
      </w:r>
      <w:r>
        <w:rPr>
          <w:rFonts w:hint="eastAsia" w:ascii="宋体" w:hAnsi="宋体" w:eastAsia="宋体" w:cs="宋体"/>
          <w:sz w:val="21"/>
          <w:szCs w:val="21"/>
          <w:vertAlign w:val="subscript"/>
        </w:rPr>
        <w:t>2</w:t>
      </w:r>
      <w:r>
        <w:rPr>
          <w:rFonts w:hint="eastAsia" w:ascii="宋体" w:hAnsi="宋体" w:eastAsia="宋体" w:cs="宋体"/>
          <w:sz w:val="21"/>
          <w:szCs w:val="21"/>
        </w:rPr>
        <w:t>含量、良好的热稳定性以及较大的孔面积和孔隙率</w:t>
      </w:r>
      <w:bookmarkEnd w:id="0"/>
      <w:r>
        <w:rPr>
          <w:rFonts w:hint="eastAsia" w:ascii="宋体" w:hAnsi="宋体" w:eastAsia="宋体" w:cs="宋体"/>
          <w:sz w:val="21"/>
          <w:szCs w:val="21"/>
        </w:rPr>
        <w:t>。</w:t>
      </w:r>
    </w:p>
    <w:p w14:paraId="4A87DC15">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为进一步验证催化剂活性的稳定性，我们将四种催化剂样品在850 °C老化12 h后，再进行410 °C、440 °C、485 °C、600 °C四个温度点的活性测试，结果如图4b所示。可以看出，四种催化剂在老化过后SO</w:t>
      </w:r>
      <w:r>
        <w:rPr>
          <w:rFonts w:hint="eastAsia" w:ascii="宋体" w:hAnsi="宋体" w:eastAsia="宋体" w:cs="宋体"/>
          <w:sz w:val="21"/>
          <w:szCs w:val="21"/>
          <w:vertAlign w:val="subscript"/>
        </w:rPr>
        <w:t>2</w:t>
      </w:r>
      <w:r>
        <w:rPr>
          <w:rFonts w:hint="eastAsia" w:ascii="宋体" w:hAnsi="宋体" w:eastAsia="宋体" w:cs="宋体"/>
          <w:sz w:val="21"/>
          <w:szCs w:val="21"/>
        </w:rPr>
        <w:t>转化率相较于老化之前都有所降低，但转化率随温度的变化趋势基本保持不变，其中Cat-B依旧保持着最高的SO</w:t>
      </w:r>
      <w:r>
        <w:rPr>
          <w:rFonts w:hint="eastAsia" w:ascii="宋体" w:hAnsi="宋体" w:eastAsia="宋体" w:cs="宋体"/>
          <w:sz w:val="21"/>
          <w:szCs w:val="21"/>
          <w:vertAlign w:val="subscript"/>
        </w:rPr>
        <w:t>2</w:t>
      </w:r>
      <w:r>
        <w:rPr>
          <w:rFonts w:hint="eastAsia" w:ascii="宋体" w:hAnsi="宋体" w:eastAsia="宋体" w:cs="宋体"/>
          <w:sz w:val="21"/>
          <w:szCs w:val="21"/>
        </w:rPr>
        <w:t>转化率，这说明了其优异的钒催化剂催化活性。</w:t>
      </w:r>
    </w:p>
    <w:p w14:paraId="5912E061">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4.结论</w:t>
      </w:r>
    </w:p>
    <w:p w14:paraId="4436BF6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本研究通过对国内外硅藻土A、硅藻土B、硅藻土C、硅藻土D进行了一系列表征分析，对比其理化性质差异，发现圆盘藻B有着较高的SiO</w:t>
      </w:r>
      <w:r>
        <w:rPr>
          <w:rFonts w:hint="eastAsia" w:ascii="宋体" w:hAnsi="宋体" w:eastAsia="宋体" w:cs="宋体"/>
          <w:sz w:val="21"/>
          <w:szCs w:val="21"/>
          <w:vertAlign w:val="subscript"/>
        </w:rPr>
        <w:t>2</w:t>
      </w:r>
      <w:r>
        <w:rPr>
          <w:rFonts w:hint="eastAsia" w:ascii="宋体" w:hAnsi="宋体" w:eastAsia="宋体" w:cs="宋体"/>
          <w:sz w:val="21"/>
          <w:szCs w:val="21"/>
        </w:rPr>
        <w:t>含量、良好的热稳定性以及较大的孔面积和孔隙率，其制成的钒催化剂有着最高的SO</w:t>
      </w:r>
      <w:r>
        <w:rPr>
          <w:rFonts w:hint="eastAsia" w:ascii="宋体" w:hAnsi="宋体" w:eastAsia="宋体" w:cs="宋体"/>
          <w:sz w:val="21"/>
          <w:szCs w:val="21"/>
          <w:vertAlign w:val="subscript"/>
        </w:rPr>
        <w:t>2</w:t>
      </w:r>
      <w:r>
        <w:rPr>
          <w:rFonts w:hint="eastAsia" w:ascii="宋体" w:hAnsi="宋体" w:eastAsia="宋体" w:cs="宋体"/>
          <w:sz w:val="21"/>
          <w:szCs w:val="21"/>
        </w:rPr>
        <w:t>转化率，在485 °C时SO</w:t>
      </w:r>
      <w:r>
        <w:rPr>
          <w:rFonts w:hint="eastAsia" w:ascii="宋体" w:hAnsi="宋体" w:eastAsia="宋体" w:cs="宋体"/>
          <w:sz w:val="21"/>
          <w:szCs w:val="21"/>
          <w:vertAlign w:val="subscript"/>
        </w:rPr>
        <w:t>2</w:t>
      </w:r>
      <w:r>
        <w:rPr>
          <w:rFonts w:hint="eastAsia" w:ascii="宋体" w:hAnsi="宋体" w:eastAsia="宋体" w:cs="宋体"/>
          <w:sz w:val="21"/>
          <w:szCs w:val="21"/>
        </w:rPr>
        <w:t>转化率达到了92.48%。这说明了圆盘藻B相较于圆盘藻D、直链藻A和直链藻C，作为钒催化剂载体有着较大的优势，这为国内外直链藻和圆盘藻作为钒催化剂载体的研究提供了一定的参考。</w:t>
      </w:r>
    </w:p>
    <w:p w14:paraId="274B36F0">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bookmarkStart w:id="1" w:name="_GoBack"/>
      <w:bookmarkEnd w:id="1"/>
      <w:r>
        <w:rPr>
          <w:rFonts w:hint="eastAsia" w:ascii="宋体" w:hAnsi="宋体" w:eastAsia="宋体" w:cs="宋体"/>
          <w:b/>
          <w:bCs/>
          <w:sz w:val="21"/>
          <w:szCs w:val="21"/>
          <w:lang w:val="en-US" w:eastAsia="zh-CN"/>
        </w:rPr>
        <w:t>致谢</w:t>
      </w:r>
    </w:p>
    <w:p w14:paraId="0B87510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本工作得到了黔科合支撑[2024]一般031号项目</w:t>
      </w:r>
      <w:r>
        <w:rPr>
          <w:rFonts w:hint="eastAsia" w:ascii="宋体" w:hAnsi="宋体" w:eastAsia="宋体" w:cs="宋体"/>
          <w:color w:val="0D0D0D"/>
          <w:sz w:val="21"/>
          <w:szCs w:val="21"/>
          <w:shd w:val="clear" w:color="auto" w:fill="FFFFFF"/>
        </w:rPr>
        <w:t>的资助。</w:t>
      </w:r>
    </w:p>
    <w:p w14:paraId="613D64F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sz w:val="21"/>
          <w:szCs w:val="21"/>
        </w:rPr>
      </w:pPr>
    </w:p>
    <w:p w14:paraId="0B56701C">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14:paraId="0E178DA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ADDIN EN.REFLIST </w:instrText>
      </w:r>
      <w:r>
        <w:rPr>
          <w:rFonts w:hint="eastAsia" w:ascii="宋体" w:hAnsi="宋体" w:eastAsia="宋体" w:cs="宋体"/>
          <w:sz w:val="21"/>
          <w:szCs w:val="21"/>
        </w:rPr>
        <w:fldChar w:fldCharType="separate"/>
      </w:r>
      <w:r>
        <w:rPr>
          <w:rFonts w:hint="eastAsia" w:ascii="宋体" w:hAnsi="宋体" w:eastAsia="宋体" w:cs="宋体"/>
          <w:sz w:val="21"/>
          <w:szCs w:val="21"/>
        </w:rPr>
        <w:t>[1] Al-Ghouti M A, Khraisheh M A M, Allen S J, et al. The removal of dyes from textile wastewater: a study of the physical characteristics and adsorption mechanisms of diatomaceous earth[J]. Journal of Environmental Management, 2003, 69(3): 229-238.</w:t>
      </w:r>
    </w:p>
    <w:p w14:paraId="38A140D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 蔡开兴, 范鑫, 肖海鹏, et al. 硅藻土载体酸改性处理对钒催化剂性能的影响[J]. 应用化工, 2020, 49(S1): 116-119+125.</w:t>
      </w:r>
    </w:p>
    <w:p w14:paraId="1D4057E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 李庆锋, 李兴鹏, 阳新锋, et al. 低温高活性钒催化剂的制备与性能研究[J]. 硫酸工业, 2024(03): 16-20+24.</w:t>
      </w:r>
    </w:p>
    <w:p w14:paraId="48795225">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 丁建芳. 对钒催化剂载体的评述[J]. 硫酸工业, 2003(03): 10-13.</w:t>
      </w:r>
    </w:p>
    <w:p w14:paraId="715140B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 张永葵, 李国东, 李相来. 二氧化硫氧化制硫酸催化剂载体研究及应用[J]. 化学与生物工程, 2007(03): 75-76.</w:t>
      </w:r>
    </w:p>
    <w:p w14:paraId="552D70B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 黄霞辉. 载体性质及预处理对钒催化剂性能的影响研究[D]. 河南大学, 2016.</w:t>
      </w:r>
    </w:p>
    <w:p w14:paraId="4B49350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 Clarke J. The occurrence and significance of biogenic opal in the regolith[J]. Earth-Science Reviews, 2003, 60(3): 175-194.</w:t>
      </w:r>
    </w:p>
    <w:p w14:paraId="5283471F">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[8] Zahajska P, Opfergelt S, Fritz S C, et al. What is diatomite?[J], 2020, 96: 48-52.</w:t>
      </w:r>
    </w:p>
    <w:p w14:paraId="114C4F5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[9] Maher S, Kumeria T, Aw M S, et al. Diatom Silica for Biomedical Applications: Recent Progress and Advances[J], 2018, 7(19): 1800552.</w:t>
      </w:r>
    </w:p>
    <w:p w14:paraId="378CD01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[10] 殷惠琴. 钒催化剂载体的预处理工艺研究[J]. 硫酸工业, 2023(03): 7-10.</w:t>
      </w:r>
    </w:p>
    <w:p w14:paraId="3016E1A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[11] 吴红, 何志艳, 刘秀娟, et al. 不同孔结构硅藻土载体对钒催化剂催化性能的影响[J]. 湿法冶金, 2018, 37(03): 211-215.</w:t>
      </w:r>
    </w:p>
    <w:p w14:paraId="78DAEC4C">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[12] Hu Z, Zheng S, Sun Z, et al. Influence of pore structure on humidity control performance of diatomite[J]. Science and Technology for the Built Environment, 2017, 23(8): 1305-1313.</w:t>
      </w:r>
    </w:p>
    <w:p w14:paraId="01A827C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[13] 黄霞辉, 李谦, 艾燕琴. 5种硅藻土的性质测定及其对钒催化剂活性的影响[J]. 硫酸工业, 2016(04): 15-18.</w:t>
      </w:r>
    </w:p>
    <w:p w14:paraId="2B09F29A">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[14] Zheng R, Ren Z, Gao H, et al. Effects of calcination on silica phase transition in diatomite[J], 2018, 757: 364-371.</w:t>
      </w:r>
    </w:p>
    <w:p w14:paraId="37ACCF78">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[15] Chen F, Miao Y, Ma L, et al. Optimization of pore structure of a clayey diatomite[J]. Particulate Science and Technology, 2020, 38(5): 522-528.</w:t>
      </w:r>
    </w:p>
    <w:p w14:paraId="5A4AB28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fldChar w:fldCharType="end"/>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Segoe UI">
    <w:panose1 w:val="020B0502040204020203"/>
    <w:charset w:val="00"/>
    <w:family w:val="swiss"/>
    <w:pitch w:val="default"/>
    <w:sig w:usb0="E4002EFF" w:usb1="C000E47F" w:usb2="00000009" w:usb3="00000000" w:csb0="200001FF" w:csb1="00000000"/>
  </w:font>
  <w:font w:name="System">
    <w:altName w:val="微软雅黑"/>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BA0844"/>
    <w:rsid w:val="091A7E4E"/>
    <w:rsid w:val="09931095"/>
    <w:rsid w:val="09E10052"/>
    <w:rsid w:val="09F00295"/>
    <w:rsid w:val="0A4B20AA"/>
    <w:rsid w:val="0AEE6ECB"/>
    <w:rsid w:val="0AFF2E86"/>
    <w:rsid w:val="0B664CB3"/>
    <w:rsid w:val="0C0E77A3"/>
    <w:rsid w:val="0C2B45A8"/>
    <w:rsid w:val="0C580AA0"/>
    <w:rsid w:val="0C8E44C1"/>
    <w:rsid w:val="0CDE6ACB"/>
    <w:rsid w:val="0CE82491"/>
    <w:rsid w:val="0CF56428"/>
    <w:rsid w:val="0D525F6F"/>
    <w:rsid w:val="0D731909"/>
    <w:rsid w:val="0DA11FD2"/>
    <w:rsid w:val="0E470192"/>
    <w:rsid w:val="0E5352AC"/>
    <w:rsid w:val="0E792F4F"/>
    <w:rsid w:val="0EC54DF5"/>
    <w:rsid w:val="0EC8358F"/>
    <w:rsid w:val="0F000F7B"/>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1AC53EA"/>
    <w:rsid w:val="123F1DBA"/>
    <w:rsid w:val="12CF1390"/>
    <w:rsid w:val="12DB7D35"/>
    <w:rsid w:val="12E60488"/>
    <w:rsid w:val="13001868"/>
    <w:rsid w:val="132A2A6A"/>
    <w:rsid w:val="13533D6F"/>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5C6006"/>
    <w:rsid w:val="18616F2E"/>
    <w:rsid w:val="191221DB"/>
    <w:rsid w:val="19235F91"/>
    <w:rsid w:val="19800B64"/>
    <w:rsid w:val="19836A30"/>
    <w:rsid w:val="199944A6"/>
    <w:rsid w:val="19FD4A34"/>
    <w:rsid w:val="1A533F79"/>
    <w:rsid w:val="1A5A1E87"/>
    <w:rsid w:val="1B2F179A"/>
    <w:rsid w:val="1B6F3710"/>
    <w:rsid w:val="1C250273"/>
    <w:rsid w:val="1D01483C"/>
    <w:rsid w:val="1D5D57EA"/>
    <w:rsid w:val="1E171E3D"/>
    <w:rsid w:val="1EBA2EF4"/>
    <w:rsid w:val="1EC41FC5"/>
    <w:rsid w:val="1EE75CB3"/>
    <w:rsid w:val="1EFE3E02"/>
    <w:rsid w:val="1F78690B"/>
    <w:rsid w:val="1FA40E26"/>
    <w:rsid w:val="20181E55"/>
    <w:rsid w:val="20200F8C"/>
    <w:rsid w:val="204B20BB"/>
    <w:rsid w:val="204F1D62"/>
    <w:rsid w:val="205C7FDB"/>
    <w:rsid w:val="20CA763A"/>
    <w:rsid w:val="21294361"/>
    <w:rsid w:val="21661758"/>
    <w:rsid w:val="227635D6"/>
    <w:rsid w:val="22BA5BB9"/>
    <w:rsid w:val="230D784D"/>
    <w:rsid w:val="23107994"/>
    <w:rsid w:val="23B95F13"/>
    <w:rsid w:val="24174945"/>
    <w:rsid w:val="24212C83"/>
    <w:rsid w:val="244020ED"/>
    <w:rsid w:val="248B32E5"/>
    <w:rsid w:val="24B17D3C"/>
    <w:rsid w:val="24EE1B49"/>
    <w:rsid w:val="25867FD4"/>
    <w:rsid w:val="259C77F7"/>
    <w:rsid w:val="262A3A04"/>
    <w:rsid w:val="266170E3"/>
    <w:rsid w:val="269C7383"/>
    <w:rsid w:val="26B66697"/>
    <w:rsid w:val="273D46C2"/>
    <w:rsid w:val="27435A51"/>
    <w:rsid w:val="27466F3A"/>
    <w:rsid w:val="276F4A98"/>
    <w:rsid w:val="283B6E9A"/>
    <w:rsid w:val="28414686"/>
    <w:rsid w:val="287C746C"/>
    <w:rsid w:val="288D3427"/>
    <w:rsid w:val="28C3509B"/>
    <w:rsid w:val="28D44D60"/>
    <w:rsid w:val="296E14AB"/>
    <w:rsid w:val="29F55569"/>
    <w:rsid w:val="2A6D1762"/>
    <w:rsid w:val="2A9C2048"/>
    <w:rsid w:val="2AF37C49"/>
    <w:rsid w:val="2C1A3224"/>
    <w:rsid w:val="2C5F332D"/>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82B9B"/>
    <w:rsid w:val="2FA86D99"/>
    <w:rsid w:val="312F3756"/>
    <w:rsid w:val="31496359"/>
    <w:rsid w:val="315E0057"/>
    <w:rsid w:val="318D4498"/>
    <w:rsid w:val="3199108F"/>
    <w:rsid w:val="319F16AA"/>
    <w:rsid w:val="31CC4FC0"/>
    <w:rsid w:val="31F167D5"/>
    <w:rsid w:val="3216448E"/>
    <w:rsid w:val="321D581C"/>
    <w:rsid w:val="323963CE"/>
    <w:rsid w:val="3273368E"/>
    <w:rsid w:val="32963820"/>
    <w:rsid w:val="32E20814"/>
    <w:rsid w:val="337771AE"/>
    <w:rsid w:val="33F94067"/>
    <w:rsid w:val="34480B4A"/>
    <w:rsid w:val="34821AD6"/>
    <w:rsid w:val="35A52FD0"/>
    <w:rsid w:val="35D501BC"/>
    <w:rsid w:val="360C62D3"/>
    <w:rsid w:val="363870C8"/>
    <w:rsid w:val="36407D2B"/>
    <w:rsid w:val="36BE3BE8"/>
    <w:rsid w:val="36DA26A7"/>
    <w:rsid w:val="36DB5CA6"/>
    <w:rsid w:val="37227431"/>
    <w:rsid w:val="3756532C"/>
    <w:rsid w:val="37B01725"/>
    <w:rsid w:val="38061044"/>
    <w:rsid w:val="381C3783"/>
    <w:rsid w:val="389E342F"/>
    <w:rsid w:val="38C5276A"/>
    <w:rsid w:val="39783C80"/>
    <w:rsid w:val="399551B1"/>
    <w:rsid w:val="39D619B3"/>
    <w:rsid w:val="3A445910"/>
    <w:rsid w:val="3A557B1D"/>
    <w:rsid w:val="3A726921"/>
    <w:rsid w:val="3A765FE2"/>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B6105E"/>
    <w:rsid w:val="3FE444E6"/>
    <w:rsid w:val="40583EC3"/>
    <w:rsid w:val="40642868"/>
    <w:rsid w:val="407A652F"/>
    <w:rsid w:val="40923879"/>
    <w:rsid w:val="40CD733D"/>
    <w:rsid w:val="410F592B"/>
    <w:rsid w:val="411424E0"/>
    <w:rsid w:val="41641264"/>
    <w:rsid w:val="41700BEB"/>
    <w:rsid w:val="417B2021"/>
    <w:rsid w:val="426C3C56"/>
    <w:rsid w:val="42786A9F"/>
    <w:rsid w:val="42BC1743"/>
    <w:rsid w:val="42EE53FF"/>
    <w:rsid w:val="43E4263E"/>
    <w:rsid w:val="45554E75"/>
    <w:rsid w:val="459D60E3"/>
    <w:rsid w:val="45B70627"/>
    <w:rsid w:val="45CA5863"/>
    <w:rsid w:val="45E5444B"/>
    <w:rsid w:val="46362EF9"/>
    <w:rsid w:val="465515D1"/>
    <w:rsid w:val="468E4AE3"/>
    <w:rsid w:val="46C24446"/>
    <w:rsid w:val="46F54E2D"/>
    <w:rsid w:val="46FD57C4"/>
    <w:rsid w:val="47925F0D"/>
    <w:rsid w:val="47A143DA"/>
    <w:rsid w:val="47E81E53"/>
    <w:rsid w:val="48A028AB"/>
    <w:rsid w:val="48B545A9"/>
    <w:rsid w:val="495C0DBE"/>
    <w:rsid w:val="49CB1BAA"/>
    <w:rsid w:val="4A070E34"/>
    <w:rsid w:val="4A4F4589"/>
    <w:rsid w:val="4AB60164"/>
    <w:rsid w:val="4B8244EA"/>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A20D13"/>
    <w:rsid w:val="50AD3DB7"/>
    <w:rsid w:val="50AF7B2F"/>
    <w:rsid w:val="50B02F71"/>
    <w:rsid w:val="50C26CF2"/>
    <w:rsid w:val="50EC0D83"/>
    <w:rsid w:val="50FE0CB7"/>
    <w:rsid w:val="512D188F"/>
    <w:rsid w:val="51363DAD"/>
    <w:rsid w:val="513B5867"/>
    <w:rsid w:val="5144673C"/>
    <w:rsid w:val="519D207E"/>
    <w:rsid w:val="51BD2EC4"/>
    <w:rsid w:val="51EC090F"/>
    <w:rsid w:val="51FB00AC"/>
    <w:rsid w:val="527E5A0B"/>
    <w:rsid w:val="52E57838"/>
    <w:rsid w:val="53FF5845"/>
    <w:rsid w:val="542B3971"/>
    <w:rsid w:val="54335EE7"/>
    <w:rsid w:val="5463310B"/>
    <w:rsid w:val="54AF45A2"/>
    <w:rsid w:val="54C142D5"/>
    <w:rsid w:val="55254864"/>
    <w:rsid w:val="553C395C"/>
    <w:rsid w:val="55BA1450"/>
    <w:rsid w:val="56037691"/>
    <w:rsid w:val="56083D8A"/>
    <w:rsid w:val="56135E24"/>
    <w:rsid w:val="564017AC"/>
    <w:rsid w:val="567B0721"/>
    <w:rsid w:val="56821842"/>
    <w:rsid w:val="56F97D56"/>
    <w:rsid w:val="57081D47"/>
    <w:rsid w:val="57E97DCB"/>
    <w:rsid w:val="57EF1159"/>
    <w:rsid w:val="583059FA"/>
    <w:rsid w:val="5847689F"/>
    <w:rsid w:val="58532B2C"/>
    <w:rsid w:val="58984204"/>
    <w:rsid w:val="58C47EF0"/>
    <w:rsid w:val="59285798"/>
    <w:rsid w:val="596F60AE"/>
    <w:rsid w:val="5A2A0227"/>
    <w:rsid w:val="5A7B0A82"/>
    <w:rsid w:val="5B0311A3"/>
    <w:rsid w:val="5B6F05E7"/>
    <w:rsid w:val="5BB5218E"/>
    <w:rsid w:val="5BFE5E0F"/>
    <w:rsid w:val="5CAA564F"/>
    <w:rsid w:val="5E361890"/>
    <w:rsid w:val="5EDA046D"/>
    <w:rsid w:val="5EE237C6"/>
    <w:rsid w:val="5EFF7ED4"/>
    <w:rsid w:val="5F7679C4"/>
    <w:rsid w:val="5F7F2DC3"/>
    <w:rsid w:val="5FBF1411"/>
    <w:rsid w:val="5FF76DFD"/>
    <w:rsid w:val="601A09BC"/>
    <w:rsid w:val="60395667"/>
    <w:rsid w:val="60AA0313"/>
    <w:rsid w:val="610D33E8"/>
    <w:rsid w:val="615E35D8"/>
    <w:rsid w:val="619568CD"/>
    <w:rsid w:val="61E67129"/>
    <w:rsid w:val="621A5025"/>
    <w:rsid w:val="62CC27C3"/>
    <w:rsid w:val="635A7DCF"/>
    <w:rsid w:val="637D586B"/>
    <w:rsid w:val="63872EA4"/>
    <w:rsid w:val="63F26259"/>
    <w:rsid w:val="64061D04"/>
    <w:rsid w:val="640A365A"/>
    <w:rsid w:val="640E2967"/>
    <w:rsid w:val="64754794"/>
    <w:rsid w:val="64FD7B2B"/>
    <w:rsid w:val="657B402C"/>
    <w:rsid w:val="65C07C91"/>
    <w:rsid w:val="66CA526B"/>
    <w:rsid w:val="67C12792"/>
    <w:rsid w:val="67DD0FC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C5C6966"/>
    <w:rsid w:val="6C6E5E1A"/>
    <w:rsid w:val="6C8E2897"/>
    <w:rsid w:val="6CDF30F3"/>
    <w:rsid w:val="6D282CEC"/>
    <w:rsid w:val="6D921E65"/>
    <w:rsid w:val="6DF606F4"/>
    <w:rsid w:val="6E267136"/>
    <w:rsid w:val="6E2D67FA"/>
    <w:rsid w:val="6E6E0BD2"/>
    <w:rsid w:val="6E91041D"/>
    <w:rsid w:val="6ECB392F"/>
    <w:rsid w:val="6F562B93"/>
    <w:rsid w:val="6FA348AB"/>
    <w:rsid w:val="6FBB39A3"/>
    <w:rsid w:val="6FD23894"/>
    <w:rsid w:val="6FE23626"/>
    <w:rsid w:val="70383246"/>
    <w:rsid w:val="703D260A"/>
    <w:rsid w:val="7060279C"/>
    <w:rsid w:val="70626FA0"/>
    <w:rsid w:val="70756EB2"/>
    <w:rsid w:val="70AC7790"/>
    <w:rsid w:val="710F53BA"/>
    <w:rsid w:val="71E73078"/>
    <w:rsid w:val="7258197D"/>
    <w:rsid w:val="72C60FDD"/>
    <w:rsid w:val="72EB27F1"/>
    <w:rsid w:val="730241B0"/>
    <w:rsid w:val="731A1328"/>
    <w:rsid w:val="73587D13"/>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6450AB"/>
    <w:rsid w:val="79EB30D7"/>
    <w:rsid w:val="7A293F0A"/>
    <w:rsid w:val="7A5E24AA"/>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D01448"/>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4">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7">
    <w:name w:val="Body Text"/>
    <w:basedOn w:val="1"/>
    <w:autoRedefine/>
    <w:qFormat/>
    <w:uiPriority w:val="0"/>
    <w:pPr>
      <w:spacing w:after="120" w:afterLines="0" w:afterAutospacing="0"/>
    </w:pPr>
  </w:style>
  <w:style w:type="paragraph" w:styleId="8">
    <w:name w:val="Body Text Indent"/>
    <w:basedOn w:val="1"/>
    <w:next w:val="9"/>
    <w:qFormat/>
    <w:uiPriority w:val="0"/>
    <w:pPr>
      <w:spacing w:after="120" w:afterLines="0" w:afterAutospacing="0"/>
      <w:ind w:left="420" w:leftChars="200"/>
    </w:pPr>
  </w:style>
  <w:style w:type="paragraph" w:customStyle="1" w:styleId="9">
    <w:name w:val="样式 正文文本缩进 + 行距: 1.5 倍行距"/>
    <w:basedOn w:val="1"/>
    <w:qFormat/>
    <w:uiPriority w:val="0"/>
    <w:pPr>
      <w:spacing w:after="120"/>
      <w:ind w:left="90" w:leftChars="32" w:firstLine="560"/>
    </w:pPr>
    <w:rPr>
      <w:rFonts w:cs="宋体"/>
    </w:rPr>
  </w:style>
  <w:style w:type="paragraph" w:styleId="10">
    <w:name w:val="footer"/>
    <w:basedOn w:val="1"/>
    <w:link w:val="29"/>
    <w:autoRedefine/>
    <w:unhideWhenUsed/>
    <w:qFormat/>
    <w:uiPriority w:val="99"/>
    <w:pPr>
      <w:tabs>
        <w:tab w:val="center" w:pos="4153"/>
        <w:tab w:val="right" w:pos="8306"/>
      </w:tabs>
      <w:snapToGrid w:val="0"/>
      <w:jc w:val="left"/>
    </w:pPr>
    <w:rPr>
      <w:sz w:val="18"/>
      <w:szCs w:val="18"/>
    </w:rPr>
  </w:style>
  <w:style w:type="paragraph" w:styleId="11">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5"/>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qFormat/>
    <w:uiPriority w:val="0"/>
    <w:pPr>
      <w:ind w:firstLine="420" w:firstLineChars="200"/>
    </w:pPr>
  </w:style>
  <w:style w:type="table" w:styleId="18">
    <w:name w:val="Table Grid"/>
    <w:basedOn w:val="17"/>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paragraph" w:customStyle="1" w:styleId="22">
    <w:name w:val="0正文"/>
    <w:basedOn w:val="1"/>
    <w:qFormat/>
    <w:uiPriority w:val="0"/>
    <w:pPr>
      <w:ind w:firstLine="480" w:firstLineChars="200"/>
    </w:pPr>
  </w:style>
  <w:style w:type="character" w:customStyle="1" w:styleId="23">
    <w:name w:val="标题 2 字符"/>
    <w:basedOn w:val="19"/>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3"/>
    <w:autoRedefine/>
    <w:qFormat/>
    <w:uiPriority w:val="9"/>
    <w:rPr>
      <w:rFonts w:ascii="宋体" w:hAnsi="宋体" w:eastAsia="宋体" w:cs="宋体"/>
      <w:b/>
      <w:bCs/>
      <w:kern w:val="0"/>
      <w:sz w:val="28"/>
      <w:szCs w:val="28"/>
    </w:rPr>
  </w:style>
  <w:style w:type="character" w:customStyle="1" w:styleId="25">
    <w:name w:val="标题 3 字符"/>
    <w:basedOn w:val="19"/>
    <w:link w:val="4"/>
    <w:autoRedefine/>
    <w:semiHidden/>
    <w:qFormat/>
    <w:uiPriority w:val="9"/>
    <w:rPr>
      <w:b/>
      <w:bCs/>
      <w:sz w:val="32"/>
      <w:szCs w:val="32"/>
    </w:rPr>
  </w:style>
  <w:style w:type="character" w:customStyle="1" w:styleId="26">
    <w:name w:val="标题 4 字符"/>
    <w:basedOn w:val="19"/>
    <w:link w:val="5"/>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19"/>
    <w:link w:val="14"/>
    <w:autoRedefine/>
    <w:qFormat/>
    <w:uiPriority w:val="10"/>
    <w:rPr>
      <w:rFonts w:ascii="黑体" w:hAnsi="黑体" w:eastAsia="黑体" w:cs="黑体"/>
      <w:b/>
      <w:bCs/>
      <w:sz w:val="24"/>
      <w:szCs w:val="24"/>
    </w:rPr>
  </w:style>
  <w:style w:type="character" w:customStyle="1" w:styleId="28">
    <w:name w:val="页眉 字符"/>
    <w:basedOn w:val="19"/>
    <w:link w:val="11"/>
    <w:autoRedefine/>
    <w:qFormat/>
    <w:uiPriority w:val="99"/>
    <w:rPr>
      <w:sz w:val="18"/>
      <w:szCs w:val="18"/>
    </w:rPr>
  </w:style>
  <w:style w:type="character" w:customStyle="1" w:styleId="29">
    <w:name w:val="页脚 字符"/>
    <w:basedOn w:val="19"/>
    <w:link w:val="10"/>
    <w:autoRedefine/>
    <w:qFormat/>
    <w:uiPriority w:val="99"/>
    <w:rPr>
      <w:sz w:val="18"/>
      <w:szCs w:val="18"/>
    </w:rPr>
  </w:style>
  <w:style w:type="character" w:customStyle="1" w:styleId="30">
    <w:name w:val="标题 1 字符"/>
    <w:basedOn w:val="19"/>
    <w:link w:val="2"/>
    <w:autoRedefine/>
    <w:qFormat/>
    <w:uiPriority w:val="0"/>
    <w:rPr>
      <w:rFonts w:ascii="Calibri" w:hAnsi="Calibri" w:eastAsia="宋体" w:cs="Times New Roman"/>
      <w:b/>
      <w:bCs/>
      <w:kern w:val="44"/>
      <w:sz w:val="44"/>
      <w:szCs w:val="44"/>
    </w:rPr>
  </w:style>
  <w:style w:type="character" w:customStyle="1" w:styleId="31">
    <w:name w:val="副标题 字符"/>
    <w:basedOn w:val="19"/>
    <w:link w:val="12"/>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19"/>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19"/>
    <w:qFormat/>
    <w:uiPriority w:val="0"/>
    <w:rPr>
      <w:rFonts w:hint="eastAsia" w:ascii="华文楷体" w:hAnsi="华文楷体" w:eastAsia="华文楷体" w:cs="华文楷体"/>
      <w:color w:val="000000"/>
      <w:sz w:val="22"/>
      <w:szCs w:val="22"/>
      <w:u w:val="none"/>
    </w:rPr>
  </w:style>
  <w:style w:type="character" w:customStyle="1" w:styleId="40">
    <w:name w:val="font41"/>
    <w:basedOn w:val="19"/>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19"/>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4.emf"/><Relationship Id="rId6" Type="http://schemas.openxmlformats.org/officeDocument/2006/relationships/image" Target="media/image3.png"/><Relationship Id="rId5" Type="http://schemas.openxmlformats.org/officeDocument/2006/relationships/image" Target="media/image2.emf"/><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339</Words>
  <Characters>352</Characters>
  <Lines>35</Lines>
  <Paragraphs>9</Paragraphs>
  <TotalTime>2</TotalTime>
  <ScaleCrop>false</ScaleCrop>
  <LinksUpToDate>false</LinksUpToDate>
  <CharactersWithSpaces>358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2026-06-09T07:27:52Z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