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59F5B60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锅炉连排长距离取样导致磷酸根监测失真的原因分析及改进</w:t>
      </w:r>
    </w:p>
    <w:p w14:paraId="1EACA968">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bookmarkStart w:id="0" w:name="_GoBack"/>
      <w:bookmarkEnd w:id="0"/>
      <w:r>
        <w:rPr>
          <w:rFonts w:hint="eastAsia" w:ascii="楷体" w:hAnsi="楷体" w:eastAsia="楷体" w:cs="楷体"/>
          <w:color w:val="auto"/>
          <w:sz w:val="21"/>
          <w:szCs w:val="21"/>
          <w:lang w:val="en-US" w:eastAsia="zh-CN"/>
        </w:rPr>
        <w:t>吴光明 王加刚</w:t>
      </w:r>
    </w:p>
    <w:p w14:paraId="50015FB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威顿（中国）化工有限责任公司</w:t>
      </w:r>
    </w:p>
    <w:p w14:paraId="7442255A">
      <w:pPr>
        <w:rPr>
          <w:rFonts w:hint="eastAsia"/>
          <w:lang w:val="en-US" w:eastAsia="zh-CN"/>
        </w:rPr>
      </w:pPr>
    </w:p>
    <w:p w14:paraId="00FDED6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i w:val="0"/>
          <w:sz w:val="21"/>
          <w:szCs w:val="21"/>
        </w:rPr>
        <w:t>摘要：</w:t>
      </w:r>
      <w:r>
        <w:rPr>
          <w:rFonts w:hint="eastAsia" w:ascii="宋体" w:hAnsi="宋体" w:eastAsia="宋体" w:cs="宋体"/>
          <w:b w:val="0"/>
          <w:i w:val="0"/>
          <w:sz w:val="21"/>
          <w:szCs w:val="21"/>
        </w:rPr>
        <w:t>针对某厂0.55 M</w:t>
      </w:r>
      <w:r>
        <w:rPr>
          <w:rFonts w:hint="eastAsia" w:ascii="宋体" w:hAnsi="宋体" w:eastAsia="宋体" w:cs="宋体"/>
          <w:b w:val="0"/>
          <w:i w:val="0"/>
          <w:sz w:val="21"/>
          <w:szCs w:val="21"/>
          <w:lang w:val="en-US" w:eastAsia="zh-CN"/>
        </w:rPr>
        <w:t>pa</w:t>
      </w:r>
      <w:r>
        <w:rPr>
          <w:rFonts w:hint="eastAsia" w:ascii="宋体" w:hAnsi="宋体" w:eastAsia="宋体" w:cs="宋体"/>
          <w:b w:val="0"/>
          <w:i w:val="0"/>
          <w:sz w:val="21"/>
          <w:szCs w:val="21"/>
        </w:rPr>
        <w:t xml:space="preserve">蒸汽锅炉（设计压力0.8 </w:t>
      </w:r>
      <w:r>
        <w:rPr>
          <w:rFonts w:hint="eastAsia" w:ascii="宋体" w:hAnsi="宋体" w:eastAsia="宋体" w:cs="宋体"/>
          <w:b w:val="0"/>
          <w:i w:val="0"/>
          <w:sz w:val="21"/>
          <w:szCs w:val="21"/>
          <w:lang w:val="en-US" w:eastAsia="zh-CN"/>
        </w:rPr>
        <w:t>Mpa</w:t>
      </w:r>
      <w:r>
        <w:rPr>
          <w:rFonts w:hint="eastAsia" w:ascii="宋体" w:hAnsi="宋体" w:eastAsia="宋体" w:cs="宋体"/>
          <w:b w:val="0"/>
          <w:i w:val="0"/>
          <w:sz w:val="21"/>
          <w:szCs w:val="21"/>
        </w:rPr>
        <w:t>）连续排污（连排）取样系统因500米长距离输送导致磷酸根在线监测数据持续偏小的异常现象，结合磷酸三钠的非挥发性特性，分析了高温饱和水在长距离输送过程中的相变行为。通过引入50米短距离取样正常工作的对比案例及现场观察到的“断断续续”水流现象，揭示了数据失真的根本原因——高温样品输送过程中发生闪蒸，形成汽液两相流，加之管道起伏导致液相滞留，使到达在线表的样品被蒸汽凝结水严重稀释。现场试验表明，有水段磷酸根浓度接近真实值（8.5 mg/L），而无水段浓度趋近于零（0.2 mg/L），连续收集样品被稀释至2.1 mg/L，偏差达75.3%。提出了“先冷却，后输送”的改进方案，即在取样源头增设高效冷却器，将样品冷却至40℃以下后再长距离输送，从源头上消除相变。本研究为锅炉水汽取样系统的设计优化和在线监测准确性保障提供了理论依据和工程参考。</w:t>
      </w:r>
    </w:p>
    <w:p w14:paraId="762619DA">
      <w:pPr>
        <w:pageBreakBefore w:val="0"/>
        <w:kinsoku/>
        <w:wordWrap/>
        <w:overflowPunct/>
        <w:topLinePunct w:val="0"/>
        <w:autoSpaceDE/>
        <w:autoSpaceDN/>
        <w:bidi w:val="0"/>
        <w:snapToGrid/>
        <w:spacing w:beforeAutospacing="0" w:afterAutospacing="0" w:line="400" w:lineRule="exact"/>
        <w:ind w:left="0" w:leftChars="0" w:right="0" w:rightChars="0" w:firstLine="422" w:firstLineChars="200"/>
        <w:jc w:val="left"/>
        <w:textAlignment w:val="auto"/>
        <w:rPr>
          <w:rFonts w:hint="eastAsia" w:ascii="宋体" w:hAnsi="宋体" w:eastAsia="宋体" w:cs="宋体"/>
          <w:sz w:val="21"/>
          <w:szCs w:val="21"/>
        </w:rPr>
      </w:pPr>
      <w:r>
        <w:rPr>
          <w:rFonts w:hint="eastAsia" w:ascii="宋体" w:hAnsi="宋体" w:eastAsia="宋体" w:cs="宋体"/>
          <w:b/>
          <w:bCs/>
          <w:i w:val="0"/>
          <w:sz w:val="21"/>
          <w:szCs w:val="21"/>
        </w:rPr>
        <w:t>关键词：</w:t>
      </w:r>
      <w:r>
        <w:rPr>
          <w:rFonts w:hint="eastAsia" w:ascii="宋体" w:hAnsi="宋体" w:eastAsia="宋体" w:cs="宋体"/>
          <w:b w:val="0"/>
          <w:i w:val="0"/>
          <w:sz w:val="21"/>
          <w:szCs w:val="21"/>
        </w:rPr>
        <w:t>磷酸三钠</w:t>
      </w:r>
      <w:r>
        <w:rPr>
          <w:rFonts w:hint="eastAsia" w:ascii="宋体" w:hAnsi="宋体" w:eastAsia="宋体" w:cs="宋体"/>
          <w:b w:val="0"/>
          <w:i w:val="0"/>
          <w:sz w:val="21"/>
          <w:szCs w:val="21"/>
          <w:lang w:val="en-US" w:eastAsia="zh-CN"/>
        </w:rPr>
        <w:t xml:space="preserve"> </w:t>
      </w:r>
      <w:r>
        <w:rPr>
          <w:rFonts w:hint="eastAsia" w:ascii="宋体" w:hAnsi="宋体" w:eastAsia="宋体" w:cs="宋体"/>
          <w:b w:val="0"/>
          <w:i w:val="0"/>
          <w:sz w:val="21"/>
          <w:szCs w:val="21"/>
        </w:rPr>
        <w:t>连排取样</w:t>
      </w:r>
      <w:r>
        <w:rPr>
          <w:rFonts w:hint="eastAsia" w:ascii="宋体" w:hAnsi="宋体" w:eastAsia="宋体" w:cs="宋体"/>
          <w:b w:val="0"/>
          <w:i w:val="0"/>
          <w:sz w:val="21"/>
          <w:szCs w:val="21"/>
          <w:lang w:val="en-US" w:eastAsia="zh-CN"/>
        </w:rPr>
        <w:t xml:space="preserve"> </w:t>
      </w:r>
      <w:r>
        <w:rPr>
          <w:rFonts w:hint="eastAsia" w:ascii="宋体" w:hAnsi="宋体" w:eastAsia="宋体" w:cs="宋体"/>
          <w:b w:val="0"/>
          <w:i w:val="0"/>
          <w:sz w:val="21"/>
          <w:szCs w:val="21"/>
        </w:rPr>
        <w:t>闪蒸</w:t>
      </w:r>
      <w:r>
        <w:rPr>
          <w:rFonts w:hint="eastAsia" w:ascii="宋体" w:hAnsi="宋体" w:eastAsia="宋体" w:cs="宋体"/>
          <w:b w:val="0"/>
          <w:i w:val="0"/>
          <w:sz w:val="21"/>
          <w:szCs w:val="21"/>
          <w:lang w:val="en-US" w:eastAsia="zh-CN"/>
        </w:rPr>
        <w:t xml:space="preserve"> </w:t>
      </w:r>
      <w:r>
        <w:rPr>
          <w:rFonts w:hint="eastAsia" w:ascii="宋体" w:hAnsi="宋体" w:eastAsia="宋体" w:cs="宋体"/>
          <w:b w:val="0"/>
          <w:i w:val="0"/>
          <w:sz w:val="21"/>
          <w:szCs w:val="21"/>
        </w:rPr>
        <w:t>两相流</w:t>
      </w:r>
      <w:r>
        <w:rPr>
          <w:rFonts w:hint="eastAsia" w:ascii="宋体" w:hAnsi="宋体" w:eastAsia="宋体" w:cs="宋体"/>
          <w:b w:val="0"/>
          <w:i w:val="0"/>
          <w:sz w:val="21"/>
          <w:szCs w:val="21"/>
          <w:lang w:val="en-US" w:eastAsia="zh-CN"/>
        </w:rPr>
        <w:t xml:space="preserve"> </w:t>
      </w:r>
      <w:r>
        <w:rPr>
          <w:rFonts w:hint="eastAsia" w:ascii="宋体" w:hAnsi="宋体" w:eastAsia="宋体" w:cs="宋体"/>
          <w:b w:val="0"/>
          <w:i w:val="0"/>
          <w:sz w:val="21"/>
          <w:szCs w:val="21"/>
        </w:rPr>
        <w:t>取样代表性</w:t>
      </w:r>
      <w:r>
        <w:rPr>
          <w:rFonts w:hint="eastAsia" w:ascii="宋体" w:hAnsi="宋体" w:eastAsia="宋体" w:cs="宋体"/>
          <w:b w:val="0"/>
          <w:i w:val="0"/>
          <w:sz w:val="21"/>
          <w:szCs w:val="21"/>
          <w:lang w:val="en-US" w:eastAsia="zh-CN"/>
        </w:rPr>
        <w:t xml:space="preserve"> </w:t>
      </w:r>
      <w:r>
        <w:rPr>
          <w:rFonts w:hint="eastAsia" w:ascii="宋体" w:hAnsi="宋体" w:eastAsia="宋体" w:cs="宋体"/>
          <w:b w:val="0"/>
          <w:i w:val="0"/>
          <w:sz w:val="21"/>
          <w:szCs w:val="21"/>
        </w:rPr>
        <w:t>先冷却后输送</w:t>
      </w:r>
    </w:p>
    <w:p w14:paraId="608BCD9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5A6433E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0 引言</w:t>
      </w:r>
    </w:p>
    <w:p w14:paraId="725783FE">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在工业锅炉和电站锅炉运行中，磷酸三钠作为最常用的锅内水处理药剂，通过向炉水中投加以防止受热面结垢和腐蚀[1]。准确监测炉水中的磷酸根浓度，是调整加药量、控制排污、保障锅炉安全经济运行的关键。然而，在实际工程中，由于取样系统设计不合理，尤其是长距离高温输送导致的样品失真问题，常常困扰着运行与化学监督人员。</w:t>
      </w:r>
    </w:p>
    <w:p w14:paraId="669E8DD3">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水汽取样系统的设计直接影响在线化学仪表的测量准确性。当前，许多电厂存在取样点位置不当、取样管路过长、冷却系统不完善等问题，导致监测数据失真，无法真实反映水质情况，进而引起化学监测控制和加药控制出现偏差，最终导致热力设备结垢、腐蚀和积盐事故[2]。</w:t>
      </w:r>
    </w:p>
    <w:p w14:paraId="2D9F9361">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磷酸三钠属于非挥发性物质，其汽液分配系数趋近于零，几乎不进入气相（蒸汽）[3]。这意味着样品一旦发生汽化，磷酸根将全部滞留于液相，而气相部分不含磷酸根，将导致测量值失真。目前，关于磷酸根监测的研究多集中在仪表故障处理[4]和实验室检测方法[5]，而对取样系统本身引入的误差缺乏系统研究。</w:t>
      </w:r>
    </w:p>
    <w:p w14:paraId="0DD0145A">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本研究以某厂0.55 MPa蒸汽锅炉连排取样系统为对象，针对500米管线输送导致磷酸根在线监测数据持续偏小的异常现象，结合磷酸三钠的相态分布特性进行系统性分析，并通过对比验证和现场试验揭示问题根源，提出改进方案。</w:t>
      </w:r>
    </w:p>
    <w:p w14:paraId="6ED4331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 磷酸三钠的相态分布特性</w:t>
      </w:r>
    </w:p>
    <w:p w14:paraId="31DF9DD9">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b w:val="0"/>
          <w:bCs w:val="0"/>
          <w:sz w:val="21"/>
          <w:szCs w:val="21"/>
        </w:rPr>
        <w:t>磷酸三钠（Na₃PO₄•12H₂O）属于非挥发性物质，在锅炉高</w:t>
      </w:r>
      <w:r>
        <w:rPr>
          <w:rFonts w:hint="eastAsia" w:ascii="宋体" w:hAnsi="宋体" w:eastAsia="宋体" w:cs="宋体"/>
          <w:sz w:val="21"/>
          <w:szCs w:val="21"/>
        </w:rPr>
        <w:t>温高压环境下表现出以下特性：</w:t>
      </w:r>
    </w:p>
    <w:p w14:paraId="25A79FE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完全液相停留</w:t>
      </w:r>
    </w:p>
    <w:p w14:paraId="0714530D">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磷酸三钠以离子形态（Na⁺、PO₄³⁻）稳定存在于锅水（液相）中，其汽液分配系数趋近于零，几乎不进入气相（蒸汽）。根据汽液分配平衡理论，物质的汽液分配系数可定义为：</w:t>
      </w:r>
    </w:p>
    <w:p w14:paraId="2EC7914D">
      <w:pPr>
        <w:pageBreakBefore w:val="0"/>
        <w:kinsoku/>
        <w:wordWrap/>
        <w:overflowPunct/>
        <w:topLinePunct w:val="0"/>
        <w:autoSpaceDE/>
        <w:autoSpaceDN/>
        <w:bidi w:val="0"/>
        <w:snapToGrid/>
        <w:spacing w:beforeAutospacing="0" w:afterAutospacing="0" w:line="240" w:lineRule="auto"/>
        <w:ind w:left="0" w:leftChars="0" w:right="0" w:rightChars="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K =</w:t>
      </w:r>
      <w:r>
        <w:rPr>
          <w:rFonts w:hint="eastAsia" w:ascii="宋体" w:hAnsi="宋体" w:eastAsia="宋体" w:cs="宋体"/>
          <w:b/>
          <w:bCs/>
          <w:sz w:val="21"/>
          <w:szCs w:val="21"/>
          <w:lang w:val="en-US" w:eastAsia="zh-CN"/>
        </w:rPr>
        <w:t xml:space="preserve"> </w:t>
      </w:r>
      <m:oMath>
        <m:f>
          <m:fPr>
            <m:ctrlPr>
              <w:rPr>
                <w:rFonts w:hint="eastAsia" w:ascii="Cambria Math" w:hAnsi="Cambria Math" w:eastAsia="宋体" w:cs="宋体"/>
                <w:b/>
                <w:bCs/>
                <w:i/>
                <w:sz w:val="21"/>
                <w:szCs w:val="21"/>
              </w:rPr>
            </m:ctrlPr>
          </m:fPr>
          <m:num>
            <m:sSub>
              <m:sSubPr>
                <m:ctrlPr>
                  <w:rPr>
                    <w:rFonts w:hint="eastAsia" w:ascii="Cambria Math" w:hAnsi="Cambria Math" w:eastAsia="宋体" w:cs="宋体"/>
                    <w:b/>
                    <w:bCs/>
                    <w:i/>
                    <w:sz w:val="21"/>
                    <w:szCs w:val="21"/>
                  </w:rPr>
                </m:ctrlPr>
              </m:sSubPr>
              <m:e>
                <m:r>
                  <m:rPr>
                    <m:sty m:val="bi"/>
                  </m:rPr>
                  <w:rPr>
                    <w:rFonts w:hint="eastAsia" w:ascii="Cambria Math" w:hAnsi="Cambria Math" w:eastAsia="宋体" w:cs="宋体"/>
                    <w:sz w:val="21"/>
                    <w:szCs w:val="21"/>
                    <w:lang w:val="en-US" w:eastAsia="zh-CN"/>
                  </w:rPr>
                  <m:t>C</m:t>
                </m:r>
                <m:ctrlPr>
                  <w:rPr>
                    <w:rFonts w:hint="eastAsia" w:ascii="Cambria Math" w:hAnsi="Cambria Math" w:eastAsia="宋体" w:cs="宋体"/>
                    <w:b/>
                    <w:bCs/>
                    <w:i/>
                    <w:sz w:val="21"/>
                    <w:szCs w:val="21"/>
                  </w:rPr>
                </m:ctrlPr>
              </m:e>
              <m:sub>
                <m:r>
                  <m:rPr>
                    <m:sty m:val="bi"/>
                  </m:rPr>
                  <w:rPr>
                    <w:rFonts w:hint="eastAsia" w:ascii="Cambria Math" w:hAnsi="Cambria Math" w:eastAsia="宋体" w:cs="宋体"/>
                    <w:sz w:val="21"/>
                    <w:szCs w:val="21"/>
                    <w:lang w:val="en-US" w:eastAsia="zh-CN"/>
                  </w:rPr>
                  <m:t>g</m:t>
                </m:r>
                <m:ctrlPr>
                  <w:rPr>
                    <w:rFonts w:hint="eastAsia" w:ascii="Cambria Math" w:hAnsi="Cambria Math" w:eastAsia="宋体" w:cs="宋体"/>
                    <w:b/>
                    <w:bCs/>
                    <w:i/>
                    <w:sz w:val="21"/>
                    <w:szCs w:val="21"/>
                  </w:rPr>
                </m:ctrlPr>
              </m:sub>
            </m:sSub>
            <m:ctrlPr>
              <w:rPr>
                <w:rFonts w:hint="eastAsia" w:ascii="Cambria Math" w:hAnsi="Cambria Math" w:eastAsia="宋体" w:cs="宋体"/>
                <w:b/>
                <w:bCs/>
                <w:i/>
                <w:sz w:val="21"/>
                <w:szCs w:val="21"/>
              </w:rPr>
            </m:ctrlPr>
          </m:num>
          <m:den>
            <m:sSub>
              <m:sSubPr>
                <m:ctrlPr>
                  <w:rPr>
                    <w:rFonts w:hint="eastAsia" w:ascii="Cambria Math" w:hAnsi="Cambria Math" w:eastAsia="宋体" w:cs="宋体"/>
                    <w:b/>
                    <w:bCs/>
                    <w:i/>
                    <w:sz w:val="21"/>
                    <w:szCs w:val="21"/>
                  </w:rPr>
                </m:ctrlPr>
              </m:sSubPr>
              <m:e>
                <m:r>
                  <m:rPr>
                    <m:sty m:val="bi"/>
                  </m:rPr>
                  <w:rPr>
                    <w:rFonts w:hint="eastAsia" w:ascii="Cambria Math" w:hAnsi="Cambria Math" w:eastAsia="宋体" w:cs="宋体"/>
                    <w:sz w:val="21"/>
                    <w:szCs w:val="21"/>
                    <w:lang w:val="en-US" w:eastAsia="zh-CN"/>
                  </w:rPr>
                  <m:t>C</m:t>
                </m:r>
                <m:ctrlPr>
                  <w:rPr>
                    <w:rFonts w:hint="eastAsia" w:ascii="Cambria Math" w:hAnsi="Cambria Math" w:eastAsia="宋体" w:cs="宋体"/>
                    <w:b/>
                    <w:bCs/>
                    <w:i/>
                    <w:sz w:val="21"/>
                    <w:szCs w:val="21"/>
                  </w:rPr>
                </m:ctrlPr>
              </m:e>
              <m:sub>
                <m:r>
                  <m:rPr>
                    <m:sty m:val="bi"/>
                  </m:rPr>
                  <w:rPr>
                    <w:rFonts w:hint="eastAsia" w:ascii="Cambria Math" w:hAnsi="Cambria Math" w:eastAsia="宋体" w:cs="宋体"/>
                    <w:sz w:val="21"/>
                    <w:szCs w:val="21"/>
                    <w:lang w:val="en-US" w:eastAsia="zh-CN"/>
                  </w:rPr>
                  <m:t>l</m:t>
                </m:r>
                <m:ctrlPr>
                  <w:rPr>
                    <w:rFonts w:hint="eastAsia" w:ascii="Cambria Math" w:hAnsi="Cambria Math" w:eastAsia="宋体" w:cs="宋体"/>
                    <w:b/>
                    <w:bCs/>
                    <w:i/>
                    <w:sz w:val="21"/>
                    <w:szCs w:val="21"/>
                  </w:rPr>
                </m:ctrlPr>
              </m:sub>
            </m:sSub>
            <m:ctrlPr>
              <w:rPr>
                <w:rFonts w:hint="eastAsia" w:ascii="Cambria Math" w:hAnsi="Cambria Math" w:eastAsia="宋体" w:cs="宋体"/>
                <w:b/>
                <w:bCs/>
                <w:i/>
                <w:sz w:val="21"/>
                <w:szCs w:val="21"/>
              </w:rPr>
            </m:ctrlPr>
          </m:den>
        </m:f>
      </m:oMath>
    </w:p>
    <w:p w14:paraId="003CF799">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其中</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vertAlign w:val="subscript"/>
        </w:rPr>
        <w:t>g</w:t>
      </w:r>
      <w:r>
        <w:rPr>
          <w:rFonts w:hint="eastAsia" w:ascii="宋体" w:hAnsi="宋体" w:eastAsia="宋体" w:cs="宋体"/>
          <w:sz w:val="21"/>
          <w:szCs w:val="21"/>
        </w:rPr>
        <w:t xml:space="preserve"> 为</w:t>
      </w:r>
      <w:r>
        <w:rPr>
          <w:rFonts w:hint="eastAsia" w:ascii="宋体" w:hAnsi="宋体" w:eastAsia="宋体" w:cs="宋体"/>
          <w:sz w:val="21"/>
          <w:szCs w:val="21"/>
          <w:lang w:eastAsia="zh-CN"/>
        </w:rPr>
        <w:t>气相</w:t>
      </w:r>
      <w:r>
        <w:rPr>
          <w:rFonts w:hint="eastAsia" w:ascii="宋体" w:hAnsi="宋体" w:eastAsia="宋体" w:cs="宋体"/>
          <w:sz w:val="21"/>
          <w:szCs w:val="21"/>
        </w:rPr>
        <w:t>浓度， C</w:t>
      </w:r>
      <w:r>
        <w:rPr>
          <w:rFonts w:hint="eastAsia" w:ascii="宋体" w:hAnsi="宋体" w:eastAsia="宋体" w:cs="宋体"/>
          <w:sz w:val="21"/>
          <w:szCs w:val="21"/>
          <w:vertAlign w:val="subscript"/>
          <w:lang w:val="en-US" w:eastAsia="zh-CN"/>
        </w:rPr>
        <w:t>ι</w:t>
      </w:r>
      <w:r>
        <w:rPr>
          <w:rFonts w:hint="eastAsia" w:ascii="宋体" w:hAnsi="宋体" w:eastAsia="宋体" w:cs="宋体"/>
          <w:sz w:val="21"/>
          <w:szCs w:val="21"/>
          <w:vertAlign w:val="subscript"/>
        </w:rPr>
        <w:t xml:space="preserve"> </w:t>
      </w:r>
      <w:r>
        <w:rPr>
          <w:rFonts w:hint="eastAsia" w:ascii="宋体" w:hAnsi="宋体" w:eastAsia="宋体" w:cs="宋体"/>
          <w:sz w:val="21"/>
          <w:szCs w:val="21"/>
        </w:rPr>
        <w:t>为液相浓度。对于磷酸三钠，K ≈ 0 。这是整个分析工作的理论基础。</w:t>
      </w:r>
    </w:p>
    <w:p w14:paraId="7672C82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 高温水解平衡</w:t>
      </w:r>
    </w:p>
    <w:p w14:paraId="168B68AF">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在高温炉水中，磷酸三钠会发生一定程度的水解：</w:t>
      </w:r>
    </w:p>
    <w:p w14:paraId="37AE3D0E">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i w:val="0"/>
          <w:iCs w:val="0"/>
          <w:caps w:val="0"/>
          <w:color w:val="auto"/>
          <w:spacing w:val="0"/>
          <w:sz w:val="21"/>
          <w:szCs w:val="21"/>
          <w:shd w:val="clear" w:fill="FFFFFF"/>
        </w:rPr>
      </w:pPr>
      <w:r>
        <w:rPr>
          <w:rFonts w:hint="eastAsia" w:ascii="宋体" w:hAnsi="宋体" w:eastAsia="宋体" w:cs="宋体"/>
          <w:i w:val="0"/>
          <w:iCs w:val="0"/>
          <w:caps w:val="0"/>
          <w:color w:val="auto"/>
          <w:spacing w:val="0"/>
          <w:sz w:val="21"/>
          <w:szCs w:val="21"/>
          <w:shd w:val="clear" w:fill="FFFFFF"/>
        </w:rPr>
        <w:t>Na</w:t>
      </w:r>
      <w:r>
        <w:rPr>
          <w:rFonts w:hint="eastAsia" w:ascii="宋体" w:hAnsi="宋体" w:eastAsia="宋体" w:cs="宋体"/>
          <w:i w:val="0"/>
          <w:iCs w:val="0"/>
          <w:caps w:val="0"/>
          <w:color w:val="auto"/>
          <w:spacing w:val="0"/>
          <w:sz w:val="21"/>
          <w:szCs w:val="21"/>
          <w:shd w:val="clear" w:fill="FFFFFF"/>
          <w:vertAlign w:val="subscript"/>
        </w:rPr>
        <w:t>3</w:t>
      </w:r>
      <w:r>
        <w:rPr>
          <w:rFonts w:hint="eastAsia" w:ascii="宋体" w:hAnsi="宋体" w:eastAsia="宋体" w:cs="宋体"/>
          <w:i w:val="0"/>
          <w:iCs w:val="0"/>
          <w:caps w:val="0"/>
          <w:color w:val="auto"/>
          <w:spacing w:val="0"/>
          <w:sz w:val="21"/>
          <w:szCs w:val="21"/>
          <w:shd w:val="clear" w:fill="FFFFFF"/>
        </w:rPr>
        <w:t>PO</w:t>
      </w:r>
      <w:r>
        <w:rPr>
          <w:rFonts w:hint="eastAsia" w:ascii="宋体" w:hAnsi="宋体" w:eastAsia="宋体" w:cs="宋体"/>
          <w:i w:val="0"/>
          <w:iCs w:val="0"/>
          <w:caps w:val="0"/>
          <w:color w:val="auto"/>
          <w:spacing w:val="0"/>
          <w:sz w:val="21"/>
          <w:szCs w:val="21"/>
          <w:shd w:val="clear" w:fill="FFFFFF"/>
          <w:vertAlign w:val="subscript"/>
        </w:rPr>
        <w:t>4</w:t>
      </w:r>
      <w:r>
        <w:rPr>
          <w:rFonts w:hint="eastAsia" w:ascii="宋体" w:hAnsi="宋体" w:eastAsia="宋体" w:cs="宋体"/>
          <w:i w:val="0"/>
          <w:iCs w:val="0"/>
          <w:caps w:val="0"/>
          <w:color w:val="auto"/>
          <w:spacing w:val="0"/>
          <w:sz w:val="21"/>
          <w:szCs w:val="21"/>
          <w:shd w:val="clear" w:fill="FFFFFF"/>
          <w:vertAlign w:val="subscript"/>
          <w:lang w:val="en-US" w:eastAsia="zh-CN"/>
        </w:rPr>
        <w:t xml:space="preserve"> </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 xml:space="preserve"> </w:t>
      </w:r>
      <w:r>
        <w:rPr>
          <w:rFonts w:hint="eastAsia" w:ascii="宋体" w:hAnsi="宋体" w:eastAsia="宋体" w:cs="宋体"/>
          <w:i w:val="0"/>
          <w:iCs w:val="0"/>
          <w:caps w:val="0"/>
          <w:color w:val="auto"/>
          <w:spacing w:val="0"/>
          <w:sz w:val="21"/>
          <w:szCs w:val="21"/>
          <w:shd w:val="clear" w:fill="FFFFFF"/>
        </w:rPr>
        <w:t>H</w:t>
      </w:r>
      <w:r>
        <w:rPr>
          <w:rFonts w:hint="eastAsia" w:ascii="宋体" w:hAnsi="宋体" w:eastAsia="宋体" w:cs="宋体"/>
          <w:i w:val="0"/>
          <w:iCs w:val="0"/>
          <w:caps w:val="0"/>
          <w:color w:val="auto"/>
          <w:spacing w:val="0"/>
          <w:sz w:val="21"/>
          <w:szCs w:val="21"/>
          <w:shd w:val="clear" w:fill="FFFFFF"/>
          <w:vertAlign w:val="subscript"/>
        </w:rPr>
        <w:t>2</w:t>
      </w:r>
      <w:r>
        <w:rPr>
          <w:rFonts w:hint="eastAsia" w:ascii="宋体" w:hAnsi="宋体" w:eastAsia="宋体" w:cs="宋体"/>
          <w:i w:val="0"/>
          <w:iCs w:val="0"/>
          <w:caps w:val="0"/>
          <w:color w:val="auto"/>
          <w:spacing w:val="0"/>
          <w:sz w:val="21"/>
          <w:szCs w:val="21"/>
          <w:shd w:val="clear" w:fill="FFFFFF"/>
        </w:rPr>
        <w:t>O</w:t>
      </w:r>
      <w:r>
        <w:rPr>
          <w:rFonts w:hint="eastAsia" w:ascii="宋体" w:hAnsi="宋体" w:eastAsia="宋体" w:cs="宋体"/>
          <w:i w:val="0"/>
          <w:iCs w:val="0"/>
          <w:caps w:val="0"/>
          <w:color w:val="auto"/>
          <w:spacing w:val="0"/>
          <w:sz w:val="21"/>
          <w:szCs w:val="21"/>
          <w:shd w:val="clear" w:fill="FFFFFF"/>
          <w:lang w:val="en-US" w:eastAsia="zh-CN"/>
        </w:rPr>
        <w:t xml:space="preserve"> </w:t>
      </w:r>
      <w:r>
        <w:rPr>
          <w:rFonts w:hint="eastAsia" w:ascii="宋体" w:hAnsi="宋体" w:eastAsia="宋体" w:cs="宋体"/>
          <w:i w:val="0"/>
          <w:iCs w:val="0"/>
          <w:caps w:val="0"/>
          <w:color w:val="auto"/>
          <w:spacing w:val="0"/>
          <w:sz w:val="21"/>
          <w:szCs w:val="21"/>
          <w:shd w:val="clear" w:fill="FFFFFF"/>
        </w:rPr>
        <w:t>⇌Na</w:t>
      </w:r>
      <w:r>
        <w:rPr>
          <w:rFonts w:hint="eastAsia" w:ascii="宋体" w:hAnsi="宋体" w:eastAsia="宋体" w:cs="宋体"/>
          <w:i w:val="0"/>
          <w:iCs w:val="0"/>
          <w:caps w:val="0"/>
          <w:color w:val="auto"/>
          <w:spacing w:val="0"/>
          <w:sz w:val="21"/>
          <w:szCs w:val="21"/>
          <w:shd w:val="clear" w:fill="FFFFFF"/>
          <w:vertAlign w:val="subscript"/>
        </w:rPr>
        <w:t>2</w:t>
      </w:r>
      <w:r>
        <w:rPr>
          <w:rFonts w:hint="eastAsia" w:ascii="宋体" w:hAnsi="宋体" w:eastAsia="宋体" w:cs="宋体"/>
          <w:i w:val="0"/>
          <w:iCs w:val="0"/>
          <w:caps w:val="0"/>
          <w:color w:val="auto"/>
          <w:spacing w:val="0"/>
          <w:sz w:val="21"/>
          <w:szCs w:val="21"/>
          <w:shd w:val="clear" w:fill="FFFFFF"/>
        </w:rPr>
        <w:t>HPO</w:t>
      </w:r>
      <w:r>
        <w:rPr>
          <w:rFonts w:hint="eastAsia" w:ascii="宋体" w:hAnsi="宋体" w:eastAsia="宋体" w:cs="宋体"/>
          <w:i w:val="0"/>
          <w:iCs w:val="0"/>
          <w:caps w:val="0"/>
          <w:color w:val="auto"/>
          <w:spacing w:val="0"/>
          <w:sz w:val="21"/>
          <w:szCs w:val="21"/>
          <w:shd w:val="clear" w:fill="FFFFFF"/>
          <w:vertAlign w:val="subscript"/>
        </w:rPr>
        <w:t>4</w:t>
      </w:r>
      <w:r>
        <w:rPr>
          <w:rFonts w:hint="eastAsia" w:ascii="宋体" w:hAnsi="宋体" w:eastAsia="宋体" w:cs="宋体"/>
          <w:i w:val="0"/>
          <w:iCs w:val="0"/>
          <w:caps w:val="0"/>
          <w:color w:val="auto"/>
          <w:spacing w:val="0"/>
          <w:sz w:val="21"/>
          <w:szCs w:val="21"/>
          <w:shd w:val="clear" w:fill="FFFFFF"/>
          <w:vertAlign w:val="subscript"/>
          <w:lang w:val="en-US" w:eastAsia="zh-CN"/>
        </w:rPr>
        <w:t xml:space="preserve"> </w:t>
      </w:r>
      <w:r>
        <w:rPr>
          <w:rFonts w:hint="eastAsia" w:ascii="宋体" w:hAnsi="宋体" w:eastAsia="宋体" w:cs="宋体"/>
          <w:i w:val="0"/>
          <w:iCs w:val="0"/>
          <w:caps w:val="0"/>
          <w:color w:val="auto"/>
          <w:spacing w:val="0"/>
          <w:sz w:val="21"/>
          <w:szCs w:val="21"/>
          <w:shd w:val="clear" w:fill="FFFFFF"/>
        </w:rPr>
        <w:t>+</w:t>
      </w:r>
      <w:r>
        <w:rPr>
          <w:rFonts w:hint="eastAsia" w:ascii="宋体" w:hAnsi="宋体" w:eastAsia="宋体" w:cs="宋体"/>
          <w:i w:val="0"/>
          <w:iCs w:val="0"/>
          <w:caps w:val="0"/>
          <w:color w:val="auto"/>
          <w:spacing w:val="0"/>
          <w:sz w:val="21"/>
          <w:szCs w:val="21"/>
          <w:shd w:val="clear" w:fill="FFFFFF"/>
          <w:lang w:val="en-US" w:eastAsia="zh-CN"/>
        </w:rPr>
        <w:t xml:space="preserve"> </w:t>
      </w:r>
      <w:r>
        <w:rPr>
          <w:rFonts w:hint="eastAsia" w:ascii="宋体" w:hAnsi="宋体" w:eastAsia="宋体" w:cs="宋体"/>
          <w:i w:val="0"/>
          <w:iCs w:val="0"/>
          <w:caps w:val="0"/>
          <w:color w:val="auto"/>
          <w:spacing w:val="0"/>
          <w:sz w:val="21"/>
          <w:szCs w:val="21"/>
          <w:shd w:val="clear" w:fill="FFFFFF"/>
        </w:rPr>
        <w:t>NaOH</w:t>
      </w:r>
    </w:p>
    <w:p w14:paraId="3151D04E">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但其离子形态始终保留在液相中，水解反应不影响其非挥发性。</w:t>
      </w:r>
    </w:p>
    <w:p w14:paraId="3C358DB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 工程意义</w:t>
      </w:r>
    </w:p>
    <w:p w14:paraId="515AF3C6">
      <w:pPr>
        <w:pageBreakBefore w:val="0"/>
        <w:numPr>
          <w:ilvl w:val="0"/>
          <w:numId w:val="1"/>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加药点必须设在汽包下降管等液相区域；</w:t>
      </w:r>
    </w:p>
    <w:p w14:paraId="206C626B">
      <w:pPr>
        <w:pageBreakBefore w:val="0"/>
        <w:numPr>
          <w:ilvl w:val="0"/>
          <w:numId w:val="1"/>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监测点必须取自有代表性的锅水水样；</w:t>
      </w:r>
    </w:p>
    <w:p w14:paraId="13F777C3">
      <w:pPr>
        <w:pageBreakBefore w:val="0"/>
        <w:numPr>
          <w:ilvl w:val="0"/>
          <w:numId w:val="1"/>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蒸汽中若检出磷酸盐，通常表明发生了严重的“汽水共腾”或分离装置失效；</w:t>
      </w:r>
    </w:p>
    <w:p w14:paraId="1AE2EAA8">
      <w:pPr>
        <w:pageBreakBefore w:val="0"/>
        <w:numPr>
          <w:ilvl w:val="0"/>
          <w:numId w:val="1"/>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样品的任何汽化都将导致磷酸根测量值失真。</w:t>
      </w:r>
    </w:p>
    <w:p w14:paraId="37E44D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 现场问题与现象描述</w:t>
      </w:r>
    </w:p>
    <w:p w14:paraId="53F7ADC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取样系统概况</w:t>
      </w:r>
    </w:p>
    <w:p w14:paraId="1BB1AEB7">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某厂一台蒸汽锅炉，主要参数如下：</w:t>
      </w:r>
    </w:p>
    <w:p w14:paraId="54B241C3">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设计压力：0.8 M</w:t>
      </w:r>
      <w:r>
        <w:rPr>
          <w:rFonts w:hint="eastAsia" w:ascii="宋体" w:hAnsi="宋体" w:eastAsia="宋体" w:cs="宋体"/>
          <w:b w:val="0"/>
          <w:bCs/>
          <w:sz w:val="21"/>
          <w:szCs w:val="21"/>
          <w:lang w:val="en-US" w:eastAsia="zh-CN"/>
        </w:rPr>
        <w:t>pa</w:t>
      </w:r>
    </w:p>
    <w:p w14:paraId="7A14F618">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实际运行压力：0.55 M</w:t>
      </w:r>
      <w:r>
        <w:rPr>
          <w:rFonts w:hint="eastAsia" w:ascii="宋体" w:hAnsi="宋体" w:eastAsia="宋体" w:cs="宋体"/>
          <w:b w:val="0"/>
          <w:bCs/>
          <w:sz w:val="21"/>
          <w:szCs w:val="21"/>
          <w:lang w:val="en-US" w:eastAsia="zh-CN"/>
        </w:rPr>
        <w:t>pa</w:t>
      </w:r>
    </w:p>
    <w:p w14:paraId="3B2658C1">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运行温度：约155℃（对应饱和温度）</w:t>
      </w:r>
    </w:p>
    <w:p w14:paraId="2DFAA49F">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补给水类型：除盐水</w:t>
      </w:r>
    </w:p>
    <w:p w14:paraId="28CB8C4B">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取样点：锅炉连续排污（连排）管出口</w:t>
      </w:r>
    </w:p>
    <w:p w14:paraId="388B8176">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输送距离：约500米</w:t>
      </w:r>
    </w:p>
    <w:p w14:paraId="7B1EC14D">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管道规格：DN15（内径约15 mm）不锈钢管，属于工业取样系统常规设计</w:t>
      </w:r>
    </w:p>
    <w:p w14:paraId="3C140AE1">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管道走向：存在多处上弯、下弯起伏</w:t>
      </w:r>
    </w:p>
    <w:p w14:paraId="622404B6">
      <w:pPr>
        <w:pageBreakBefore w:val="0"/>
        <w:numPr>
          <w:ilvl w:val="0"/>
          <w:numId w:val="2"/>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预处理：未设置前端冷却器，仅在线磷表前有简易过滤</w:t>
      </w:r>
    </w:p>
    <w:p w14:paraId="4EC29F85">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另有一台相同工况（0.55 M</w:t>
      </w:r>
      <w:r>
        <w:rPr>
          <w:rFonts w:hint="eastAsia" w:ascii="宋体" w:hAnsi="宋体" w:eastAsia="宋体" w:cs="宋体"/>
          <w:b w:val="0"/>
          <w:bCs/>
          <w:sz w:val="21"/>
          <w:szCs w:val="21"/>
          <w:lang w:val="en-US" w:eastAsia="zh-CN"/>
        </w:rPr>
        <w:t>pa</w:t>
      </w:r>
      <w:r>
        <w:rPr>
          <w:rFonts w:hint="eastAsia" w:ascii="宋体" w:hAnsi="宋体" w:eastAsia="宋体" w:cs="宋体"/>
          <w:b w:val="0"/>
          <w:bCs/>
          <w:sz w:val="21"/>
          <w:szCs w:val="21"/>
        </w:rPr>
        <w:t>，155℃，除盐水处理）的锅炉，其连排取样管线长度约50米，作为对比研究对象。</w:t>
      </w:r>
    </w:p>
    <w:p w14:paraId="17038E65">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根据GB/T 1576-2018《工业锅炉水质》规定，采用除盐水处理的蒸汽锅炉，炉水磷酸根控制标准为5~20 mg/L（0.8 M</w:t>
      </w:r>
      <w:r>
        <w:rPr>
          <w:rFonts w:hint="eastAsia" w:ascii="宋体" w:hAnsi="宋体" w:eastAsia="宋体" w:cs="宋体"/>
          <w:sz w:val="21"/>
          <w:szCs w:val="21"/>
          <w:lang w:val="en-US" w:eastAsia="zh-CN"/>
        </w:rPr>
        <w:t>pa</w:t>
      </w:r>
      <w:r>
        <w:rPr>
          <w:rFonts w:hint="eastAsia" w:ascii="宋体" w:hAnsi="宋体" w:eastAsia="宋体" w:cs="宋体"/>
          <w:sz w:val="21"/>
          <w:szCs w:val="21"/>
        </w:rPr>
        <w:t>锅炉）或5~15 mg/L（3.8 M</w:t>
      </w:r>
      <w:r>
        <w:rPr>
          <w:rFonts w:hint="eastAsia" w:ascii="宋体" w:hAnsi="宋体" w:eastAsia="宋体" w:cs="宋体"/>
          <w:sz w:val="21"/>
          <w:szCs w:val="21"/>
          <w:lang w:val="en-US" w:eastAsia="zh-CN"/>
        </w:rPr>
        <w:t>pa</w:t>
      </w:r>
      <w:r>
        <w:rPr>
          <w:rFonts w:hint="eastAsia" w:ascii="宋体" w:hAnsi="宋体" w:eastAsia="宋体" w:cs="宋体"/>
          <w:sz w:val="21"/>
          <w:szCs w:val="21"/>
        </w:rPr>
        <w:t>锅炉）[6]。本案例现场实际执行统一控制标准5~15 mg/L。</w:t>
      </w:r>
    </w:p>
    <w:p w14:paraId="36C1724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异常现象</w:t>
      </w:r>
    </w:p>
    <w:p w14:paraId="0AA2B666">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故障锅炉在线磷酸根监测仪表读数长期偏低，显示值约为</w:t>
      </w:r>
      <w:r>
        <w:rPr>
          <w:rFonts w:hint="eastAsia" w:ascii="宋体" w:hAnsi="宋体" w:eastAsia="宋体" w:cs="宋体"/>
          <w:b/>
          <w:sz w:val="21"/>
          <w:szCs w:val="21"/>
        </w:rPr>
        <w:t>1~3 mg/L</w:t>
      </w:r>
      <w:r>
        <w:rPr>
          <w:rFonts w:hint="eastAsia" w:ascii="宋体" w:hAnsi="宋体" w:eastAsia="宋体" w:cs="宋体"/>
          <w:sz w:val="21"/>
          <w:szCs w:val="21"/>
        </w:rPr>
        <w:t>，而现场从锅炉人工取样口（经冷却后）化验结果为</w:t>
      </w:r>
      <w:r>
        <w:rPr>
          <w:rFonts w:hint="eastAsia" w:ascii="宋体" w:hAnsi="宋体" w:eastAsia="宋体" w:cs="宋体"/>
          <w:b/>
          <w:sz w:val="21"/>
          <w:szCs w:val="21"/>
        </w:rPr>
        <w:t>8~10 mg/L</w:t>
      </w:r>
      <w:r>
        <w:rPr>
          <w:rFonts w:hint="eastAsia" w:ascii="宋体" w:hAnsi="宋体" w:eastAsia="宋体" w:cs="宋体"/>
          <w:sz w:val="21"/>
          <w:szCs w:val="21"/>
        </w:rPr>
        <w:t>，两者偏差超过70%。在线表读数相对稳定，无明显剧烈波动。</w:t>
      </w:r>
    </w:p>
    <w:p w14:paraId="64A82014">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人工取样值8~10 mg/L处于合格范围中间值，控制良好，但在线表读数1~3 mg/L已低于控制下限，无法指导运行调整。</w:t>
      </w:r>
    </w:p>
    <w:p w14:paraId="71AC6D7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关键观察：断断续续的取样水流</w:t>
      </w:r>
    </w:p>
    <w:p w14:paraId="72CE5A42">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现场观察发现，500米管道末端来的取样水呈现</w:t>
      </w:r>
      <w:r>
        <w:rPr>
          <w:rFonts w:hint="eastAsia" w:ascii="宋体" w:hAnsi="宋体" w:eastAsia="宋体" w:cs="宋体"/>
          <w:b/>
          <w:sz w:val="21"/>
          <w:szCs w:val="21"/>
        </w:rPr>
        <w:t>明显的断断续续状态</w:t>
      </w:r>
      <w:r>
        <w:rPr>
          <w:rFonts w:hint="eastAsia" w:ascii="宋体" w:hAnsi="宋体" w:eastAsia="宋体" w:cs="宋体"/>
          <w:sz w:val="21"/>
          <w:szCs w:val="21"/>
        </w:rPr>
        <w:t>——有时有水流出，有时无水流（只有气体），而非正常的连续满管水流。这一观察为理论分析提供了直接物理证据，表明管道内确实存在汽水两相流。</w:t>
      </w:r>
    </w:p>
    <w:p w14:paraId="2B152A5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原因分析</w:t>
      </w:r>
    </w:p>
    <w:p w14:paraId="2BFFAF8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闪蒸机理分析</w:t>
      </w:r>
    </w:p>
    <w:p w14:paraId="07326622">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高温饱和水对压力变化极为敏感。在500米长距离输送过程中，沿程阻力导致压力逐渐下降。根据Darcy-Weisbach公式，沿程压降可估算为：</w:t>
      </w:r>
    </w:p>
    <w:p w14:paraId="77D49EDE">
      <w:pPr>
        <w:pageBreakBefore w:val="0"/>
        <w:kinsoku/>
        <w:wordWrap/>
        <w:overflowPunct/>
        <w:topLinePunct w:val="0"/>
        <w:autoSpaceDE/>
        <w:autoSpaceDN/>
        <w:bidi w:val="0"/>
        <w:snapToGrid/>
        <w:spacing w:beforeAutospacing="0" w:afterAutospacing="0" w:line="240" w:lineRule="auto"/>
        <w:ind w:left="0" w:leftChars="0" w:right="0" w:rightChars="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ΔP</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 xml:space="preserve">= </w:t>
      </w:r>
      <m:oMath>
        <m:r>
          <m:rPr>
            <m:sty m:val="bi"/>
          </m:rPr>
          <w:rPr>
            <w:rFonts w:hint="eastAsia" w:ascii="Cambria Math" w:hAnsi="Cambria Math" w:eastAsia="宋体" w:cs="宋体"/>
            <w:sz w:val="21"/>
            <w:szCs w:val="21"/>
            <w:lang w:val="en-US" w:eastAsia="zh-CN"/>
          </w:rPr>
          <m:t>f</m:t>
        </m:r>
        <m:f>
          <m:fPr>
            <m:ctrlPr>
              <w:rPr>
                <w:rFonts w:hint="eastAsia" w:ascii="Cambria Math" w:hAnsi="Cambria Math" w:eastAsia="宋体" w:cs="宋体"/>
                <w:b/>
                <w:bCs/>
                <w:i/>
                <w:sz w:val="21"/>
                <w:szCs w:val="21"/>
                <w:lang w:val="en-US" w:eastAsia="zh-CN"/>
              </w:rPr>
            </m:ctrlPr>
          </m:fPr>
          <m:num>
            <m:r>
              <m:rPr>
                <m:sty m:val="bi"/>
              </m:rPr>
              <w:rPr>
                <w:rFonts w:hint="eastAsia" w:ascii="Cambria Math" w:hAnsi="Cambria Math" w:eastAsia="宋体" w:cs="宋体"/>
                <w:sz w:val="21"/>
                <w:szCs w:val="21"/>
                <w:lang w:val="en-US" w:eastAsia="zh-CN"/>
              </w:rPr>
              <m:t>L</m:t>
            </m:r>
            <m:ctrlPr>
              <w:rPr>
                <w:rFonts w:hint="eastAsia" w:ascii="Cambria Math" w:hAnsi="Cambria Math" w:eastAsia="宋体" w:cs="宋体"/>
                <w:b/>
                <w:bCs/>
                <w:i/>
                <w:sz w:val="21"/>
                <w:szCs w:val="21"/>
                <w:lang w:val="en-US" w:eastAsia="zh-CN"/>
              </w:rPr>
            </m:ctrlPr>
          </m:num>
          <m:den>
            <m:r>
              <m:rPr>
                <m:sty m:val="bi"/>
              </m:rPr>
              <w:rPr>
                <w:rFonts w:hint="eastAsia" w:ascii="Cambria Math" w:hAnsi="Cambria Math" w:eastAsia="宋体" w:cs="宋体"/>
                <w:sz w:val="21"/>
                <w:szCs w:val="21"/>
                <w:lang w:val="en-US" w:eastAsia="zh-CN"/>
              </w:rPr>
              <m:t>D</m:t>
            </m:r>
            <m:ctrlPr>
              <w:rPr>
                <w:rFonts w:hint="eastAsia" w:ascii="Cambria Math" w:hAnsi="Cambria Math" w:eastAsia="宋体" w:cs="宋体"/>
                <w:b/>
                <w:bCs/>
                <w:i/>
                <w:sz w:val="21"/>
                <w:szCs w:val="21"/>
                <w:lang w:val="en-US" w:eastAsia="zh-CN"/>
              </w:rPr>
            </m:ctrlPr>
          </m:den>
        </m:f>
        <m:f>
          <m:fPr>
            <m:ctrlPr>
              <w:rPr>
                <w:rFonts w:hint="eastAsia" w:ascii="Cambria Math" w:hAnsi="Cambria Math" w:eastAsia="宋体" w:cs="宋体"/>
                <w:b/>
                <w:bCs/>
                <w:i/>
                <w:sz w:val="21"/>
                <w:szCs w:val="21"/>
                <w:lang w:val="en-US" w:eastAsia="zh-CN"/>
              </w:rPr>
            </m:ctrlPr>
          </m:fPr>
          <m:num>
            <m:r>
              <m:rPr>
                <m:sty m:val="bi"/>
              </m:rPr>
              <w:rPr>
                <w:rFonts w:hint="eastAsia" w:ascii="Cambria Math" w:hAnsi="Cambria Math" w:eastAsia="宋体" w:cs="宋体"/>
                <w:sz w:val="21"/>
                <w:szCs w:val="21"/>
                <w:lang w:val="en-US" w:eastAsia="zh-CN"/>
              </w:rPr>
              <m:t>ρ</m:t>
            </m:r>
            <m:sSup>
              <m:sSupPr>
                <m:ctrlPr>
                  <w:rPr>
                    <w:rFonts w:hint="eastAsia" w:ascii="Cambria Math" w:hAnsi="Cambria Math" w:eastAsia="宋体" w:cs="宋体"/>
                    <w:b/>
                    <w:bCs/>
                    <w:i/>
                    <w:sz w:val="21"/>
                    <w:szCs w:val="21"/>
                    <w:lang w:val="en-US" w:eastAsia="zh-CN"/>
                  </w:rPr>
                </m:ctrlPr>
              </m:sSupPr>
              <m:e>
                <m:r>
                  <m:rPr>
                    <m:sty m:val="bi"/>
                  </m:rPr>
                  <w:rPr>
                    <w:rFonts w:hint="eastAsia" w:ascii="Cambria Math" w:hAnsi="Cambria Math" w:eastAsia="宋体" w:cs="宋体"/>
                    <w:sz w:val="21"/>
                    <w:szCs w:val="21"/>
                    <w:lang w:val="en-US" w:eastAsia="zh-CN"/>
                  </w:rPr>
                  <m:t>ν</m:t>
                </m:r>
                <m:ctrlPr>
                  <w:rPr>
                    <w:rFonts w:hint="eastAsia" w:ascii="Cambria Math" w:hAnsi="Cambria Math" w:eastAsia="宋体" w:cs="宋体"/>
                    <w:b/>
                    <w:bCs/>
                    <w:i/>
                    <w:sz w:val="21"/>
                    <w:szCs w:val="21"/>
                    <w:lang w:val="en-US" w:eastAsia="zh-CN"/>
                  </w:rPr>
                </m:ctrlPr>
              </m:e>
              <m:sup>
                <m:r>
                  <m:rPr>
                    <m:sty m:val="bi"/>
                  </m:rPr>
                  <w:rPr>
                    <w:rFonts w:hint="eastAsia" w:ascii="Cambria Math" w:hAnsi="Cambria Math" w:eastAsia="宋体" w:cs="宋体"/>
                    <w:sz w:val="21"/>
                    <w:szCs w:val="21"/>
                    <w:lang w:val="en-US" w:eastAsia="zh-CN"/>
                  </w:rPr>
                  <m:t>2</m:t>
                </m:r>
                <m:ctrlPr>
                  <w:rPr>
                    <w:rFonts w:hint="eastAsia" w:ascii="Cambria Math" w:hAnsi="Cambria Math" w:eastAsia="宋体" w:cs="宋体"/>
                    <w:b/>
                    <w:bCs/>
                    <w:i/>
                    <w:sz w:val="21"/>
                    <w:szCs w:val="21"/>
                    <w:lang w:val="en-US" w:eastAsia="zh-CN"/>
                  </w:rPr>
                </m:ctrlPr>
              </m:sup>
            </m:sSup>
            <m:ctrlPr>
              <w:rPr>
                <w:rFonts w:hint="eastAsia" w:ascii="Cambria Math" w:hAnsi="Cambria Math" w:eastAsia="宋体" w:cs="宋体"/>
                <w:b/>
                <w:bCs/>
                <w:i/>
                <w:sz w:val="21"/>
                <w:szCs w:val="21"/>
                <w:lang w:val="en-US" w:eastAsia="zh-CN"/>
              </w:rPr>
            </m:ctrlPr>
          </m:num>
          <m:den>
            <m:r>
              <m:rPr>
                <m:sty m:val="bi"/>
              </m:rPr>
              <w:rPr>
                <w:rFonts w:hint="eastAsia" w:ascii="Cambria Math" w:hAnsi="Cambria Math" w:eastAsia="宋体" w:cs="宋体"/>
                <w:sz w:val="21"/>
                <w:szCs w:val="21"/>
                <w:lang w:val="en-US" w:eastAsia="zh-CN"/>
              </w:rPr>
              <m:t>2</m:t>
            </m:r>
            <m:ctrlPr>
              <w:rPr>
                <w:rFonts w:hint="eastAsia" w:ascii="Cambria Math" w:hAnsi="Cambria Math" w:eastAsia="宋体" w:cs="宋体"/>
                <w:b/>
                <w:bCs/>
                <w:i/>
                <w:sz w:val="21"/>
                <w:szCs w:val="21"/>
                <w:lang w:val="en-US" w:eastAsia="zh-CN"/>
              </w:rPr>
            </m:ctrlPr>
          </m:den>
        </m:f>
      </m:oMath>
    </w:p>
    <w:p w14:paraId="1EC2F6AE">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式中： f 为摩擦系数，L 为管长，D 为管径，ρ为密度， ν</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为流速。</w:t>
      </w:r>
    </w:p>
    <w:p w14:paraId="5BCDE384">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当压力降至低于155℃对应的饱和压力（0.55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）时，部分水发生闪蒸，形成汽水两相流。根据热力学相平衡理论，闪蒸发生的条件为：</w:t>
      </w:r>
    </w:p>
    <w:p w14:paraId="7B8DF1E9">
      <w:pPr>
        <w:pageBreakBefore w:val="0"/>
        <w:kinsoku/>
        <w:wordWrap/>
        <w:overflowPunct/>
        <w:topLinePunct w:val="0"/>
        <w:autoSpaceDE/>
        <w:autoSpaceDN/>
        <w:bidi w:val="0"/>
        <w:snapToGrid/>
        <w:spacing w:beforeAutospacing="0" w:afterAutospacing="0" w:line="400" w:lineRule="exact"/>
        <w:ind w:left="0" w:leftChars="0" w:right="0" w:rightChars="0" w:firstLine="422" w:firstLineChars="200"/>
        <w:jc w:val="both"/>
        <w:textAlignment w:val="auto"/>
        <w:rPr>
          <w:rFonts w:hint="eastAsia" w:ascii="宋体" w:hAnsi="宋体" w:eastAsia="宋体" w:cs="宋体"/>
          <w:b/>
          <w:bCs/>
          <w:sz w:val="21"/>
          <w:szCs w:val="21"/>
          <w:vertAlign w:val="baseline"/>
          <w:lang w:val="en-US" w:eastAsia="zh-CN"/>
        </w:rPr>
      </w:pPr>
      <w:r>
        <w:rPr>
          <w:rFonts w:hint="eastAsia" w:ascii="宋体" w:hAnsi="宋体" w:eastAsia="宋体" w:cs="宋体"/>
          <w:b/>
          <w:bCs/>
          <w:sz w:val="21"/>
          <w:szCs w:val="21"/>
          <w:lang w:val="en-US" w:eastAsia="zh-CN"/>
        </w:rPr>
        <w:t>P&lt;P</w:t>
      </w:r>
      <w:r>
        <w:rPr>
          <w:rFonts w:hint="eastAsia" w:ascii="宋体" w:hAnsi="宋体" w:eastAsia="宋体" w:cs="宋体"/>
          <w:b/>
          <w:bCs/>
          <w:sz w:val="21"/>
          <w:szCs w:val="21"/>
          <w:vertAlign w:val="subscript"/>
          <w:lang w:val="en-US" w:eastAsia="zh-CN"/>
        </w:rPr>
        <w:t>sat</w:t>
      </w:r>
      <w:r>
        <w:rPr>
          <w:rFonts w:hint="eastAsia" w:ascii="宋体" w:hAnsi="宋体" w:eastAsia="宋体" w:cs="宋体"/>
          <w:b/>
          <w:bCs/>
          <w:sz w:val="21"/>
          <w:szCs w:val="21"/>
          <w:vertAlign w:val="baseline"/>
          <w:lang w:val="en-US" w:eastAsia="zh-CN"/>
        </w:rPr>
        <w:t>(T)</w:t>
      </w:r>
    </w:p>
    <w:p w14:paraId="5A68C2C5">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其中 P</w:t>
      </w:r>
      <w:r>
        <w:rPr>
          <w:rFonts w:hint="eastAsia" w:ascii="宋体" w:hAnsi="宋体" w:eastAsia="宋体" w:cs="宋体"/>
          <w:sz w:val="21"/>
          <w:szCs w:val="21"/>
          <w:vertAlign w:val="subscript"/>
        </w:rPr>
        <w:t>sat</w:t>
      </w:r>
      <w:r>
        <w:rPr>
          <w:rFonts w:hint="eastAsia" w:ascii="宋体" w:hAnsi="宋体" w:eastAsia="宋体" w:cs="宋体"/>
          <w:sz w:val="21"/>
          <w:szCs w:val="21"/>
        </w:rPr>
        <w:t>(T) 为温度</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T 对应的饱和压力，155℃时为0.55 M</w:t>
      </w:r>
      <w:r>
        <w:rPr>
          <w:rFonts w:hint="eastAsia" w:ascii="宋体" w:hAnsi="宋体" w:eastAsia="宋体" w:cs="宋体"/>
          <w:sz w:val="21"/>
          <w:szCs w:val="21"/>
          <w:lang w:val="en-US" w:eastAsia="zh-CN"/>
        </w:rPr>
        <w:t>pa</w:t>
      </w:r>
      <w:r>
        <w:rPr>
          <w:rFonts w:hint="eastAsia" w:ascii="宋体" w:hAnsi="宋体" w:eastAsia="宋体" w:cs="宋体"/>
          <w:sz w:val="21"/>
          <w:szCs w:val="21"/>
        </w:rPr>
        <w:t>。</w:t>
      </w:r>
    </w:p>
    <w:p w14:paraId="0086D747">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bCs w:val="0"/>
          <w:sz w:val="21"/>
          <w:szCs w:val="21"/>
        </w:rPr>
      </w:pPr>
      <w:r>
        <w:rPr>
          <w:rFonts w:hint="eastAsia" w:ascii="宋体" w:hAnsi="宋体" w:eastAsia="宋体" w:cs="宋体"/>
          <w:sz w:val="21"/>
          <w:szCs w:val="21"/>
        </w:rPr>
        <w:t>经估算，500米管道的沿程压降约0.36 M</w:t>
      </w:r>
      <w:r>
        <w:rPr>
          <w:rFonts w:hint="eastAsia" w:ascii="宋体" w:hAnsi="宋体" w:eastAsia="宋体" w:cs="宋体"/>
          <w:sz w:val="21"/>
          <w:szCs w:val="21"/>
          <w:lang w:val="en-US" w:eastAsia="zh-CN"/>
        </w:rPr>
        <w:t>pa</w:t>
      </w:r>
      <w:r>
        <w:rPr>
          <w:rFonts w:hint="eastAsia" w:ascii="宋体" w:hAnsi="宋体" w:eastAsia="宋体" w:cs="宋体"/>
          <w:sz w:val="21"/>
          <w:szCs w:val="21"/>
        </w:rPr>
        <w:t>（详见5.3节），末端压力降至0.19 M</w:t>
      </w:r>
      <w:r>
        <w:rPr>
          <w:rFonts w:hint="eastAsia" w:ascii="宋体" w:hAnsi="宋体" w:eastAsia="宋体" w:cs="宋体"/>
          <w:sz w:val="21"/>
          <w:szCs w:val="21"/>
          <w:lang w:val="en-US" w:eastAsia="zh-CN"/>
        </w:rPr>
        <w:t>pa</w:t>
      </w:r>
      <w:r>
        <w:rPr>
          <w:rFonts w:hint="eastAsia" w:ascii="宋体" w:hAnsi="宋体" w:eastAsia="宋体" w:cs="宋体"/>
          <w:sz w:val="21"/>
          <w:szCs w:val="21"/>
        </w:rPr>
        <w:t>，远低于0.55 M</w:t>
      </w:r>
      <w:r>
        <w:rPr>
          <w:rFonts w:hint="eastAsia" w:ascii="宋体" w:hAnsi="宋体" w:eastAsia="宋体" w:cs="宋体"/>
          <w:sz w:val="21"/>
          <w:szCs w:val="21"/>
          <w:lang w:val="en-US" w:eastAsia="zh-CN"/>
        </w:rPr>
        <w:t>pa</w:t>
      </w:r>
      <w:r>
        <w:rPr>
          <w:rFonts w:hint="eastAsia" w:ascii="宋体" w:hAnsi="宋体" w:eastAsia="宋体" w:cs="宋体"/>
          <w:sz w:val="21"/>
          <w:szCs w:val="21"/>
        </w:rPr>
        <w:t>的饱和压力，</w:t>
      </w:r>
      <w:r>
        <w:rPr>
          <w:rFonts w:hint="eastAsia" w:ascii="宋体" w:hAnsi="宋体" w:eastAsia="宋体" w:cs="宋体"/>
          <w:b/>
          <w:bCs w:val="0"/>
          <w:sz w:val="21"/>
          <w:szCs w:val="21"/>
        </w:rPr>
        <w:t>必然发生严重闪蒸。</w:t>
      </w:r>
    </w:p>
    <w:p w14:paraId="6F5469BE">
      <w:pPr>
        <w:pageBreakBefore w:val="0"/>
        <w:kinsoku/>
        <w:wordWrap/>
        <w:overflowPunct/>
        <w:topLinePunct w:val="0"/>
        <w:autoSpaceDE/>
        <w:autoSpaceDN/>
        <w:bidi w:val="0"/>
        <w:snapToGrid/>
        <w:spacing w:beforeAutospacing="0" w:afterAutospacing="0" w:line="400" w:lineRule="exact"/>
        <w:ind w:left="0" w:leftChars="0" w:right="0" w:rightChars="0" w:firstLine="422" w:firstLineChars="200"/>
        <w:jc w:val="both"/>
        <w:textAlignment w:val="auto"/>
        <w:rPr>
          <w:rFonts w:hint="eastAsia" w:ascii="宋体" w:hAnsi="宋体" w:eastAsia="宋体" w:cs="宋体"/>
          <w:sz w:val="21"/>
          <w:szCs w:val="21"/>
        </w:rPr>
      </w:pPr>
      <w:r>
        <w:rPr>
          <w:rFonts w:hint="eastAsia" w:ascii="宋体" w:hAnsi="宋体" w:eastAsia="宋体" w:cs="宋体"/>
          <w:b/>
          <w:bCs w:val="0"/>
          <w:sz w:val="21"/>
          <w:szCs w:val="21"/>
        </w:rPr>
        <w:t>由于磷酸三钠不挥发，闪蒸后磷酸根全部滞留于液相，而气相（蒸汽）中磷酸根含量趋近于零。这就是数据失真的物理根源——样品已经从均匀的单相水，变成了“含磷酸根的液态水”与“不含磷酸根的气态蒸汽”的</w:t>
      </w:r>
      <w:r>
        <w:rPr>
          <w:rFonts w:hint="eastAsia" w:ascii="宋体" w:hAnsi="宋体" w:eastAsia="宋体" w:cs="宋体"/>
          <w:sz w:val="21"/>
          <w:szCs w:val="21"/>
        </w:rPr>
        <w:t>混合物。现场观察到的“断断续续”水流，正是汽水两相流到达末端的具体表现。</w:t>
      </w:r>
    </w:p>
    <w:p w14:paraId="0AAA6FB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管道起伏与液相滞留</w:t>
      </w:r>
    </w:p>
    <w:p w14:paraId="54E67268">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现场管道存在多处上弯和下弯，极大地加剧了问题的严重性：</w:t>
      </w:r>
    </w:p>
    <w:p w14:paraId="02FC3FC1">
      <w:pPr>
        <w:pageBreakBefore w:val="0"/>
        <w:numPr>
          <w:ilvl w:val="0"/>
          <w:numId w:val="3"/>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下弯处：密度大的水在重力作用下积聚在弯头底部，形成局部“集液器”。蒸汽则从上方通过。</w:t>
      </w:r>
    </w:p>
    <w:p w14:paraId="0115F7EF">
      <w:pPr>
        <w:pageBreakBefore w:val="0"/>
        <w:numPr>
          <w:ilvl w:val="0"/>
          <w:numId w:val="3"/>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上弯处：蒸汽难以将密度大的水“抬升”通过上坡段。水的密度约为蒸汽的几十倍，需要极高的流速才能携带上行。根据两相流理论，液相被夹带的条件可用Froude数表征：</w:t>
      </w:r>
    </w:p>
    <w:p w14:paraId="4523A2F3">
      <w:pPr>
        <w:pageBreakBefore w:val="0"/>
        <w:kinsoku/>
        <w:wordWrap/>
        <w:overflowPunct/>
        <w:topLinePunct w:val="0"/>
        <w:autoSpaceDE/>
        <w:autoSpaceDN/>
        <w:bidi w:val="0"/>
        <w:snapToGrid/>
        <w:spacing w:beforeAutospacing="0" w:afterAutospacing="0" w:line="240" w:lineRule="auto"/>
        <w:ind w:left="0" w:leftChars="0" w:right="0" w:rightChars="0" w:firstLine="420" w:firstLineChars="200"/>
        <w:jc w:val="both"/>
        <w:textAlignment w:val="auto"/>
        <w:rPr>
          <w:rFonts w:hint="eastAsia" w:ascii="宋体" w:hAnsi="宋体" w:eastAsia="宋体" w:cs="宋体"/>
          <w:b w:val="0"/>
          <w:bCs/>
          <w:sz w:val="21"/>
          <w:szCs w:val="21"/>
        </w:rPr>
      </w:pPr>
      <m:oMathPara>
        <m:oMath>
          <m:r>
            <m:rPr/>
            <w:rPr>
              <w:rFonts w:hint="default" w:ascii="Cambria Math" w:hAnsi="Cambria Math" w:eastAsia="宋体" w:cs="宋体"/>
              <w:sz w:val="21"/>
              <w:szCs w:val="21"/>
              <w:lang w:val="en-US" w:eastAsia="zh-CN"/>
            </w:rPr>
            <m:t>Fr</m:t>
          </m:r>
          <m:r>
            <m:rPr/>
            <w:rPr>
              <w:rFonts w:hint="eastAsia" w:ascii="Cambria Math" w:hAnsi="Cambria Math" w:eastAsia="宋体" w:cs="宋体"/>
              <w:sz w:val="21"/>
              <w:szCs w:val="21"/>
            </w:rPr>
            <m:t>=</m:t>
          </m:r>
          <m:f>
            <m:fPr>
              <m:ctrlPr>
                <w:rPr>
                  <w:rFonts w:hint="eastAsia" w:ascii="Cambria Math" w:hAnsi="Cambria Math" w:eastAsia="宋体" w:cs="宋体"/>
                  <w:b w:val="0"/>
                  <w:bCs/>
                  <w:i/>
                  <w:sz w:val="21"/>
                  <w:szCs w:val="21"/>
                </w:rPr>
              </m:ctrlPr>
            </m:fPr>
            <m:num>
              <m:r>
                <m:rPr/>
                <w:rPr>
                  <w:rFonts w:hint="default" w:ascii="Cambria Math" w:hAnsi="Cambria Math" w:eastAsia="宋体" w:cs="宋体"/>
                  <w:sz w:val="21"/>
                  <w:szCs w:val="21"/>
                </w:rPr>
                <m:t>ν</m:t>
              </m:r>
              <m:ctrlPr>
                <w:rPr>
                  <w:rFonts w:hint="eastAsia" w:ascii="Cambria Math" w:hAnsi="Cambria Math" w:eastAsia="宋体" w:cs="宋体"/>
                  <w:b w:val="0"/>
                  <w:bCs/>
                  <w:i/>
                  <w:sz w:val="21"/>
                  <w:szCs w:val="21"/>
                </w:rPr>
              </m:ctrlPr>
            </m:num>
            <m:den>
              <m:rad>
                <m:radPr>
                  <m:degHide m:val="1"/>
                  <m:ctrlPr>
                    <w:rPr>
                      <w:rFonts w:hint="eastAsia" w:ascii="Cambria Math" w:hAnsi="Cambria Math" w:eastAsia="宋体" w:cs="宋体"/>
                      <w:b w:val="0"/>
                      <w:bCs/>
                      <w:i/>
                      <w:sz w:val="21"/>
                      <w:szCs w:val="21"/>
                    </w:rPr>
                  </m:ctrlPr>
                </m:radPr>
                <m:deg>
                  <m:ctrlPr>
                    <w:rPr>
                      <w:rFonts w:hint="eastAsia" w:ascii="Cambria Math" w:hAnsi="Cambria Math" w:eastAsia="宋体" w:cs="宋体"/>
                      <w:b w:val="0"/>
                      <w:bCs/>
                      <w:i/>
                      <w:sz w:val="21"/>
                      <w:szCs w:val="21"/>
                    </w:rPr>
                  </m:ctrlPr>
                </m:deg>
                <m:e>
                  <m:r>
                    <m:rPr/>
                    <w:rPr>
                      <w:rFonts w:hint="default" w:ascii="Cambria Math" w:hAnsi="Cambria Math" w:eastAsia="宋体" w:cs="宋体"/>
                      <w:sz w:val="21"/>
                      <w:szCs w:val="21"/>
                      <w:lang w:val="en-US" w:eastAsia="zh-CN"/>
                    </w:rPr>
                    <m:t>gD</m:t>
                  </m:r>
                  <m:ctrlPr>
                    <w:rPr>
                      <w:rFonts w:hint="eastAsia" w:ascii="Cambria Math" w:hAnsi="Cambria Math" w:eastAsia="宋体" w:cs="宋体"/>
                      <w:b w:val="0"/>
                      <w:bCs/>
                      <w:i/>
                      <w:sz w:val="21"/>
                      <w:szCs w:val="21"/>
                    </w:rPr>
                  </m:ctrlPr>
                </m:e>
              </m:rad>
              <m:ctrlPr>
                <w:rPr>
                  <w:rFonts w:hint="eastAsia" w:ascii="Cambria Math" w:hAnsi="Cambria Math" w:eastAsia="宋体" w:cs="宋体"/>
                  <w:b w:val="0"/>
                  <w:bCs/>
                  <w:i/>
                  <w:sz w:val="21"/>
                  <w:szCs w:val="21"/>
                </w:rPr>
              </m:ctrlPr>
            </m:den>
          </m:f>
        </m:oMath>
      </m:oMathPara>
    </w:p>
    <w:p w14:paraId="4164F1E5">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当Fr 小于某一临界值时，液相将发生沉降和滞留。本案例中 Fr</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w:t>
      </w:r>
      <w:r>
        <w:rPr>
          <w:rFonts w:hint="eastAsia" w:ascii="宋体" w:hAnsi="宋体" w:eastAsia="宋体" w:cs="宋体"/>
          <w:b w:val="0"/>
          <w:bCs/>
          <w:sz w:val="21"/>
          <w:szCs w:val="21"/>
          <w:lang w:val="en-US" w:eastAsia="zh-CN"/>
        </w:rPr>
        <w:t xml:space="preserve"> </w:t>
      </w:r>
      <w:r>
        <w:rPr>
          <w:rFonts w:hint="eastAsia" w:ascii="宋体" w:hAnsi="宋体" w:eastAsia="宋体" w:cs="宋体"/>
          <w:b w:val="0"/>
          <w:bCs/>
          <w:sz w:val="21"/>
          <w:szCs w:val="21"/>
        </w:rPr>
        <w:t>1.4 ，处于分层流与段塞流过渡区。</w:t>
      </w:r>
    </w:p>
    <w:p w14:paraId="1201D9C8">
      <w:pPr>
        <w:pageBreakBefore w:val="0"/>
        <w:numPr>
          <w:ilvl w:val="0"/>
          <w:numId w:val="3"/>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接力式滞留：经过多个起伏路段后，含磷酸根的液相水在沿途多个低点被逐级截留，形成“接力式滞留”。</w:t>
      </w:r>
    </w:p>
    <w:p w14:paraId="0552FF61">
      <w:pPr>
        <w:pageBreakBefore w:val="0"/>
        <w:numPr>
          <w:ilvl w:val="0"/>
          <w:numId w:val="3"/>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最终结果：能够到达500米外取样点的，主要是蒸汽及少量被高速汽流夹带的雾状水滴和间歇性冲过来的段塞流，而主体液相水早已滞留在沿途各处。这解释了为什么末端水流是“断断续续”而非连续。</w:t>
      </w:r>
    </w:p>
    <w:p w14:paraId="6182D61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 取样口位置的“选择性抽吸”</w:t>
      </w:r>
    </w:p>
    <w:p w14:paraId="06729F0C">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sz w:val="21"/>
          <w:szCs w:val="21"/>
        </w:rPr>
        <w:t>在分层流状态下</w:t>
      </w:r>
      <w:r>
        <w:rPr>
          <w:rFonts w:hint="eastAsia" w:ascii="宋体" w:hAnsi="宋体" w:eastAsia="宋体" w:cs="宋体"/>
          <w:b w:val="0"/>
          <w:bCs w:val="0"/>
          <w:sz w:val="21"/>
          <w:szCs w:val="21"/>
        </w:rPr>
        <w:t>，取样管的安装方式至关重要。根据流型判别图（Mandhane图，1974），在本文工况下（气液两相流速约1.5~2.5 m/s），流型属于分层流或波状分层流[7]。此时，管道上部为气相，下部为液相。</w:t>
      </w:r>
    </w:p>
    <w:p w14:paraId="4032582C">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b w:val="0"/>
          <w:bCs w:val="0"/>
          <w:sz w:val="21"/>
          <w:szCs w:val="21"/>
        </w:rPr>
        <w:t>若取样管仅简单焊接在管道侧壁（未插入底部），管口与管内壁齐平，则抽吸到的主要是上层的蒸汽或管壁附近的气相</w:t>
      </w:r>
      <w:r>
        <w:rPr>
          <w:rFonts w:hint="eastAsia" w:ascii="宋体" w:hAnsi="宋体" w:eastAsia="宋体" w:cs="宋体"/>
          <w:sz w:val="21"/>
          <w:szCs w:val="21"/>
        </w:rPr>
        <w:t>，而非底部的浓锅水。即使有水段到达，取样口也可能因位置不当而抽吸不足，进一步加剧读数偏低。</w:t>
      </w:r>
    </w:p>
    <w:p w14:paraId="1ED645E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3.4 管径因素的讨论</w:t>
      </w:r>
    </w:p>
    <w:p w14:paraId="6259A9CD">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本案例采用DN15管径，属于工业取样系统的常规设计（通常为DN15-DN20）。在相同流量下，DN15管内流速约为1.5~2.5 m/s（典型工业流速），沿程阻力适中。根据式</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1</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估算，500米管道的沿程压降约为0.36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，足以引发严重闪蒸。</w:t>
      </w:r>
    </w:p>
    <w:p w14:paraId="7BA2596E">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管径因素的核心论断：问题的主因是500米距离，而非管径选择不当。DN15常规管径未能避免闪蒸，恰恰证明了长距离输送的固有矛盾——即使采用合理管径，距离过长仍会导致样品失真。50米正常工作的锅炉若采用同样DN15管径，则进一步证明：相同管径下，距离是唯一变量——50米安全，500米失真。</w:t>
      </w:r>
    </w:p>
    <w:p w14:paraId="357006D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3.5 运行压力对闪蒸的影响讨论</w:t>
      </w:r>
    </w:p>
    <w:p w14:paraId="38950A6B">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本锅炉设计压力为0.8 M</w:t>
      </w:r>
      <w:r>
        <w:rPr>
          <w:rFonts w:hint="eastAsia" w:ascii="宋体" w:hAnsi="宋体" w:eastAsia="宋体" w:cs="宋体"/>
          <w:sz w:val="21"/>
          <w:szCs w:val="21"/>
          <w:lang w:val="en-US" w:eastAsia="zh-CN"/>
        </w:rPr>
        <w:t>pa</w:t>
      </w:r>
      <w:r>
        <w:rPr>
          <w:rFonts w:hint="eastAsia" w:ascii="宋体" w:hAnsi="宋体" w:eastAsia="宋体" w:cs="宋体"/>
          <w:sz w:val="21"/>
          <w:szCs w:val="21"/>
        </w:rPr>
        <w:t>，但实际长期运行在0.55 M</w:t>
      </w:r>
      <w:r>
        <w:rPr>
          <w:rFonts w:hint="eastAsia" w:ascii="宋体" w:hAnsi="宋体" w:eastAsia="宋体" w:cs="宋体"/>
          <w:sz w:val="21"/>
          <w:szCs w:val="21"/>
          <w:lang w:val="en-US" w:eastAsia="zh-CN"/>
        </w:rPr>
        <w:t>pa</w:t>
      </w:r>
      <w:r>
        <w:rPr>
          <w:rFonts w:hint="eastAsia" w:ascii="宋体" w:hAnsi="宋体" w:eastAsia="宋体" w:cs="宋体"/>
          <w:sz w:val="21"/>
          <w:szCs w:val="21"/>
        </w:rPr>
        <w:t>。压力降低后，饱和温度从170℃降至155℃，饱和压力相应降低。</w:t>
      </w:r>
      <w:r>
        <w:rPr>
          <w:rFonts w:hint="eastAsia" w:ascii="宋体" w:hAnsi="宋体" w:eastAsia="宋体" w:cs="宋体"/>
          <w:kern w:val="2"/>
          <w:sz w:val="21"/>
          <w:szCs w:val="21"/>
          <w:lang w:val="en-US" w:eastAsia="zh-CN" w:bidi="ar-SA"/>
        </w:rPr>
        <w:t>从表面看，饱和压力降低似乎需要更大的压降才能引发闪蒸；但实际运行中，锅炉出口压力已降至0.55 Mpa，水处于饱和状态。一旦进入管道，沿程阻力导致压力下降，压力即开始低于饱和压力，闪蒸立即发生。经估算，500米管道的沿程压降达0.36 Mpa，末端压力降至0.19 Mpa，远低于饱和压力（0.55 Mpa），闪蒸极为严重。</w:t>
      </w:r>
    </w:p>
    <w:p w14:paraId="2493339C">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这一现象说明：长距离输送的矛盾在不同压力下普遍存在。压力降低后，虽然饱和温度降低，但起点压力也更接近常压，相同的压降更容易导致闪蒸。因此，本案例的结论具有普遍意义，可推广至各种压力的锅炉系统。</w:t>
      </w:r>
    </w:p>
    <w:p w14:paraId="7509443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 对比验证</w:t>
      </w:r>
    </w:p>
    <w:p w14:paraId="40181C9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 50米短距离正常案例</w:t>
      </w:r>
    </w:p>
    <w:p w14:paraId="01A3B7E1">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b w:val="0"/>
          <w:bCs w:val="0"/>
          <w:sz w:val="21"/>
          <w:szCs w:val="21"/>
        </w:rPr>
        <w:t>在完全相同的锅炉工况下（0.55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，155℃，除盐水处理），另一台锅炉的连排取样管线长度仅约50米，管道规格为DN15。该锅炉在线磷酸根读数与人工取样化验结果吻合良好（偏</w:t>
      </w:r>
      <w:r>
        <w:rPr>
          <w:rFonts w:hint="eastAsia" w:ascii="宋体" w:hAnsi="宋体" w:eastAsia="宋体" w:cs="宋体"/>
          <w:sz w:val="21"/>
          <w:szCs w:val="21"/>
        </w:rPr>
        <w:t>差&lt;5%），能够真实反映炉水指标，且水流状态为连续满管清水，无断流现象。</w:t>
      </w:r>
    </w:p>
    <w:p w14:paraId="2671A16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 对比分析</w:t>
      </w:r>
    </w:p>
    <w:p w14:paraId="361D134B">
      <w:pPr>
        <w:pageBreakBefore w:val="0"/>
        <w:kinsoku/>
        <w:wordWrap/>
        <w:overflowPunct/>
        <w:topLinePunct w:val="0"/>
        <w:autoSpaceDE/>
        <w:autoSpaceDN/>
        <w:bidi w:val="0"/>
        <w:spacing w:line="400" w:lineRule="exact"/>
        <w:ind w:left="0" w:leftChars="0" w:right="0" w:rightChars="0" w:firstLine="420" w:firstLineChars="200"/>
        <w:jc w:val="both"/>
        <w:textAlignment w:val="auto"/>
        <w:rPr>
          <w:rFonts w:hint="eastAsia" w:ascii="宋体" w:hAnsi="宋体" w:eastAsia="宋体" w:cs="宋体"/>
          <w:b w:val="0"/>
          <w:sz w:val="21"/>
          <w:szCs w:val="21"/>
        </w:rPr>
      </w:pPr>
      <w:r>
        <w:rPr>
          <w:rFonts w:hint="eastAsia" w:ascii="宋体" w:hAnsi="宋体" w:eastAsia="宋体" w:cs="宋体"/>
          <w:b w:val="0"/>
          <w:sz w:val="21"/>
          <w:szCs w:val="21"/>
        </w:rPr>
        <w:t>表1为两台锅炉的对比分析结果。</w:t>
      </w:r>
    </w:p>
    <w:p w14:paraId="6CCC6409">
      <w:pPr>
        <w:pageBreakBefore w:val="0"/>
        <w:kinsoku/>
        <w:wordWrap/>
        <w:overflowPunct/>
        <w:topLinePunct w:val="0"/>
        <w:autoSpaceDE/>
        <w:autoSpaceDN/>
        <w:bidi w:val="0"/>
        <w:spacing w:line="400" w:lineRule="exact"/>
        <w:ind w:left="0" w:leftChars="0" w:right="0" w:rightChars="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表1 500米与50米取样系统对比</w:t>
      </w:r>
    </w:p>
    <w:tbl>
      <w:tblPr>
        <w:tblStyle w:val="20"/>
        <w:tblW w:w="8606"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635"/>
        <w:gridCol w:w="2278"/>
        <w:gridCol w:w="2381"/>
        <w:gridCol w:w="2312"/>
      </w:tblGrid>
      <w:tr w14:paraId="647CA1A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635"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1BCDA439">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对比项</w:t>
            </w:r>
          </w:p>
        </w:tc>
        <w:tc>
          <w:tcPr>
            <w:tcW w:w="0" w:type="auto"/>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66B9D077">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锅炉A（故障）</w:t>
            </w:r>
          </w:p>
        </w:tc>
        <w:tc>
          <w:tcPr>
            <w:tcW w:w="0" w:type="auto"/>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3779D160">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锅炉B（正常）</w:t>
            </w:r>
          </w:p>
        </w:tc>
        <w:tc>
          <w:tcPr>
            <w:tcW w:w="2312"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4B546E9B">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关键差异</w:t>
            </w:r>
          </w:p>
        </w:tc>
      </w:tr>
      <w:tr w14:paraId="078A802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1606CEC7">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锅炉运行压力</w:t>
            </w:r>
          </w:p>
        </w:tc>
        <w:tc>
          <w:tcPr>
            <w:tcW w:w="0" w:type="auto"/>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1A53BE22">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lang w:val="en-US" w:eastAsia="zh-CN"/>
              </w:rPr>
            </w:pPr>
            <w:r>
              <w:rPr>
                <w:rFonts w:hint="eastAsia" w:ascii="宋体" w:hAnsi="宋体" w:eastAsia="宋体" w:cs="宋体"/>
                <w:b w:val="0"/>
                <w:i w:val="0"/>
                <w:sz w:val="18"/>
                <w:szCs w:val="18"/>
              </w:rPr>
              <w:t>0.55 M</w:t>
            </w:r>
            <w:r>
              <w:rPr>
                <w:rFonts w:hint="eastAsia" w:ascii="宋体" w:hAnsi="宋体" w:eastAsia="宋体" w:cs="宋体"/>
                <w:b w:val="0"/>
                <w:i w:val="0"/>
                <w:sz w:val="18"/>
                <w:szCs w:val="18"/>
                <w:lang w:val="en-US" w:eastAsia="zh-CN"/>
              </w:rPr>
              <w:t>pa</w:t>
            </w:r>
          </w:p>
        </w:tc>
        <w:tc>
          <w:tcPr>
            <w:tcW w:w="0" w:type="auto"/>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25108F65">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lang w:val="en-US" w:eastAsia="zh-CN"/>
              </w:rPr>
            </w:pPr>
            <w:r>
              <w:rPr>
                <w:rFonts w:hint="eastAsia" w:ascii="宋体" w:hAnsi="宋体" w:eastAsia="宋体" w:cs="宋体"/>
                <w:b w:val="0"/>
                <w:i w:val="0"/>
                <w:sz w:val="18"/>
                <w:szCs w:val="18"/>
              </w:rPr>
              <w:t>0.55 M</w:t>
            </w:r>
            <w:r>
              <w:rPr>
                <w:rFonts w:hint="eastAsia" w:ascii="宋体" w:hAnsi="宋体" w:eastAsia="宋体" w:cs="宋体"/>
                <w:b w:val="0"/>
                <w:i w:val="0"/>
                <w:sz w:val="18"/>
                <w:szCs w:val="18"/>
                <w:lang w:val="en-US" w:eastAsia="zh-CN"/>
              </w:rPr>
              <w:t>pa</w:t>
            </w:r>
          </w:p>
        </w:tc>
        <w:tc>
          <w:tcPr>
            <w:tcW w:w="2312"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0400DEF1">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完全相同</w:t>
            </w:r>
          </w:p>
        </w:tc>
      </w:tr>
      <w:tr w14:paraId="474EC10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nil"/>
              <w:left w:val="nil"/>
              <w:bottom w:val="nil"/>
              <w:right w:val="nil"/>
            </w:tcBorders>
            <w:shd w:val="clear" w:color="auto" w:fill="FFFFFF"/>
            <w:noWrap w:val="0"/>
            <w:tcMar>
              <w:top w:w="-1" w:type="dxa"/>
              <w:left w:w="-1" w:type="dxa"/>
              <w:bottom w:w="-1" w:type="dxa"/>
              <w:right w:w="-1" w:type="dxa"/>
            </w:tcMar>
            <w:vAlign w:val="center"/>
          </w:tcPr>
          <w:p w14:paraId="62E6593F">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运行温度</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DDE73C7">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155℃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B42D53E">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155℃</w:t>
            </w:r>
          </w:p>
        </w:tc>
        <w:tc>
          <w:tcPr>
            <w:tcW w:w="2312" w:type="dxa"/>
            <w:tcBorders>
              <w:top w:val="nil"/>
              <w:left w:val="nil"/>
              <w:bottom w:val="nil"/>
              <w:right w:val="nil"/>
            </w:tcBorders>
            <w:shd w:val="clear" w:color="auto" w:fill="FFFFFF"/>
            <w:noWrap w:val="0"/>
            <w:tcMar>
              <w:top w:w="-1" w:type="dxa"/>
              <w:left w:w="-1" w:type="dxa"/>
              <w:bottom w:w="-1" w:type="dxa"/>
              <w:right w:w="-1" w:type="dxa"/>
            </w:tcMar>
            <w:vAlign w:val="center"/>
          </w:tcPr>
          <w:p w14:paraId="7AF6E4A8">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完全相同</w:t>
            </w:r>
          </w:p>
        </w:tc>
      </w:tr>
      <w:tr w14:paraId="53A93DE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nil"/>
              <w:left w:val="nil"/>
              <w:bottom w:val="nil"/>
              <w:right w:val="nil"/>
            </w:tcBorders>
            <w:shd w:val="clear" w:color="auto" w:fill="FFFFFF"/>
            <w:noWrap w:val="0"/>
            <w:tcMar>
              <w:top w:w="-1" w:type="dxa"/>
              <w:left w:w="-1" w:type="dxa"/>
              <w:bottom w:w="-1" w:type="dxa"/>
              <w:right w:w="-1" w:type="dxa"/>
            </w:tcMar>
            <w:vAlign w:val="center"/>
          </w:tcPr>
          <w:p w14:paraId="37D32FEF">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补给水类型</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013E475">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除盐水</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9742F20">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除盐水</w:t>
            </w:r>
          </w:p>
        </w:tc>
        <w:tc>
          <w:tcPr>
            <w:tcW w:w="2312" w:type="dxa"/>
            <w:tcBorders>
              <w:top w:val="nil"/>
              <w:left w:val="nil"/>
              <w:bottom w:val="nil"/>
              <w:right w:val="nil"/>
            </w:tcBorders>
            <w:shd w:val="clear" w:color="auto" w:fill="FFFFFF"/>
            <w:noWrap w:val="0"/>
            <w:tcMar>
              <w:top w:w="-1" w:type="dxa"/>
              <w:left w:w="-1" w:type="dxa"/>
              <w:bottom w:w="-1" w:type="dxa"/>
              <w:right w:w="-1" w:type="dxa"/>
            </w:tcMar>
            <w:vAlign w:val="center"/>
          </w:tcPr>
          <w:p w14:paraId="4D11FFA9">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完全相同</w:t>
            </w:r>
          </w:p>
        </w:tc>
      </w:tr>
      <w:tr w14:paraId="4EA98C8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nil"/>
              <w:left w:val="nil"/>
              <w:bottom w:val="nil"/>
              <w:right w:val="nil"/>
            </w:tcBorders>
            <w:shd w:val="clear" w:color="auto" w:fill="FFFFFF"/>
            <w:noWrap w:val="0"/>
            <w:tcMar>
              <w:top w:w="-1" w:type="dxa"/>
              <w:left w:w="-1" w:type="dxa"/>
              <w:bottom w:w="-1" w:type="dxa"/>
              <w:right w:w="-1" w:type="dxa"/>
            </w:tcMar>
            <w:vAlign w:val="center"/>
          </w:tcPr>
          <w:p w14:paraId="3F620F22">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取样管线长度</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6F4B5DB">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500米</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354750BD">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50米</w:t>
            </w:r>
          </w:p>
        </w:tc>
        <w:tc>
          <w:tcPr>
            <w:tcW w:w="2312" w:type="dxa"/>
            <w:tcBorders>
              <w:top w:val="nil"/>
              <w:left w:val="nil"/>
              <w:bottom w:val="nil"/>
              <w:right w:val="nil"/>
            </w:tcBorders>
            <w:shd w:val="clear" w:color="auto" w:fill="FFFFFF"/>
            <w:noWrap w:val="0"/>
            <w:tcMar>
              <w:top w:w="-1" w:type="dxa"/>
              <w:left w:w="-1" w:type="dxa"/>
              <w:bottom w:w="-1" w:type="dxa"/>
              <w:right w:w="-1" w:type="dxa"/>
            </w:tcMar>
            <w:vAlign w:val="center"/>
          </w:tcPr>
          <w:p w14:paraId="1ADD02CB">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唯一显著差异</w:t>
            </w:r>
          </w:p>
        </w:tc>
      </w:tr>
      <w:tr w14:paraId="181BFEF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nil"/>
              <w:left w:val="nil"/>
              <w:bottom w:val="nil"/>
              <w:right w:val="nil"/>
            </w:tcBorders>
            <w:shd w:val="clear" w:color="auto" w:fill="FFFFFF"/>
            <w:noWrap w:val="0"/>
            <w:tcMar>
              <w:top w:w="-1" w:type="dxa"/>
              <w:left w:w="-1" w:type="dxa"/>
              <w:bottom w:w="-1" w:type="dxa"/>
              <w:right w:w="-1" w:type="dxa"/>
            </w:tcMar>
            <w:vAlign w:val="center"/>
          </w:tcPr>
          <w:p w14:paraId="6F81BC91">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管道规格</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49286F2">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DN15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8F9E0C7">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DN15</w:t>
            </w:r>
          </w:p>
        </w:tc>
        <w:tc>
          <w:tcPr>
            <w:tcW w:w="2312" w:type="dxa"/>
            <w:tcBorders>
              <w:top w:val="nil"/>
              <w:left w:val="nil"/>
              <w:bottom w:val="nil"/>
              <w:right w:val="nil"/>
            </w:tcBorders>
            <w:shd w:val="clear" w:color="auto" w:fill="FFFFFF"/>
            <w:noWrap w:val="0"/>
            <w:tcMar>
              <w:top w:w="-1" w:type="dxa"/>
              <w:left w:w="-1" w:type="dxa"/>
              <w:bottom w:w="-1" w:type="dxa"/>
              <w:right w:w="-1" w:type="dxa"/>
            </w:tcMar>
            <w:vAlign w:val="center"/>
          </w:tcPr>
          <w:p w14:paraId="7EE2370D">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完全相同</w:t>
            </w:r>
          </w:p>
        </w:tc>
      </w:tr>
      <w:tr w14:paraId="6D0764F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nil"/>
              <w:left w:val="nil"/>
              <w:bottom w:val="nil"/>
              <w:right w:val="nil"/>
            </w:tcBorders>
            <w:shd w:val="clear" w:color="auto" w:fill="FFFFFF"/>
            <w:noWrap w:val="0"/>
            <w:tcMar>
              <w:top w:w="-1" w:type="dxa"/>
              <w:left w:w="-1" w:type="dxa"/>
              <w:bottom w:w="-1" w:type="dxa"/>
              <w:right w:w="-1" w:type="dxa"/>
            </w:tcMar>
            <w:vAlign w:val="center"/>
          </w:tcPr>
          <w:p w14:paraId="0EE1D09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沿程压降估算</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B458832">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lang w:val="en-US" w:eastAsia="zh-CN"/>
              </w:rPr>
            </w:pPr>
            <w:r>
              <w:rPr>
                <w:rFonts w:hint="eastAsia" w:ascii="宋体" w:hAnsi="宋体" w:eastAsia="宋体" w:cs="宋体"/>
                <w:b w:val="0"/>
                <w:i w:val="0"/>
                <w:color w:val="000000"/>
                <w:sz w:val="18"/>
                <w:szCs w:val="18"/>
              </w:rPr>
              <w:t>0.36 M</w:t>
            </w:r>
            <w:r>
              <w:rPr>
                <w:rFonts w:hint="eastAsia" w:ascii="宋体" w:hAnsi="宋体" w:eastAsia="宋体" w:cs="宋体"/>
                <w:b w:val="0"/>
                <w:i w:val="0"/>
                <w:color w:val="000000"/>
                <w:sz w:val="18"/>
                <w:szCs w:val="18"/>
                <w:lang w:val="en-US" w:eastAsia="zh-CN"/>
              </w:rPr>
              <w:t>pa</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087F89F0">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lang w:val="en-US" w:eastAsia="zh-CN"/>
              </w:rPr>
            </w:pPr>
            <w:r>
              <w:rPr>
                <w:rFonts w:hint="eastAsia" w:ascii="宋体" w:hAnsi="宋体" w:eastAsia="宋体" w:cs="宋体"/>
                <w:b w:val="0"/>
                <w:i w:val="0"/>
                <w:color w:val="000000"/>
                <w:sz w:val="18"/>
                <w:szCs w:val="18"/>
              </w:rPr>
              <w:t>0.036 M</w:t>
            </w:r>
            <w:r>
              <w:rPr>
                <w:rFonts w:hint="eastAsia" w:ascii="宋体" w:hAnsi="宋体" w:eastAsia="宋体" w:cs="宋体"/>
                <w:b w:val="0"/>
                <w:i w:val="0"/>
                <w:color w:val="000000"/>
                <w:sz w:val="18"/>
                <w:szCs w:val="18"/>
                <w:lang w:val="en-US" w:eastAsia="zh-CN"/>
              </w:rPr>
              <w:t>pa</w:t>
            </w:r>
          </w:p>
        </w:tc>
        <w:tc>
          <w:tcPr>
            <w:tcW w:w="2312" w:type="dxa"/>
            <w:tcBorders>
              <w:top w:val="nil"/>
              <w:left w:val="nil"/>
              <w:bottom w:val="nil"/>
              <w:right w:val="nil"/>
            </w:tcBorders>
            <w:shd w:val="clear" w:color="auto" w:fill="FFFFFF"/>
            <w:noWrap w:val="0"/>
            <w:tcMar>
              <w:top w:w="-1" w:type="dxa"/>
              <w:left w:w="-1" w:type="dxa"/>
              <w:bottom w:w="-1" w:type="dxa"/>
              <w:right w:w="-1" w:type="dxa"/>
            </w:tcMar>
            <w:vAlign w:val="center"/>
          </w:tcPr>
          <w:p w14:paraId="57704579">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距离决定相变</w:t>
            </w:r>
          </w:p>
        </w:tc>
      </w:tr>
      <w:tr w14:paraId="3DA214B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nil"/>
              <w:left w:val="nil"/>
              <w:bottom w:val="nil"/>
              <w:right w:val="nil"/>
            </w:tcBorders>
            <w:shd w:val="clear" w:color="auto" w:fill="FFFFFF"/>
            <w:noWrap w:val="0"/>
            <w:tcMar>
              <w:top w:w="-1" w:type="dxa"/>
              <w:left w:w="-1" w:type="dxa"/>
              <w:bottom w:w="-1" w:type="dxa"/>
              <w:right w:w="-1" w:type="dxa"/>
            </w:tcMar>
            <w:vAlign w:val="center"/>
          </w:tcPr>
          <w:p w14:paraId="4EF40313">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样品状态</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4E811FF4">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闪蒸严重，断断续续</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FB1C22C">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基本单相，连续满管</w:t>
            </w:r>
          </w:p>
        </w:tc>
        <w:tc>
          <w:tcPr>
            <w:tcW w:w="2312" w:type="dxa"/>
            <w:tcBorders>
              <w:top w:val="nil"/>
              <w:left w:val="nil"/>
              <w:bottom w:val="nil"/>
              <w:right w:val="nil"/>
            </w:tcBorders>
            <w:shd w:val="clear" w:color="auto" w:fill="FFFFFF"/>
            <w:noWrap w:val="0"/>
            <w:tcMar>
              <w:top w:w="-1" w:type="dxa"/>
              <w:left w:w="-1" w:type="dxa"/>
              <w:bottom w:w="-1" w:type="dxa"/>
              <w:right w:w="-1" w:type="dxa"/>
            </w:tcMar>
            <w:vAlign w:val="center"/>
          </w:tcPr>
          <w:p w14:paraId="64F2114E">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距离决定样品完整性</w:t>
            </w:r>
          </w:p>
        </w:tc>
      </w:tr>
      <w:tr w14:paraId="20DFCE6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635" w:type="dxa"/>
            <w:tcBorders>
              <w:top w:val="nil"/>
              <w:left w:val="nil"/>
              <w:bottom w:val="nil"/>
              <w:right w:val="nil"/>
            </w:tcBorders>
            <w:shd w:val="clear" w:color="auto" w:fill="FFFFFF"/>
            <w:noWrap w:val="0"/>
            <w:tcMar>
              <w:top w:w="-1" w:type="dxa"/>
              <w:left w:w="-1" w:type="dxa"/>
              <w:bottom w:w="-1" w:type="dxa"/>
              <w:right w:w="-1" w:type="dxa"/>
            </w:tcMar>
            <w:vAlign w:val="center"/>
          </w:tcPr>
          <w:p w14:paraId="7B2F04C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监测结果</w:t>
            </w:r>
          </w:p>
        </w:tc>
        <w:tc>
          <w:tcPr>
            <w:tcW w:w="2278" w:type="dxa"/>
            <w:tcBorders>
              <w:top w:val="nil"/>
              <w:left w:val="nil"/>
              <w:bottom w:val="nil"/>
              <w:right w:val="nil"/>
            </w:tcBorders>
            <w:shd w:val="clear" w:color="auto" w:fill="FFFFFF"/>
            <w:noWrap w:val="0"/>
            <w:tcMar>
              <w:top w:w="-1" w:type="dxa"/>
              <w:left w:w="-1" w:type="dxa"/>
              <w:bottom w:w="-1" w:type="dxa"/>
              <w:right w:w="-1" w:type="dxa"/>
            </w:tcMar>
            <w:vAlign w:val="center"/>
          </w:tcPr>
          <w:p w14:paraId="43E2A3A9">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持续偏小（1~3 mg/L）</w:t>
            </w:r>
          </w:p>
        </w:tc>
        <w:tc>
          <w:tcPr>
            <w:tcW w:w="2381" w:type="dxa"/>
            <w:tcBorders>
              <w:top w:val="nil"/>
              <w:left w:val="nil"/>
              <w:bottom w:val="nil"/>
              <w:right w:val="nil"/>
            </w:tcBorders>
            <w:shd w:val="clear" w:color="auto" w:fill="FFFFFF"/>
            <w:noWrap w:val="0"/>
            <w:tcMar>
              <w:top w:w="-1" w:type="dxa"/>
              <w:left w:w="-1" w:type="dxa"/>
              <w:bottom w:w="-1" w:type="dxa"/>
              <w:right w:w="-1" w:type="dxa"/>
            </w:tcMar>
            <w:vAlign w:val="center"/>
          </w:tcPr>
          <w:p w14:paraId="451EFCE5">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真实反映（8~10 mg/L）</w:t>
            </w:r>
          </w:p>
        </w:tc>
        <w:tc>
          <w:tcPr>
            <w:tcW w:w="2312" w:type="dxa"/>
            <w:tcBorders>
              <w:top w:val="nil"/>
              <w:left w:val="nil"/>
              <w:bottom w:val="nil"/>
              <w:right w:val="nil"/>
            </w:tcBorders>
            <w:shd w:val="clear" w:color="auto" w:fill="FFFFFF"/>
            <w:noWrap w:val="0"/>
            <w:tcMar>
              <w:top w:w="-1" w:type="dxa"/>
              <w:left w:w="-1" w:type="dxa"/>
              <w:bottom w:w="-1" w:type="dxa"/>
              <w:right w:w="-1" w:type="dxa"/>
            </w:tcMar>
            <w:vAlign w:val="center"/>
          </w:tcPr>
          <w:p w14:paraId="2C60E6A5">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距离直接影响数据准确性</w:t>
            </w:r>
          </w:p>
        </w:tc>
      </w:tr>
    </w:tbl>
    <w:p w14:paraId="13C05CF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 距离阈值的工程意义</w:t>
      </w:r>
    </w:p>
    <w:p w14:paraId="6AD81D4C">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这一对比揭示了高温水样输送的“临界距离”概念。对于0.55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、155℃工况：</w:t>
      </w:r>
    </w:p>
    <w:p w14:paraId="5449DAAB">
      <w:pPr>
        <w:pageBreakBefore w:val="0"/>
        <w:numPr>
          <w:ilvl w:val="0"/>
          <w:numId w:val="4"/>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&lt;50米：基本维持单相液体，样品完整，监测可靠（如实测对比锅炉）</w:t>
      </w:r>
    </w:p>
    <w:p w14:paraId="13BB8804">
      <w:pPr>
        <w:pageBreakBefore w:val="0"/>
        <w:numPr>
          <w:ilvl w:val="0"/>
          <w:numId w:val="4"/>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50</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150米：可能发生部分闪蒸，样品状态不稳定，监测结果可疑</w:t>
      </w:r>
    </w:p>
    <w:p w14:paraId="475496AA">
      <w:pPr>
        <w:pageBreakBefore w:val="0"/>
        <w:numPr>
          <w:ilvl w:val="0"/>
          <w:numId w:val="4"/>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&gt;150米：必然发生显著闪蒸，汽液分离严重，监测结果不可靠（实测500米严重失真）</w:t>
      </w:r>
    </w:p>
    <w:p w14:paraId="742EFC2C">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高温样品的相变问题并非理论上的“可能性”，而是随距离增加必然发生的工程现实。即使采用常规DN15管径，500米输送仍无法避免失真。</w:t>
      </w:r>
    </w:p>
    <w:p w14:paraId="28A3B61A">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 现场试验验证</w:t>
      </w:r>
    </w:p>
    <w:p w14:paraId="699F9034">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基于现场观察到的“断断续续”水流现象，设计了验证试验以量化失真程度。</w:t>
      </w:r>
    </w:p>
    <w:p w14:paraId="4FE3616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5.1 断流规律记录</w:t>
      </w:r>
    </w:p>
    <w:p w14:paraId="13B71A32">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在取样管末端接透明软管，录制视频10分钟，统计有水时长、无水时长和有水占比。结果表明，有水时段占比仅约</w:t>
      </w:r>
      <w:r>
        <w:rPr>
          <w:rFonts w:hint="eastAsia" w:ascii="宋体" w:hAnsi="宋体" w:eastAsia="宋体" w:cs="宋体"/>
          <w:sz w:val="21"/>
          <w:szCs w:val="21"/>
          <w:lang w:eastAsia="zh-CN"/>
        </w:rPr>
        <w:t>15%～25%</w:t>
      </w:r>
      <w:r>
        <w:rPr>
          <w:rFonts w:hint="eastAsia" w:ascii="宋体" w:hAnsi="宋体" w:eastAsia="宋体" w:cs="宋体"/>
          <w:sz w:val="21"/>
          <w:szCs w:val="21"/>
        </w:rPr>
        <w:t>（表2），即在线表仅有</w:t>
      </w:r>
      <w:r>
        <w:rPr>
          <w:rFonts w:hint="eastAsia" w:ascii="宋体" w:hAnsi="宋体" w:eastAsia="宋体" w:cs="宋体"/>
          <w:sz w:val="21"/>
          <w:szCs w:val="21"/>
          <w:lang w:eastAsia="zh-CN"/>
        </w:rPr>
        <w:t>15%～25%</w:t>
      </w:r>
      <w:r>
        <w:rPr>
          <w:rFonts w:hint="eastAsia" w:ascii="宋体" w:hAnsi="宋体" w:eastAsia="宋体" w:cs="宋体"/>
          <w:sz w:val="21"/>
          <w:szCs w:val="21"/>
        </w:rPr>
        <w:t>的时间在真正测量锅水，其余时间为蒸汽或凝结水。</w:t>
      </w:r>
    </w:p>
    <w:p w14:paraId="5C1BE7ED">
      <w:pPr>
        <w:pageBreakBefore w:val="0"/>
        <w:kinsoku/>
        <w:wordWrap/>
        <w:overflowPunct/>
        <w:topLinePunct w:val="0"/>
        <w:autoSpaceDE/>
        <w:autoSpaceDN/>
        <w:bidi w:val="0"/>
        <w:spacing w:line="400" w:lineRule="exact"/>
        <w:ind w:left="0" w:leftChars="0" w:right="0" w:rightChars="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表2 断流规律统计结果</w:t>
      </w:r>
    </w:p>
    <w:tbl>
      <w:tblPr>
        <w:tblStyle w:val="20"/>
        <w:tblW w:w="8606"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406"/>
        <w:gridCol w:w="1833"/>
        <w:gridCol w:w="1833"/>
        <w:gridCol w:w="1518"/>
        <w:gridCol w:w="2016"/>
      </w:tblGrid>
      <w:tr w14:paraId="6D625DE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406"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7C16A5CE">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时间段</w:t>
            </w:r>
          </w:p>
        </w:tc>
        <w:tc>
          <w:tcPr>
            <w:tcW w:w="1833"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70F518EE">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有水时长</w:t>
            </w:r>
            <w:r>
              <w:rPr>
                <w:rFonts w:hint="eastAsia" w:ascii="宋体" w:hAnsi="宋体" w:eastAsia="宋体" w:cs="宋体"/>
                <w:b/>
                <w:i w:val="0"/>
                <w:sz w:val="18"/>
                <w:szCs w:val="18"/>
                <w:lang w:eastAsia="zh-CN"/>
              </w:rPr>
              <w:t>（</w:t>
            </w:r>
            <w:r>
              <w:rPr>
                <w:rFonts w:hint="eastAsia" w:ascii="宋体" w:hAnsi="宋体" w:eastAsia="宋体" w:cs="宋体"/>
                <w:b/>
                <w:i w:val="0"/>
                <w:sz w:val="18"/>
                <w:szCs w:val="18"/>
              </w:rPr>
              <w:t>s</w:t>
            </w:r>
            <w:r>
              <w:rPr>
                <w:rFonts w:hint="eastAsia" w:ascii="宋体" w:hAnsi="宋体" w:eastAsia="宋体" w:cs="宋体"/>
                <w:b/>
                <w:i w:val="0"/>
                <w:sz w:val="18"/>
                <w:szCs w:val="18"/>
                <w:lang w:eastAsia="zh-CN"/>
              </w:rPr>
              <w:t>）</w:t>
            </w:r>
          </w:p>
        </w:tc>
        <w:tc>
          <w:tcPr>
            <w:tcW w:w="1833"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6CD5CBD8">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无水时长</w:t>
            </w:r>
            <w:r>
              <w:rPr>
                <w:rFonts w:hint="eastAsia" w:ascii="宋体" w:hAnsi="宋体" w:eastAsia="宋体" w:cs="宋体"/>
                <w:b/>
                <w:i w:val="0"/>
                <w:sz w:val="18"/>
                <w:szCs w:val="18"/>
                <w:lang w:eastAsia="zh-CN"/>
              </w:rPr>
              <w:t>（</w:t>
            </w:r>
            <w:r>
              <w:rPr>
                <w:rFonts w:hint="eastAsia" w:ascii="宋体" w:hAnsi="宋体" w:eastAsia="宋体" w:cs="宋体"/>
                <w:b/>
                <w:i w:val="0"/>
                <w:sz w:val="18"/>
                <w:szCs w:val="18"/>
              </w:rPr>
              <w:t>s</w:t>
            </w:r>
            <w:r>
              <w:rPr>
                <w:rFonts w:hint="eastAsia" w:ascii="宋体" w:hAnsi="宋体" w:eastAsia="宋体" w:cs="宋体"/>
                <w:b/>
                <w:i w:val="0"/>
                <w:sz w:val="18"/>
                <w:szCs w:val="18"/>
                <w:lang w:eastAsia="zh-CN"/>
              </w:rPr>
              <w:t>）</w:t>
            </w:r>
          </w:p>
        </w:tc>
        <w:tc>
          <w:tcPr>
            <w:tcW w:w="1518"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090A2DDB">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有水次数</w:t>
            </w:r>
          </w:p>
        </w:tc>
        <w:tc>
          <w:tcPr>
            <w:tcW w:w="2016"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244B5131">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有水占比</w:t>
            </w:r>
            <w:r>
              <w:rPr>
                <w:rFonts w:hint="eastAsia" w:ascii="宋体" w:hAnsi="宋体" w:eastAsia="宋体" w:cs="宋体"/>
                <w:b/>
                <w:i w:val="0"/>
                <w:sz w:val="18"/>
                <w:szCs w:val="18"/>
                <w:lang w:eastAsia="zh-CN"/>
              </w:rPr>
              <w:t>（</w:t>
            </w:r>
            <w:r>
              <w:rPr>
                <w:rFonts w:hint="eastAsia" w:ascii="宋体" w:hAnsi="宋体" w:eastAsia="宋体" w:cs="宋体"/>
                <w:b/>
                <w:i w:val="0"/>
                <w:sz w:val="18"/>
                <w:szCs w:val="18"/>
              </w:rPr>
              <w:t>%</w:t>
            </w:r>
            <w:r>
              <w:rPr>
                <w:rFonts w:hint="eastAsia" w:ascii="宋体" w:hAnsi="宋体" w:eastAsia="宋体" w:cs="宋体"/>
                <w:b/>
                <w:i w:val="0"/>
                <w:sz w:val="18"/>
                <w:szCs w:val="18"/>
                <w:lang w:eastAsia="zh-CN"/>
              </w:rPr>
              <w:t>）</w:t>
            </w:r>
          </w:p>
        </w:tc>
      </w:tr>
      <w:tr w14:paraId="2F3B887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406"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4C530684">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0-5 min</w:t>
            </w:r>
          </w:p>
        </w:tc>
        <w:tc>
          <w:tcPr>
            <w:tcW w:w="1833"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05A293F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48</w:t>
            </w:r>
          </w:p>
        </w:tc>
        <w:tc>
          <w:tcPr>
            <w:tcW w:w="1833"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469F1619">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252</w:t>
            </w:r>
          </w:p>
        </w:tc>
        <w:tc>
          <w:tcPr>
            <w:tcW w:w="1518"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6B0BD151">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7</w:t>
            </w:r>
          </w:p>
        </w:tc>
        <w:tc>
          <w:tcPr>
            <w:tcW w:w="2016"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3689064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16.0</w:t>
            </w:r>
          </w:p>
        </w:tc>
      </w:tr>
      <w:tr w14:paraId="728B1F3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406" w:type="dxa"/>
            <w:tcBorders>
              <w:top w:val="nil"/>
              <w:left w:val="nil"/>
              <w:bottom w:val="nil"/>
              <w:right w:val="nil"/>
            </w:tcBorders>
            <w:shd w:val="clear" w:color="auto" w:fill="FFFFFF"/>
            <w:noWrap w:val="0"/>
            <w:tcMar>
              <w:top w:w="-1" w:type="dxa"/>
              <w:left w:w="-1" w:type="dxa"/>
              <w:bottom w:w="-1" w:type="dxa"/>
              <w:right w:w="-1" w:type="dxa"/>
            </w:tcMar>
            <w:vAlign w:val="center"/>
          </w:tcPr>
          <w:p w14:paraId="4649CD3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5-10 min</w:t>
            </w:r>
          </w:p>
        </w:tc>
        <w:tc>
          <w:tcPr>
            <w:tcW w:w="1833" w:type="dxa"/>
            <w:tcBorders>
              <w:top w:val="nil"/>
              <w:left w:val="nil"/>
              <w:bottom w:val="nil"/>
              <w:right w:val="nil"/>
            </w:tcBorders>
            <w:shd w:val="clear" w:color="auto" w:fill="FFFFFF"/>
            <w:noWrap w:val="0"/>
            <w:tcMar>
              <w:top w:w="-1" w:type="dxa"/>
              <w:left w:w="-1" w:type="dxa"/>
              <w:bottom w:w="-1" w:type="dxa"/>
              <w:right w:w="-1" w:type="dxa"/>
            </w:tcMar>
            <w:vAlign w:val="center"/>
          </w:tcPr>
          <w:p w14:paraId="0EC757F4">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72</w:t>
            </w:r>
          </w:p>
        </w:tc>
        <w:tc>
          <w:tcPr>
            <w:tcW w:w="1833" w:type="dxa"/>
            <w:tcBorders>
              <w:top w:val="nil"/>
              <w:left w:val="nil"/>
              <w:bottom w:val="nil"/>
              <w:right w:val="nil"/>
            </w:tcBorders>
            <w:shd w:val="clear" w:color="auto" w:fill="FFFFFF"/>
            <w:noWrap w:val="0"/>
            <w:tcMar>
              <w:top w:w="-1" w:type="dxa"/>
              <w:left w:w="-1" w:type="dxa"/>
              <w:bottom w:w="-1" w:type="dxa"/>
              <w:right w:w="-1" w:type="dxa"/>
            </w:tcMar>
            <w:vAlign w:val="center"/>
          </w:tcPr>
          <w:p w14:paraId="61B3B67D">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228</w:t>
            </w:r>
          </w:p>
        </w:tc>
        <w:tc>
          <w:tcPr>
            <w:tcW w:w="1518" w:type="dxa"/>
            <w:tcBorders>
              <w:top w:val="nil"/>
              <w:left w:val="nil"/>
              <w:bottom w:val="nil"/>
              <w:right w:val="nil"/>
            </w:tcBorders>
            <w:shd w:val="clear" w:color="auto" w:fill="FFFFFF"/>
            <w:noWrap w:val="0"/>
            <w:tcMar>
              <w:top w:w="-1" w:type="dxa"/>
              <w:left w:w="-1" w:type="dxa"/>
              <w:bottom w:w="-1" w:type="dxa"/>
              <w:right w:w="-1" w:type="dxa"/>
            </w:tcMar>
            <w:vAlign w:val="center"/>
          </w:tcPr>
          <w:p w14:paraId="1D2C3F86">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9</w:t>
            </w:r>
          </w:p>
        </w:tc>
        <w:tc>
          <w:tcPr>
            <w:tcW w:w="2016" w:type="dxa"/>
            <w:tcBorders>
              <w:top w:val="nil"/>
              <w:left w:val="nil"/>
              <w:bottom w:val="nil"/>
              <w:right w:val="nil"/>
            </w:tcBorders>
            <w:shd w:val="clear" w:color="auto" w:fill="FFFFFF"/>
            <w:noWrap w:val="0"/>
            <w:tcMar>
              <w:top w:w="-1" w:type="dxa"/>
              <w:left w:w="-1" w:type="dxa"/>
              <w:bottom w:w="-1" w:type="dxa"/>
              <w:right w:w="-1" w:type="dxa"/>
            </w:tcMar>
            <w:vAlign w:val="center"/>
          </w:tcPr>
          <w:p w14:paraId="06A96D04">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24.0</w:t>
            </w:r>
          </w:p>
        </w:tc>
      </w:tr>
      <w:tr w14:paraId="101882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1406" w:type="dxa"/>
            <w:tcBorders>
              <w:top w:val="nil"/>
              <w:left w:val="nil"/>
              <w:bottom w:val="nil"/>
              <w:right w:val="nil"/>
            </w:tcBorders>
            <w:shd w:val="clear" w:color="auto" w:fill="FFFFFF"/>
            <w:noWrap w:val="0"/>
            <w:tcMar>
              <w:top w:w="-1" w:type="dxa"/>
              <w:left w:w="-1" w:type="dxa"/>
              <w:bottom w:w="-1" w:type="dxa"/>
              <w:right w:w="-1" w:type="dxa"/>
            </w:tcMar>
            <w:vAlign w:val="center"/>
          </w:tcPr>
          <w:p w14:paraId="28AC6253">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平均</w:t>
            </w:r>
          </w:p>
        </w:tc>
        <w:tc>
          <w:tcPr>
            <w:tcW w:w="1833" w:type="dxa"/>
            <w:tcBorders>
              <w:top w:val="nil"/>
              <w:left w:val="nil"/>
              <w:bottom w:val="nil"/>
              <w:right w:val="nil"/>
            </w:tcBorders>
            <w:shd w:val="clear" w:color="auto" w:fill="FFFFFF"/>
            <w:noWrap w:val="0"/>
            <w:tcMar>
              <w:top w:w="-1" w:type="dxa"/>
              <w:left w:w="-1" w:type="dxa"/>
              <w:bottom w:w="-1" w:type="dxa"/>
              <w:right w:w="-1" w:type="dxa"/>
            </w:tcMar>
            <w:vAlign w:val="center"/>
          </w:tcPr>
          <w:p w14:paraId="166F3634">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60</w:t>
            </w:r>
          </w:p>
        </w:tc>
        <w:tc>
          <w:tcPr>
            <w:tcW w:w="1833" w:type="dxa"/>
            <w:tcBorders>
              <w:top w:val="nil"/>
              <w:left w:val="nil"/>
              <w:bottom w:val="nil"/>
              <w:right w:val="nil"/>
            </w:tcBorders>
            <w:shd w:val="clear" w:color="auto" w:fill="FFFFFF"/>
            <w:noWrap w:val="0"/>
            <w:tcMar>
              <w:top w:w="-1" w:type="dxa"/>
              <w:left w:w="-1" w:type="dxa"/>
              <w:bottom w:w="-1" w:type="dxa"/>
              <w:right w:w="-1" w:type="dxa"/>
            </w:tcMar>
            <w:vAlign w:val="center"/>
          </w:tcPr>
          <w:p w14:paraId="3F73569B">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240</w:t>
            </w:r>
          </w:p>
        </w:tc>
        <w:tc>
          <w:tcPr>
            <w:tcW w:w="1518" w:type="dxa"/>
            <w:tcBorders>
              <w:top w:val="nil"/>
              <w:left w:val="nil"/>
              <w:bottom w:val="nil"/>
              <w:right w:val="nil"/>
            </w:tcBorders>
            <w:shd w:val="clear" w:color="auto" w:fill="FFFFFF"/>
            <w:noWrap w:val="0"/>
            <w:tcMar>
              <w:top w:w="-1" w:type="dxa"/>
              <w:left w:w="-1" w:type="dxa"/>
              <w:bottom w:w="-1" w:type="dxa"/>
              <w:right w:w="-1" w:type="dxa"/>
            </w:tcMar>
            <w:vAlign w:val="center"/>
          </w:tcPr>
          <w:p w14:paraId="0BAB130C">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8</w:t>
            </w:r>
          </w:p>
        </w:tc>
        <w:tc>
          <w:tcPr>
            <w:tcW w:w="2016" w:type="dxa"/>
            <w:tcBorders>
              <w:top w:val="nil"/>
              <w:left w:val="nil"/>
              <w:bottom w:val="nil"/>
              <w:right w:val="nil"/>
            </w:tcBorders>
            <w:shd w:val="clear" w:color="auto" w:fill="FFFFFF"/>
            <w:noWrap w:val="0"/>
            <w:tcMar>
              <w:top w:w="-1" w:type="dxa"/>
              <w:left w:w="-1" w:type="dxa"/>
              <w:bottom w:w="-1" w:type="dxa"/>
              <w:right w:w="-1" w:type="dxa"/>
            </w:tcMar>
            <w:vAlign w:val="center"/>
          </w:tcPr>
          <w:p w14:paraId="57766806">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20.0</w:t>
            </w:r>
          </w:p>
        </w:tc>
      </w:tr>
    </w:tbl>
    <w:p w14:paraId="6EDDA8F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5.2 分段水样分析</w:t>
      </w:r>
    </w:p>
    <w:p w14:paraId="164E0F7D">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分别收集：</w:t>
      </w:r>
    </w:p>
    <w:p w14:paraId="407BBCB0">
      <w:pPr>
        <w:pageBreakBefore w:val="0"/>
        <w:numPr>
          <w:ilvl w:val="0"/>
          <w:numId w:val="5"/>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样品A：只收集“有水段”流出的水</w:t>
      </w:r>
    </w:p>
    <w:p w14:paraId="775E4C6A">
      <w:pPr>
        <w:pageBreakBefore w:val="0"/>
        <w:numPr>
          <w:ilvl w:val="0"/>
          <w:numId w:val="5"/>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样品B：只收集“无水段”流出的水（蒸汽凝结水）</w:t>
      </w:r>
    </w:p>
    <w:p w14:paraId="374CF24C">
      <w:pPr>
        <w:pageBreakBefore w:val="0"/>
        <w:numPr>
          <w:ilvl w:val="0"/>
          <w:numId w:val="5"/>
        </w:numPr>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样品C：连续收集（模拟在线表现</w:t>
      </w:r>
      <w:r>
        <w:rPr>
          <w:rFonts w:hint="eastAsia" w:ascii="宋体" w:hAnsi="宋体" w:eastAsia="宋体" w:cs="宋体"/>
          <w:sz w:val="21"/>
          <w:szCs w:val="21"/>
          <w:lang w:eastAsia="zh-CN"/>
        </w:rPr>
        <w:t>状态</w:t>
      </w:r>
      <w:r>
        <w:rPr>
          <w:rFonts w:hint="eastAsia" w:ascii="宋体" w:hAnsi="宋体" w:eastAsia="宋体" w:cs="宋体"/>
          <w:sz w:val="21"/>
          <w:szCs w:val="21"/>
        </w:rPr>
        <w:t>）</w:t>
      </w:r>
    </w:p>
    <w:p w14:paraId="476BA3EF">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采用钼蓝比色法（GB/T 6913-2008）测定磷酸根浓度，结果如表3所示。</w:t>
      </w:r>
    </w:p>
    <w:p w14:paraId="4AFFF051">
      <w:pPr>
        <w:pageBreakBefore w:val="0"/>
        <w:kinsoku/>
        <w:wordWrap/>
        <w:overflowPunct/>
        <w:topLinePunct w:val="0"/>
        <w:autoSpaceDE/>
        <w:autoSpaceDN/>
        <w:bidi w:val="0"/>
        <w:spacing w:line="400" w:lineRule="exact"/>
        <w:ind w:left="0" w:leftChars="0" w:right="0" w:rightChars="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表3 分段水样磷酸根浓度测定结果</w:t>
      </w:r>
    </w:p>
    <w:tbl>
      <w:tblPr>
        <w:tblStyle w:val="20"/>
        <w:tblW w:w="881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208"/>
        <w:gridCol w:w="2008"/>
        <w:gridCol w:w="1529"/>
        <w:gridCol w:w="3066"/>
      </w:tblGrid>
      <w:tr w14:paraId="15C56D7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2208"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42D0E117">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样品</w:t>
            </w:r>
          </w:p>
        </w:tc>
        <w:tc>
          <w:tcPr>
            <w:tcW w:w="2008"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6411D5A8">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磷酸根浓度</w:t>
            </w:r>
            <w:r>
              <w:rPr>
                <w:rFonts w:hint="eastAsia" w:ascii="宋体" w:hAnsi="宋体" w:eastAsia="宋体" w:cs="宋体"/>
                <w:b/>
                <w:i w:val="0"/>
                <w:sz w:val="18"/>
                <w:szCs w:val="18"/>
                <w:lang w:eastAsia="zh-CN"/>
              </w:rPr>
              <w:t>（</w:t>
            </w:r>
            <w:r>
              <w:rPr>
                <w:rFonts w:hint="eastAsia" w:ascii="宋体" w:hAnsi="宋体" w:eastAsia="宋体" w:cs="宋体"/>
                <w:b/>
                <w:i w:val="0"/>
                <w:sz w:val="18"/>
                <w:szCs w:val="18"/>
              </w:rPr>
              <w:t>mg/L</w:t>
            </w:r>
            <w:r>
              <w:rPr>
                <w:rFonts w:hint="eastAsia" w:ascii="宋体" w:hAnsi="宋体" w:eastAsia="宋体" w:cs="宋体"/>
                <w:b/>
                <w:i w:val="0"/>
                <w:sz w:val="18"/>
                <w:szCs w:val="18"/>
                <w:lang w:eastAsia="zh-CN"/>
              </w:rPr>
              <w:t>）</w:t>
            </w:r>
          </w:p>
        </w:tc>
        <w:tc>
          <w:tcPr>
            <w:tcW w:w="1529"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5D5A06EB">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相对偏差</w:t>
            </w:r>
            <w:r>
              <w:rPr>
                <w:rFonts w:hint="eastAsia" w:ascii="宋体" w:hAnsi="宋体" w:eastAsia="宋体" w:cs="宋体"/>
                <w:b/>
                <w:i w:val="0"/>
                <w:sz w:val="18"/>
                <w:szCs w:val="18"/>
                <w:lang w:eastAsia="zh-CN"/>
              </w:rPr>
              <w:t>（</w:t>
            </w:r>
            <w:r>
              <w:rPr>
                <w:rFonts w:hint="eastAsia" w:ascii="宋体" w:hAnsi="宋体" w:eastAsia="宋体" w:cs="宋体"/>
                <w:b/>
                <w:i w:val="0"/>
                <w:sz w:val="18"/>
                <w:szCs w:val="18"/>
              </w:rPr>
              <w:t>%</w:t>
            </w:r>
            <w:r>
              <w:rPr>
                <w:rFonts w:hint="eastAsia" w:ascii="宋体" w:hAnsi="宋体" w:eastAsia="宋体" w:cs="宋体"/>
                <w:b/>
                <w:i w:val="0"/>
                <w:sz w:val="18"/>
                <w:szCs w:val="18"/>
                <w:lang w:eastAsia="zh-CN"/>
              </w:rPr>
              <w:t>）</w:t>
            </w:r>
          </w:p>
        </w:tc>
        <w:tc>
          <w:tcPr>
            <w:tcW w:w="3066"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center"/>
          </w:tcPr>
          <w:p w14:paraId="4FB25D06">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解释</w:t>
            </w:r>
          </w:p>
        </w:tc>
      </w:tr>
      <w:tr w14:paraId="110F436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208"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25FC46DA">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样品A（有水段）</w:t>
            </w:r>
          </w:p>
        </w:tc>
        <w:tc>
          <w:tcPr>
            <w:tcW w:w="2008"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0D7959C8">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8.5</w:t>
            </w:r>
          </w:p>
        </w:tc>
        <w:tc>
          <w:tcPr>
            <w:tcW w:w="1529"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732A16DD">
            <w:pPr>
              <w:pageBreakBefore w:val="0"/>
              <w:kinsoku/>
              <w:wordWrap/>
              <w:overflowPunct/>
              <w:topLinePunct w:val="0"/>
              <w:autoSpaceDE/>
              <w:autoSpaceDN/>
              <w:bidi w:val="0"/>
              <w:snapToGrid w:val="0"/>
              <w:spacing w:line="400" w:lineRule="exact"/>
              <w:ind w:left="0" w:leftChars="0" w:right="0" w:rightChars="0" w:firstLine="0" w:firstLineChars="0"/>
              <w:jc w:val="righ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 xml:space="preserve">- </w:t>
            </w:r>
          </w:p>
        </w:tc>
        <w:tc>
          <w:tcPr>
            <w:tcW w:w="3066" w:type="dxa"/>
            <w:tcBorders>
              <w:top w:val="single" w:color="000000" w:themeColor="dark1" w:sz="8" w:space="0"/>
              <w:left w:val="nil"/>
              <w:bottom w:val="nil"/>
              <w:right w:val="nil"/>
            </w:tcBorders>
            <w:shd w:val="clear" w:color="auto" w:fill="FFFFFF"/>
            <w:noWrap w:val="0"/>
            <w:tcMar>
              <w:top w:w="-1" w:type="dxa"/>
              <w:left w:w="-1" w:type="dxa"/>
              <w:bottom w:w="-1" w:type="dxa"/>
              <w:right w:w="-1" w:type="dxa"/>
            </w:tcMar>
            <w:vAlign w:val="center"/>
          </w:tcPr>
          <w:p w14:paraId="750D0262">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接近真实锅水浓度</w:t>
            </w:r>
          </w:p>
        </w:tc>
      </w:tr>
      <w:tr w14:paraId="186B912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208" w:type="dxa"/>
            <w:tcBorders>
              <w:top w:val="nil"/>
              <w:left w:val="nil"/>
              <w:bottom w:val="nil"/>
              <w:right w:val="nil"/>
            </w:tcBorders>
            <w:shd w:val="clear" w:color="auto" w:fill="FFFFFF"/>
            <w:noWrap w:val="0"/>
            <w:tcMar>
              <w:top w:w="-1" w:type="dxa"/>
              <w:left w:w="-1" w:type="dxa"/>
              <w:bottom w:w="-1" w:type="dxa"/>
              <w:right w:w="-1" w:type="dxa"/>
            </w:tcMar>
            <w:vAlign w:val="center"/>
          </w:tcPr>
          <w:p w14:paraId="18B462E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样品B（无水段）</w:t>
            </w:r>
          </w:p>
        </w:tc>
        <w:tc>
          <w:tcPr>
            <w:tcW w:w="2008" w:type="dxa"/>
            <w:tcBorders>
              <w:top w:val="nil"/>
              <w:left w:val="nil"/>
              <w:bottom w:val="nil"/>
              <w:right w:val="nil"/>
            </w:tcBorders>
            <w:shd w:val="clear" w:color="auto" w:fill="FFFFFF"/>
            <w:noWrap w:val="0"/>
            <w:tcMar>
              <w:top w:w="-1" w:type="dxa"/>
              <w:left w:w="-1" w:type="dxa"/>
              <w:bottom w:w="-1" w:type="dxa"/>
              <w:right w:w="-1" w:type="dxa"/>
            </w:tcMar>
            <w:vAlign w:val="center"/>
          </w:tcPr>
          <w:p w14:paraId="7123150D">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0.2|</w:t>
            </w:r>
          </w:p>
        </w:tc>
        <w:tc>
          <w:tcPr>
            <w:tcW w:w="1529" w:type="dxa"/>
            <w:tcBorders>
              <w:top w:val="nil"/>
              <w:left w:val="nil"/>
              <w:bottom w:val="nil"/>
              <w:right w:val="nil"/>
            </w:tcBorders>
            <w:shd w:val="clear" w:color="auto" w:fill="FFFFFF"/>
            <w:noWrap w:val="0"/>
            <w:tcMar>
              <w:top w:w="-1" w:type="dxa"/>
              <w:left w:w="-1" w:type="dxa"/>
              <w:bottom w:w="-1" w:type="dxa"/>
              <w:right w:w="-1" w:type="dxa"/>
            </w:tcMar>
            <w:vAlign w:val="center"/>
          </w:tcPr>
          <w:p w14:paraId="6A500C30">
            <w:pPr>
              <w:pageBreakBefore w:val="0"/>
              <w:kinsoku/>
              <w:wordWrap/>
              <w:overflowPunct/>
              <w:topLinePunct w:val="0"/>
              <w:autoSpaceDE/>
              <w:autoSpaceDN/>
              <w:bidi w:val="0"/>
              <w:snapToGrid w:val="0"/>
              <w:spacing w:line="400" w:lineRule="exact"/>
              <w:ind w:left="0" w:leftChars="0" w:right="0" w:rightChars="0" w:firstLine="0" w:firstLineChars="0"/>
              <w:jc w:val="righ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-97.6</w:t>
            </w:r>
          </w:p>
        </w:tc>
        <w:tc>
          <w:tcPr>
            <w:tcW w:w="3066" w:type="dxa"/>
            <w:tcBorders>
              <w:top w:val="nil"/>
              <w:left w:val="nil"/>
              <w:bottom w:val="nil"/>
              <w:right w:val="nil"/>
            </w:tcBorders>
            <w:shd w:val="clear" w:color="auto" w:fill="FFFFFF"/>
            <w:noWrap w:val="0"/>
            <w:tcMar>
              <w:top w:w="-1" w:type="dxa"/>
              <w:left w:w="-1" w:type="dxa"/>
              <w:bottom w:w="-1" w:type="dxa"/>
              <w:right w:w="-1" w:type="dxa"/>
            </w:tcMar>
            <w:vAlign w:val="center"/>
          </w:tcPr>
          <w:p w14:paraId="0B789519">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蒸汽凝结水，几乎不含磷酸根</w:t>
            </w:r>
          </w:p>
        </w:tc>
      </w:tr>
      <w:tr w14:paraId="1B666E3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208" w:type="dxa"/>
            <w:tcBorders>
              <w:top w:val="nil"/>
              <w:left w:val="nil"/>
              <w:bottom w:val="nil"/>
              <w:right w:val="nil"/>
            </w:tcBorders>
            <w:shd w:val="clear" w:color="auto" w:fill="FFFFFF"/>
            <w:noWrap w:val="0"/>
            <w:tcMar>
              <w:top w:w="-1" w:type="dxa"/>
              <w:left w:w="-1" w:type="dxa"/>
              <w:bottom w:w="-1" w:type="dxa"/>
              <w:right w:w="-1" w:type="dxa"/>
            </w:tcMar>
            <w:vAlign w:val="center"/>
          </w:tcPr>
          <w:p w14:paraId="4A63948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样品C（连续收集）</w:t>
            </w:r>
          </w:p>
        </w:tc>
        <w:tc>
          <w:tcPr>
            <w:tcW w:w="2008" w:type="dxa"/>
            <w:tcBorders>
              <w:top w:val="nil"/>
              <w:left w:val="nil"/>
              <w:bottom w:val="nil"/>
              <w:right w:val="nil"/>
            </w:tcBorders>
            <w:shd w:val="clear" w:color="auto" w:fill="FFFFFF"/>
            <w:noWrap w:val="0"/>
            <w:tcMar>
              <w:top w:w="-1" w:type="dxa"/>
              <w:left w:w="-1" w:type="dxa"/>
              <w:bottom w:w="-1" w:type="dxa"/>
              <w:right w:w="-1" w:type="dxa"/>
            </w:tcMar>
            <w:vAlign w:val="center"/>
          </w:tcPr>
          <w:p w14:paraId="5440EAE7">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2.1</w:t>
            </w:r>
          </w:p>
        </w:tc>
        <w:tc>
          <w:tcPr>
            <w:tcW w:w="1529" w:type="dxa"/>
            <w:tcBorders>
              <w:top w:val="nil"/>
              <w:left w:val="nil"/>
              <w:bottom w:val="nil"/>
              <w:right w:val="nil"/>
            </w:tcBorders>
            <w:shd w:val="clear" w:color="auto" w:fill="FFFFFF"/>
            <w:noWrap w:val="0"/>
            <w:tcMar>
              <w:top w:w="-1" w:type="dxa"/>
              <w:left w:w="-1" w:type="dxa"/>
              <w:bottom w:w="-1" w:type="dxa"/>
              <w:right w:w="-1" w:type="dxa"/>
            </w:tcMar>
            <w:vAlign w:val="center"/>
          </w:tcPr>
          <w:p w14:paraId="07E0CB32">
            <w:pPr>
              <w:pageBreakBefore w:val="0"/>
              <w:kinsoku/>
              <w:wordWrap/>
              <w:overflowPunct/>
              <w:topLinePunct w:val="0"/>
              <w:autoSpaceDE/>
              <w:autoSpaceDN/>
              <w:bidi w:val="0"/>
              <w:snapToGrid w:val="0"/>
              <w:spacing w:line="400" w:lineRule="exact"/>
              <w:ind w:left="0" w:leftChars="0" w:right="0" w:rightChars="0" w:firstLine="0" w:firstLineChars="0"/>
              <w:jc w:val="righ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-75.3</w:t>
            </w:r>
          </w:p>
        </w:tc>
        <w:tc>
          <w:tcPr>
            <w:tcW w:w="3066" w:type="dxa"/>
            <w:tcBorders>
              <w:top w:val="nil"/>
              <w:left w:val="nil"/>
              <w:bottom w:val="nil"/>
              <w:right w:val="nil"/>
            </w:tcBorders>
            <w:shd w:val="clear" w:color="auto" w:fill="FFFFFF"/>
            <w:noWrap w:val="0"/>
            <w:tcMar>
              <w:top w:w="-1" w:type="dxa"/>
              <w:left w:w="-1" w:type="dxa"/>
              <w:bottom w:w="-1" w:type="dxa"/>
              <w:right w:w="-1" w:type="dxa"/>
            </w:tcMar>
            <w:vAlign w:val="center"/>
          </w:tcPr>
          <w:p w14:paraId="59490A83">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被凝结水严重稀释</w:t>
            </w:r>
          </w:p>
        </w:tc>
      </w:tr>
    </w:tbl>
    <w:p w14:paraId="46F8A3A9">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这一结果直接证明：有水段才是真正的锅水，无水段为蒸汽凝结水，在线表读数偏低是因为连续收集的样品被凝结水稀释。稀释倍数可估算为：</w:t>
      </w:r>
    </w:p>
    <w:p w14:paraId="719D1674">
      <w:pPr>
        <w:pageBreakBefore w:val="0"/>
        <w:kinsoku/>
        <w:wordWrap/>
        <w:overflowPunct/>
        <w:topLinePunct w:val="0"/>
        <w:autoSpaceDE/>
        <w:autoSpaceDN/>
        <w:bidi w:val="0"/>
        <w:snapToGrid/>
        <w:spacing w:beforeAutospacing="0" w:afterAutospacing="0" w:line="240" w:lineRule="auto"/>
        <w:ind w:left="0" w:leftChars="0" w:right="0" w:rightChars="0" w:firstLine="422" w:firstLineChars="20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rPr>
        <w:t>稀释倍数</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 xml:space="preserve">= </w:t>
      </w:r>
      <m:oMath>
        <m:f>
          <m:fPr>
            <m:ctrlPr>
              <w:rPr>
                <w:rFonts w:hint="eastAsia" w:ascii="Cambria Math" w:hAnsi="Cambria Math" w:eastAsia="宋体" w:cs="宋体"/>
                <w:b/>
                <w:bCs/>
                <w:i/>
                <w:sz w:val="21"/>
                <w:szCs w:val="21"/>
              </w:rPr>
            </m:ctrlPr>
          </m:fPr>
          <m:num>
            <m:sSub>
              <m:sSubPr>
                <m:ctrlPr>
                  <w:rPr>
                    <w:rFonts w:hint="eastAsia" w:ascii="Cambria Math" w:hAnsi="Cambria Math" w:eastAsia="宋体" w:cs="宋体"/>
                    <w:b/>
                    <w:bCs/>
                    <w:i/>
                    <w:sz w:val="21"/>
                    <w:szCs w:val="21"/>
                  </w:rPr>
                </m:ctrlPr>
              </m:sSubPr>
              <m:e>
                <m:r>
                  <m:rPr>
                    <m:sty m:val="bi"/>
                  </m:rPr>
                  <w:rPr>
                    <w:rFonts w:hint="eastAsia" w:ascii="Cambria Math" w:hAnsi="Cambria Math" w:eastAsia="宋体" w:cs="宋体"/>
                    <w:sz w:val="21"/>
                    <w:szCs w:val="21"/>
                    <w:lang w:val="en-US" w:eastAsia="zh-CN"/>
                  </w:rPr>
                  <m:t>C</m:t>
                </m:r>
                <m:ctrlPr>
                  <w:rPr>
                    <w:rFonts w:hint="eastAsia" w:ascii="Cambria Math" w:hAnsi="Cambria Math" w:eastAsia="宋体" w:cs="宋体"/>
                    <w:b/>
                    <w:bCs/>
                    <w:i/>
                    <w:sz w:val="21"/>
                    <w:szCs w:val="21"/>
                  </w:rPr>
                </m:ctrlPr>
              </m:e>
              <m:sub>
                <m:r>
                  <m:rPr>
                    <m:sty m:val="bi"/>
                  </m:rPr>
                  <w:rPr>
                    <w:rFonts w:hint="eastAsia" w:ascii="Cambria Math" w:hAnsi="Cambria Math" w:eastAsia="宋体" w:cs="宋体"/>
                    <w:sz w:val="21"/>
                    <w:szCs w:val="21"/>
                    <w:lang w:val="en-US" w:eastAsia="zh-CN"/>
                  </w:rPr>
                  <m:t>A</m:t>
                </m:r>
                <m:ctrlPr>
                  <w:rPr>
                    <w:rFonts w:hint="eastAsia" w:ascii="Cambria Math" w:hAnsi="Cambria Math" w:eastAsia="宋体" w:cs="宋体"/>
                    <w:b/>
                    <w:bCs/>
                    <w:i/>
                    <w:sz w:val="21"/>
                    <w:szCs w:val="21"/>
                  </w:rPr>
                </m:ctrlPr>
              </m:sub>
            </m:sSub>
            <m:ctrlPr>
              <w:rPr>
                <w:rFonts w:hint="eastAsia" w:ascii="Cambria Math" w:hAnsi="Cambria Math" w:eastAsia="宋体" w:cs="宋体"/>
                <w:b/>
                <w:bCs/>
                <w:i/>
                <w:sz w:val="21"/>
                <w:szCs w:val="21"/>
              </w:rPr>
            </m:ctrlPr>
          </m:num>
          <m:den>
            <m:sSub>
              <m:sSubPr>
                <m:ctrlPr>
                  <w:rPr>
                    <w:rFonts w:hint="eastAsia" w:ascii="Cambria Math" w:hAnsi="Cambria Math" w:eastAsia="宋体" w:cs="宋体"/>
                    <w:b/>
                    <w:bCs/>
                    <w:i/>
                    <w:sz w:val="21"/>
                    <w:szCs w:val="21"/>
                  </w:rPr>
                </m:ctrlPr>
              </m:sSubPr>
              <m:e>
                <m:r>
                  <m:rPr>
                    <m:sty m:val="bi"/>
                  </m:rPr>
                  <w:rPr>
                    <w:rFonts w:hint="eastAsia" w:ascii="Cambria Math" w:hAnsi="Cambria Math" w:eastAsia="宋体" w:cs="宋体"/>
                    <w:sz w:val="21"/>
                    <w:szCs w:val="21"/>
                    <w:lang w:val="en-US" w:eastAsia="zh-CN"/>
                  </w:rPr>
                  <m:t>C</m:t>
                </m:r>
                <m:ctrlPr>
                  <w:rPr>
                    <w:rFonts w:hint="eastAsia" w:ascii="Cambria Math" w:hAnsi="Cambria Math" w:eastAsia="宋体" w:cs="宋体"/>
                    <w:b/>
                    <w:bCs/>
                    <w:i/>
                    <w:sz w:val="21"/>
                    <w:szCs w:val="21"/>
                  </w:rPr>
                </m:ctrlPr>
              </m:e>
              <m:sub>
                <m:r>
                  <m:rPr>
                    <m:sty m:val="bi"/>
                  </m:rPr>
                  <w:rPr>
                    <w:rFonts w:hint="eastAsia" w:ascii="Cambria Math" w:hAnsi="Cambria Math" w:eastAsia="宋体" w:cs="宋体"/>
                    <w:sz w:val="21"/>
                    <w:szCs w:val="21"/>
                    <w:lang w:val="en-US" w:eastAsia="zh-CN"/>
                  </w:rPr>
                  <m:t>C</m:t>
                </m:r>
                <m:ctrlPr>
                  <w:rPr>
                    <w:rFonts w:hint="eastAsia" w:ascii="Cambria Math" w:hAnsi="Cambria Math" w:eastAsia="宋体" w:cs="宋体"/>
                    <w:b/>
                    <w:bCs/>
                    <w:i/>
                    <w:sz w:val="21"/>
                    <w:szCs w:val="21"/>
                  </w:rPr>
                </m:ctrlPr>
              </m:sub>
            </m:sSub>
            <m:ctrlPr>
              <w:rPr>
                <w:rFonts w:hint="eastAsia" w:ascii="Cambria Math" w:hAnsi="Cambria Math" w:eastAsia="宋体" w:cs="宋体"/>
                <w:b/>
                <w:bCs/>
                <w:i/>
                <w:sz w:val="21"/>
                <w:szCs w:val="21"/>
              </w:rPr>
            </m:ctrlPr>
          </m:den>
        </m:f>
        <m:r>
          <m:rPr>
            <m:sty m:val="bi"/>
          </m:rPr>
          <w:rPr>
            <w:rFonts w:hint="eastAsia" w:ascii="Cambria Math" w:hAnsi="Cambria Math" w:eastAsia="宋体" w:cs="宋体"/>
            <w:sz w:val="21"/>
            <w:szCs w:val="21"/>
          </w:rPr>
          <m:t>=</m:t>
        </m:r>
        <m:f>
          <m:fPr>
            <m:ctrlPr>
              <w:rPr>
                <w:rFonts w:hint="eastAsia" w:ascii="Cambria Math" w:hAnsi="Cambria Math" w:eastAsia="宋体" w:cs="宋体"/>
                <w:b/>
                <w:bCs/>
                <w:i/>
                <w:sz w:val="21"/>
                <w:szCs w:val="21"/>
              </w:rPr>
            </m:ctrlPr>
          </m:fPr>
          <m:num>
            <m:r>
              <m:rPr>
                <m:sty m:val="bi"/>
              </m:rPr>
              <w:rPr>
                <w:rFonts w:hint="eastAsia" w:ascii="Cambria Math" w:hAnsi="Cambria Math" w:eastAsia="宋体" w:cs="宋体"/>
                <w:sz w:val="21"/>
                <w:szCs w:val="21"/>
                <w:lang w:val="en-US" w:eastAsia="zh-CN"/>
              </w:rPr>
              <m:t>8.5</m:t>
            </m:r>
            <m:ctrlPr>
              <w:rPr>
                <w:rFonts w:hint="eastAsia" w:ascii="Cambria Math" w:hAnsi="Cambria Math" w:eastAsia="宋体" w:cs="宋体"/>
                <w:b/>
                <w:bCs/>
                <w:i/>
                <w:sz w:val="21"/>
                <w:szCs w:val="21"/>
              </w:rPr>
            </m:ctrlPr>
          </m:num>
          <m:den>
            <m:r>
              <m:rPr>
                <m:sty m:val="bi"/>
              </m:rPr>
              <w:rPr>
                <w:rFonts w:hint="eastAsia" w:ascii="Cambria Math" w:hAnsi="Cambria Math" w:eastAsia="宋体" w:cs="宋体"/>
                <w:sz w:val="21"/>
                <w:szCs w:val="21"/>
                <w:lang w:val="en-US" w:eastAsia="zh-CN"/>
              </w:rPr>
              <m:t>2.1</m:t>
            </m:r>
            <m:ctrlPr>
              <w:rPr>
                <w:rFonts w:hint="eastAsia" w:ascii="Cambria Math" w:hAnsi="Cambria Math" w:eastAsia="宋体" w:cs="宋体"/>
                <w:b/>
                <w:bCs/>
                <w:i/>
                <w:sz w:val="21"/>
                <w:szCs w:val="21"/>
              </w:rPr>
            </m:ctrlPr>
          </m:den>
        </m:f>
        <m:r>
          <m:rPr>
            <m:sty m:val="bi"/>
          </m:rPr>
          <w:rPr>
            <w:rFonts w:hint="eastAsia" w:ascii="Cambria Math" w:hAnsi="Cambria Math" w:eastAsia="宋体" w:cs="宋体"/>
            <w:sz w:val="21"/>
            <w:szCs w:val="21"/>
          </w:rPr>
          <m:t>≈</m:t>
        </m:r>
        <m:r>
          <m:rPr>
            <m:sty m:val="bi"/>
          </m:rPr>
          <w:rPr>
            <w:rFonts w:hint="eastAsia" w:ascii="Cambria Math" w:hAnsi="Cambria Math" w:eastAsia="宋体" w:cs="宋体"/>
            <w:sz w:val="21"/>
            <w:szCs w:val="21"/>
            <w:lang w:val="en-US" w:eastAsia="zh-CN"/>
          </w:rPr>
          <m:t>4.0</m:t>
        </m:r>
      </m:oMath>
    </w:p>
    <w:p w14:paraId="7784E29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5.3 流速与压降估算</w:t>
      </w:r>
    </w:p>
    <w:p w14:paraId="7EA08522">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测量10分钟总收集量为1.8 L，折算体积流量为3.0×10⁻⁵ m³/s。DN15管道截面积为1.77×10⁻⁴ m²，计算流速为：</w:t>
      </w:r>
    </w:p>
    <w:p w14:paraId="02A27879">
      <w:pPr>
        <w:pageBreakBefore w:val="0"/>
        <w:kinsoku/>
        <w:wordWrap/>
        <w:overflowPunct/>
        <w:topLinePunct w:val="0"/>
        <w:autoSpaceDE/>
        <w:autoSpaceDN/>
        <w:bidi w:val="0"/>
        <w:snapToGrid/>
        <w:spacing w:beforeAutospacing="0" w:afterAutospacing="0" w:line="240" w:lineRule="auto"/>
        <w:ind w:left="0" w:leftChars="0" w:right="0" w:rightChars="0" w:firstLine="422" w:firstLineChars="200"/>
        <w:jc w:val="both"/>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rPr>
        <w:t>ν</w:t>
      </w:r>
      <w:r>
        <w:rPr>
          <w:rFonts w:hint="eastAsia" w:ascii="宋体" w:hAnsi="宋体" w:eastAsia="宋体" w:cs="宋体"/>
          <w:b/>
          <w:bCs/>
          <w:sz w:val="21"/>
          <w:szCs w:val="21"/>
          <w:lang w:val="en-US" w:eastAsia="zh-CN"/>
        </w:rPr>
        <w:t xml:space="preserve"> = </w:t>
      </w:r>
      <m:oMath>
        <m:f>
          <m:fPr>
            <m:ctrlPr>
              <w:rPr>
                <w:rFonts w:hint="eastAsia" w:ascii="Cambria Math" w:hAnsi="Cambria Math" w:eastAsia="宋体" w:cs="宋体"/>
                <w:b/>
                <w:bCs/>
                <w:i/>
                <w:sz w:val="21"/>
                <w:szCs w:val="21"/>
                <w:lang w:val="en-US"/>
              </w:rPr>
            </m:ctrlPr>
          </m:fPr>
          <m:num>
            <m:r>
              <m:rPr>
                <m:sty m:val="bi"/>
              </m:rPr>
              <w:rPr>
                <w:rFonts w:hint="eastAsia" w:ascii="Cambria Math" w:hAnsi="Cambria Math" w:eastAsia="宋体" w:cs="宋体"/>
                <w:sz w:val="21"/>
                <w:szCs w:val="21"/>
                <w:lang w:val="en-US" w:eastAsia="zh-CN"/>
              </w:rPr>
              <m:t>Q</m:t>
            </m:r>
            <m:ctrlPr>
              <w:rPr>
                <w:rFonts w:hint="eastAsia" w:ascii="Cambria Math" w:hAnsi="Cambria Math" w:eastAsia="宋体" w:cs="宋体"/>
                <w:b/>
                <w:bCs/>
                <w:i/>
                <w:sz w:val="21"/>
                <w:szCs w:val="21"/>
                <w:lang w:val="en-US"/>
              </w:rPr>
            </m:ctrlPr>
          </m:num>
          <m:den>
            <m:r>
              <m:rPr>
                <m:sty m:val="bi"/>
              </m:rPr>
              <w:rPr>
                <w:rFonts w:hint="eastAsia" w:ascii="Cambria Math" w:hAnsi="Cambria Math" w:eastAsia="宋体" w:cs="宋体"/>
                <w:sz w:val="21"/>
                <w:szCs w:val="21"/>
                <w:lang w:val="en-US" w:eastAsia="zh-CN"/>
              </w:rPr>
              <m:t>A</m:t>
            </m:r>
            <m:ctrlPr>
              <w:rPr>
                <w:rFonts w:hint="eastAsia" w:ascii="Cambria Math" w:hAnsi="Cambria Math" w:eastAsia="宋体" w:cs="宋体"/>
                <w:b/>
                <w:bCs/>
                <w:i/>
                <w:sz w:val="21"/>
                <w:szCs w:val="21"/>
                <w:lang w:val="en-US"/>
              </w:rPr>
            </m:ctrlPr>
          </m:den>
        </m:f>
        <m:r>
          <m:rPr>
            <m:sty m:val="bi"/>
          </m:rPr>
          <w:rPr>
            <w:rFonts w:hint="eastAsia" w:ascii="Cambria Math" w:hAnsi="Cambria Math" w:eastAsia="宋体" w:cs="宋体"/>
            <w:sz w:val="21"/>
            <w:szCs w:val="21"/>
            <w:lang w:val="en-US" w:eastAsia="zh-CN"/>
          </w:rPr>
          <m:t>=</m:t>
        </m:r>
        <m:f>
          <m:fPr>
            <m:ctrlPr>
              <w:rPr>
                <w:rFonts w:hint="eastAsia" w:ascii="Cambria Math" w:hAnsi="Cambria Math" w:eastAsia="宋体" w:cs="宋体"/>
                <w:b/>
                <w:bCs/>
                <w:i/>
                <w:sz w:val="21"/>
                <w:szCs w:val="21"/>
                <w:lang w:val="en-US" w:eastAsia="zh-CN"/>
              </w:rPr>
            </m:ctrlPr>
          </m:fPr>
          <m:num>
            <m:r>
              <m:rPr>
                <m:sty m:val="bi"/>
              </m:rPr>
              <w:rPr>
                <w:rFonts w:hint="eastAsia" w:ascii="Cambria Math" w:hAnsi="Cambria Math" w:eastAsia="宋体" w:cs="宋体"/>
                <w:sz w:val="21"/>
                <w:szCs w:val="21"/>
                <w:lang w:val="en-US" w:eastAsia="zh-CN"/>
              </w:rPr>
              <m:t>3.0</m:t>
            </m:r>
            <m:r>
              <m:rPr>
                <m:sty m:val="bi"/>
              </m:rPr>
              <w:rPr>
                <w:rFonts w:hint="eastAsia" w:ascii="Cambria Math" w:hAnsi="Cambria Math" w:eastAsia="宋体" w:cs="宋体"/>
                <w:sz w:val="21"/>
                <w:szCs w:val="21"/>
                <w:lang w:val="en-US"/>
              </w:rPr>
              <m:t>×</m:t>
            </m:r>
            <m:sSup>
              <m:sSupPr>
                <m:ctrlPr>
                  <w:rPr>
                    <w:rFonts w:hint="eastAsia" w:ascii="Cambria Math" w:hAnsi="Cambria Math" w:eastAsia="宋体" w:cs="宋体"/>
                    <w:b/>
                    <w:bCs/>
                    <w:i/>
                    <w:sz w:val="21"/>
                    <w:szCs w:val="21"/>
                    <w:lang w:val="en-US"/>
                  </w:rPr>
                </m:ctrlPr>
              </m:sSupPr>
              <m:e>
                <m:r>
                  <m:rPr>
                    <m:sty m:val="bi"/>
                  </m:rPr>
                  <w:rPr>
                    <w:rFonts w:hint="eastAsia" w:ascii="Cambria Math" w:hAnsi="Cambria Math" w:eastAsia="宋体" w:cs="宋体"/>
                    <w:sz w:val="21"/>
                    <w:szCs w:val="21"/>
                    <w:lang w:val="en-US" w:eastAsia="zh-CN"/>
                  </w:rPr>
                  <m:t>10</m:t>
                </m:r>
                <m:ctrlPr>
                  <w:rPr>
                    <w:rFonts w:hint="eastAsia" w:ascii="Cambria Math" w:hAnsi="Cambria Math" w:eastAsia="宋体" w:cs="宋体"/>
                    <w:b/>
                    <w:bCs/>
                    <w:i/>
                    <w:sz w:val="21"/>
                    <w:szCs w:val="21"/>
                    <w:lang w:val="en-US"/>
                  </w:rPr>
                </m:ctrlPr>
              </m:e>
              <m:sup>
                <m:r>
                  <m:rPr>
                    <m:sty m:val="bi"/>
                  </m:rPr>
                  <w:rPr>
                    <w:rFonts w:hint="eastAsia" w:ascii="Cambria Math" w:hAnsi="Cambria Math" w:eastAsia="宋体" w:cs="宋体"/>
                    <w:sz w:val="21"/>
                    <w:szCs w:val="21"/>
                    <w:lang w:val="en-US" w:eastAsia="zh-CN"/>
                  </w:rPr>
                  <m:t>−5</m:t>
                </m:r>
                <m:ctrlPr>
                  <w:rPr>
                    <w:rFonts w:hint="eastAsia" w:ascii="Cambria Math" w:hAnsi="Cambria Math" w:eastAsia="宋体" w:cs="宋体"/>
                    <w:b/>
                    <w:bCs/>
                    <w:i/>
                    <w:sz w:val="21"/>
                    <w:szCs w:val="21"/>
                    <w:lang w:val="en-US"/>
                  </w:rPr>
                </m:ctrlPr>
              </m:sup>
            </m:sSup>
            <m:ctrlPr>
              <w:rPr>
                <w:rFonts w:hint="eastAsia" w:ascii="Cambria Math" w:hAnsi="Cambria Math" w:eastAsia="宋体" w:cs="宋体"/>
                <w:b/>
                <w:bCs/>
                <w:i/>
                <w:sz w:val="21"/>
                <w:szCs w:val="21"/>
                <w:lang w:val="en-US" w:eastAsia="zh-CN"/>
              </w:rPr>
            </m:ctrlPr>
          </m:num>
          <m:den>
            <m:r>
              <m:rPr>
                <m:sty m:val="bi"/>
              </m:rPr>
              <w:rPr>
                <w:rFonts w:hint="eastAsia" w:ascii="Cambria Math" w:hAnsi="Cambria Math" w:eastAsia="宋体" w:cs="宋体"/>
                <w:sz w:val="21"/>
                <w:szCs w:val="21"/>
                <w:lang w:val="en-US" w:eastAsia="zh-CN"/>
              </w:rPr>
              <m:t>1.77</m:t>
            </m:r>
            <m:r>
              <m:rPr>
                <m:sty m:val="bi"/>
              </m:rPr>
              <w:rPr>
                <w:rFonts w:hint="eastAsia" w:ascii="Cambria Math" w:hAnsi="Cambria Math" w:eastAsia="宋体" w:cs="宋体"/>
                <w:sz w:val="21"/>
                <w:szCs w:val="21"/>
                <w:lang w:val="en-US"/>
              </w:rPr>
              <m:t>×</m:t>
            </m:r>
            <m:sSup>
              <m:sSupPr>
                <m:ctrlPr>
                  <w:rPr>
                    <w:rFonts w:hint="eastAsia" w:ascii="Cambria Math" w:hAnsi="Cambria Math" w:eastAsia="宋体" w:cs="宋体"/>
                    <w:b/>
                    <w:bCs/>
                    <w:i/>
                    <w:sz w:val="21"/>
                    <w:szCs w:val="21"/>
                    <w:lang w:val="en-US"/>
                  </w:rPr>
                </m:ctrlPr>
              </m:sSupPr>
              <m:e>
                <m:r>
                  <m:rPr>
                    <m:sty m:val="bi"/>
                  </m:rPr>
                  <w:rPr>
                    <w:rFonts w:hint="eastAsia" w:ascii="Cambria Math" w:hAnsi="Cambria Math" w:eastAsia="宋体" w:cs="宋体"/>
                    <w:sz w:val="21"/>
                    <w:szCs w:val="21"/>
                    <w:lang w:val="en-US" w:eastAsia="zh-CN"/>
                  </w:rPr>
                  <m:t>10</m:t>
                </m:r>
                <m:ctrlPr>
                  <w:rPr>
                    <w:rFonts w:hint="eastAsia" w:ascii="Cambria Math" w:hAnsi="Cambria Math" w:eastAsia="宋体" w:cs="宋体"/>
                    <w:b/>
                    <w:bCs/>
                    <w:i/>
                    <w:sz w:val="21"/>
                    <w:szCs w:val="21"/>
                    <w:lang w:val="en-US"/>
                  </w:rPr>
                </m:ctrlPr>
              </m:e>
              <m:sup>
                <m:r>
                  <m:rPr>
                    <m:sty m:val="bi"/>
                  </m:rPr>
                  <w:rPr>
                    <w:rFonts w:hint="eastAsia" w:ascii="Cambria Math" w:hAnsi="Cambria Math" w:eastAsia="宋体" w:cs="宋体"/>
                    <w:sz w:val="21"/>
                    <w:szCs w:val="21"/>
                    <w:lang w:val="en-US" w:eastAsia="zh-CN"/>
                  </w:rPr>
                  <m:t>−4</m:t>
                </m:r>
                <m:ctrlPr>
                  <w:rPr>
                    <w:rFonts w:hint="eastAsia" w:ascii="Cambria Math" w:hAnsi="Cambria Math" w:eastAsia="宋体" w:cs="宋体"/>
                    <w:b/>
                    <w:bCs/>
                    <w:i/>
                    <w:sz w:val="21"/>
                    <w:szCs w:val="21"/>
                    <w:lang w:val="en-US"/>
                  </w:rPr>
                </m:ctrlPr>
              </m:sup>
            </m:sSup>
            <m:ctrlPr>
              <w:rPr>
                <w:rFonts w:hint="eastAsia" w:ascii="Cambria Math" w:hAnsi="Cambria Math" w:eastAsia="宋体" w:cs="宋体"/>
                <w:b/>
                <w:bCs/>
                <w:i/>
                <w:sz w:val="21"/>
                <w:szCs w:val="21"/>
                <w:lang w:val="en-US" w:eastAsia="zh-CN"/>
              </w:rPr>
            </m:ctrlPr>
          </m:den>
        </m:f>
        <m:r>
          <m:rPr>
            <m:sty m:val="bi"/>
          </m:rPr>
          <w:rPr>
            <w:rFonts w:hint="eastAsia" w:ascii="Cambria Math" w:hAnsi="Cambria Math" w:eastAsia="宋体" w:cs="宋体"/>
            <w:sz w:val="21"/>
            <w:szCs w:val="21"/>
            <w:lang w:val="en-US" w:eastAsia="zh-CN"/>
          </w:rPr>
          <m:t>=1.7m/s</m:t>
        </m:r>
      </m:oMath>
    </w:p>
    <w:p w14:paraId="41B25C10">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采用Darcy-Weisbach公式估算沿程压降。取摩擦系数f = 0.03 ，密度ρ = 915 kg/m</w:t>
      </w:r>
      <w:r>
        <w:rPr>
          <w:rFonts w:hint="eastAsia" w:ascii="宋体" w:hAnsi="宋体" w:eastAsia="宋体" w:cs="宋体"/>
          <w:sz w:val="21"/>
          <w:szCs w:val="21"/>
          <w:vertAlign w:val="superscript"/>
        </w:rPr>
        <w:t xml:space="preserve">3 </w:t>
      </w:r>
      <w:r>
        <w:rPr>
          <w:rFonts w:hint="eastAsia" w:ascii="宋体" w:hAnsi="宋体" w:eastAsia="宋体" w:cs="宋体"/>
          <w:sz w:val="21"/>
          <w:szCs w:val="21"/>
        </w:rPr>
        <w:t>（155℃饱和水），管长 L = 500 m，管径 D = 0.015m，流速ν= 1.7 m/s：</w:t>
      </w:r>
    </w:p>
    <w:p w14:paraId="3CE2D5FB">
      <w:pPr>
        <w:pageBreakBefore w:val="0"/>
        <w:kinsoku/>
        <w:wordWrap/>
        <w:overflowPunct/>
        <w:topLinePunct w:val="0"/>
        <w:autoSpaceDE/>
        <w:autoSpaceDN/>
        <w:bidi w:val="0"/>
        <w:snapToGrid/>
        <w:spacing w:beforeAutospacing="0" w:afterAutospacing="0" w:line="240" w:lineRule="auto"/>
        <w:ind w:left="0" w:leftChars="0" w:right="0" w:rightChars="0" w:firstLine="422" w:firstLineChars="200"/>
        <w:jc w:val="both"/>
        <w:textAlignment w:val="auto"/>
        <w:rPr>
          <w:rFonts w:hint="eastAsia" w:ascii="宋体" w:hAnsi="宋体" w:eastAsia="宋体" w:cs="宋体"/>
          <w:b/>
          <w:bCs/>
          <w:sz w:val="21"/>
          <w:szCs w:val="21"/>
          <w:lang w:val="en-US"/>
        </w:rPr>
      </w:pPr>
      <w:r>
        <w:rPr>
          <w:rFonts w:hint="eastAsia" w:ascii="宋体" w:hAnsi="宋体" w:eastAsia="宋体" w:cs="宋体"/>
          <w:b/>
          <w:bCs/>
          <w:sz w:val="21"/>
          <w:szCs w:val="21"/>
        </w:rPr>
        <w:t xml:space="preserve">ΔP = </w:t>
      </w:r>
      <m:oMath>
        <m:r>
          <m:rPr>
            <m:sty m:val="bi"/>
          </m:rPr>
          <w:rPr>
            <w:rFonts w:hint="eastAsia" w:ascii="Cambria Math" w:hAnsi="Cambria Math" w:eastAsia="宋体" w:cs="宋体"/>
            <w:kern w:val="2"/>
            <w:sz w:val="21"/>
            <w:szCs w:val="21"/>
            <w:lang w:val="en-US" w:eastAsia="zh-CN" w:bidi="ar-SA"/>
          </w:rPr>
          <m:t>0.3×</m:t>
        </m:r>
        <m:f>
          <m:fPr>
            <m:ctrlPr>
              <w:rPr>
                <w:rFonts w:hint="eastAsia" w:ascii="Cambria Math" w:hAnsi="Cambria Math" w:eastAsia="宋体" w:cs="宋体"/>
                <w:b/>
                <w:bCs/>
                <w:i/>
                <w:kern w:val="2"/>
                <w:sz w:val="21"/>
                <w:szCs w:val="21"/>
                <w:lang w:val="en-US" w:eastAsia="zh-CN" w:bidi="ar-SA"/>
              </w:rPr>
            </m:ctrlPr>
          </m:fPr>
          <m:num>
            <m:r>
              <m:rPr>
                <m:sty m:val="bi"/>
              </m:rPr>
              <w:rPr>
                <w:rFonts w:hint="eastAsia" w:ascii="Cambria Math" w:hAnsi="Cambria Math" w:eastAsia="宋体" w:cs="宋体"/>
                <w:kern w:val="2"/>
                <w:sz w:val="21"/>
                <w:szCs w:val="21"/>
                <w:lang w:val="en-US" w:eastAsia="zh-CN" w:bidi="ar-SA"/>
              </w:rPr>
              <m:t>500</m:t>
            </m:r>
            <m:ctrlPr>
              <w:rPr>
                <w:rFonts w:hint="eastAsia" w:ascii="Cambria Math" w:hAnsi="Cambria Math" w:eastAsia="宋体" w:cs="宋体"/>
                <w:b/>
                <w:bCs/>
                <w:i/>
                <w:kern w:val="2"/>
                <w:sz w:val="21"/>
                <w:szCs w:val="21"/>
                <w:lang w:val="en-US" w:eastAsia="zh-CN" w:bidi="ar-SA"/>
              </w:rPr>
            </m:ctrlPr>
          </m:num>
          <m:den>
            <m:r>
              <m:rPr>
                <m:sty m:val="bi"/>
              </m:rPr>
              <w:rPr>
                <w:rFonts w:hint="eastAsia" w:ascii="Cambria Math" w:hAnsi="Cambria Math" w:eastAsia="宋体" w:cs="宋体"/>
                <w:kern w:val="2"/>
                <w:sz w:val="21"/>
                <w:szCs w:val="21"/>
                <w:lang w:val="en-US" w:eastAsia="zh-CN" w:bidi="ar-SA"/>
              </w:rPr>
              <m:t>0.015</m:t>
            </m:r>
            <m:ctrlPr>
              <w:rPr>
                <w:rFonts w:hint="eastAsia" w:ascii="Cambria Math" w:hAnsi="Cambria Math" w:eastAsia="宋体" w:cs="宋体"/>
                <w:b/>
                <w:bCs/>
                <w:i/>
                <w:kern w:val="2"/>
                <w:sz w:val="21"/>
                <w:szCs w:val="21"/>
                <w:lang w:val="en-US" w:eastAsia="zh-CN" w:bidi="ar-SA"/>
              </w:rPr>
            </m:ctrlPr>
          </m:den>
        </m:f>
        <m:r>
          <m:rPr>
            <m:sty m:val="bi"/>
          </m:rPr>
          <w:rPr>
            <w:rFonts w:hint="eastAsia" w:ascii="Cambria Math" w:hAnsi="Cambria Math" w:eastAsia="宋体" w:cs="宋体"/>
            <w:kern w:val="2"/>
            <w:sz w:val="21"/>
            <w:szCs w:val="21"/>
            <w:lang w:val="en-US" w:eastAsia="zh-CN" w:bidi="ar-SA"/>
          </w:rPr>
          <m:t>×</m:t>
        </m:r>
        <m:f>
          <m:fPr>
            <m:ctrlPr>
              <w:rPr>
                <w:rFonts w:hint="eastAsia" w:ascii="Cambria Math" w:hAnsi="Cambria Math" w:eastAsia="宋体" w:cs="宋体"/>
                <w:b/>
                <w:bCs/>
                <w:i/>
                <w:kern w:val="2"/>
                <w:sz w:val="21"/>
                <w:szCs w:val="21"/>
                <w:lang w:val="en-US" w:eastAsia="zh-CN" w:bidi="ar-SA"/>
              </w:rPr>
            </m:ctrlPr>
          </m:fPr>
          <m:num>
            <m:r>
              <m:rPr>
                <m:sty m:val="bi"/>
              </m:rPr>
              <w:rPr>
                <w:rFonts w:hint="eastAsia" w:ascii="Cambria Math" w:hAnsi="Cambria Math" w:eastAsia="宋体" w:cs="宋体"/>
                <w:kern w:val="2"/>
                <w:sz w:val="21"/>
                <w:szCs w:val="21"/>
                <w:lang w:val="en-US" w:eastAsia="zh-CN" w:bidi="ar-SA"/>
              </w:rPr>
              <m:t>915</m:t>
            </m:r>
            <m:r>
              <m:rPr>
                <m:sty m:val="bi"/>
              </m:rPr>
              <w:rPr>
                <w:rFonts w:hint="eastAsia" w:ascii="Cambria Math" w:hAnsi="Cambria Math" w:eastAsia="宋体" w:cs="宋体"/>
                <w:kern w:val="2"/>
                <w:sz w:val="21"/>
                <w:szCs w:val="21"/>
                <w:lang w:val="en-US" w:bidi="ar-SA"/>
              </w:rPr>
              <m:t>×</m:t>
            </m:r>
            <m:sSup>
              <m:sSupPr>
                <m:ctrlPr>
                  <w:rPr>
                    <w:rFonts w:hint="eastAsia" w:ascii="Cambria Math" w:hAnsi="Cambria Math" w:eastAsia="宋体" w:cs="宋体"/>
                    <w:b/>
                    <w:bCs/>
                    <w:i/>
                    <w:kern w:val="2"/>
                    <w:sz w:val="21"/>
                    <w:szCs w:val="21"/>
                    <w:lang w:val="en-US" w:bidi="ar-SA"/>
                  </w:rPr>
                </m:ctrlPr>
              </m:sSupPr>
              <m:e>
                <m:r>
                  <m:rPr>
                    <m:sty m:val="bi"/>
                  </m:rPr>
                  <w:rPr>
                    <w:rFonts w:hint="eastAsia" w:ascii="Cambria Math" w:hAnsi="Cambria Math" w:eastAsia="宋体" w:cs="宋体"/>
                    <w:kern w:val="2"/>
                    <w:sz w:val="21"/>
                    <w:szCs w:val="21"/>
                    <w:lang w:val="en-US" w:eastAsia="zh-CN" w:bidi="ar-SA"/>
                  </w:rPr>
                  <m:t>1.7</m:t>
                </m:r>
                <m:ctrlPr>
                  <w:rPr>
                    <w:rFonts w:hint="eastAsia" w:ascii="Cambria Math" w:hAnsi="Cambria Math" w:eastAsia="宋体" w:cs="宋体"/>
                    <w:b/>
                    <w:bCs/>
                    <w:i/>
                    <w:kern w:val="2"/>
                    <w:sz w:val="21"/>
                    <w:szCs w:val="21"/>
                    <w:lang w:val="en-US" w:bidi="ar-SA"/>
                  </w:rPr>
                </m:ctrlPr>
              </m:e>
              <m:sup>
                <m:r>
                  <m:rPr>
                    <m:sty m:val="bi"/>
                  </m:rPr>
                  <w:rPr>
                    <w:rFonts w:hint="eastAsia" w:ascii="Cambria Math" w:hAnsi="Cambria Math" w:eastAsia="宋体" w:cs="宋体"/>
                    <w:kern w:val="2"/>
                    <w:sz w:val="21"/>
                    <w:szCs w:val="21"/>
                    <w:lang w:val="en-US" w:eastAsia="zh-CN" w:bidi="ar-SA"/>
                  </w:rPr>
                  <m:t>2</m:t>
                </m:r>
                <m:ctrlPr>
                  <w:rPr>
                    <w:rFonts w:hint="eastAsia" w:ascii="Cambria Math" w:hAnsi="Cambria Math" w:eastAsia="宋体" w:cs="宋体"/>
                    <w:b/>
                    <w:bCs/>
                    <w:i/>
                    <w:kern w:val="2"/>
                    <w:sz w:val="21"/>
                    <w:szCs w:val="21"/>
                    <w:lang w:val="en-US" w:bidi="ar-SA"/>
                  </w:rPr>
                </m:ctrlPr>
              </m:sup>
            </m:sSup>
            <m:ctrlPr>
              <w:rPr>
                <w:rFonts w:hint="eastAsia" w:ascii="Cambria Math" w:hAnsi="Cambria Math" w:eastAsia="宋体" w:cs="宋体"/>
                <w:b/>
                <w:bCs/>
                <w:i/>
                <w:kern w:val="2"/>
                <w:sz w:val="21"/>
                <w:szCs w:val="21"/>
                <w:lang w:val="en-US" w:eastAsia="zh-CN" w:bidi="ar-SA"/>
              </w:rPr>
            </m:ctrlPr>
          </m:num>
          <m:den>
            <m:r>
              <m:rPr>
                <m:sty m:val="bi"/>
              </m:rPr>
              <w:rPr>
                <w:rFonts w:hint="eastAsia" w:ascii="Cambria Math" w:hAnsi="Cambria Math" w:eastAsia="宋体" w:cs="宋体"/>
                <w:kern w:val="2"/>
                <w:sz w:val="21"/>
                <w:szCs w:val="21"/>
                <w:lang w:val="en-US" w:eastAsia="zh-CN" w:bidi="ar-SA"/>
              </w:rPr>
              <m:t>2</m:t>
            </m:r>
            <m:ctrlPr>
              <w:rPr>
                <w:rFonts w:hint="eastAsia" w:ascii="Cambria Math" w:hAnsi="Cambria Math" w:eastAsia="宋体" w:cs="宋体"/>
                <w:b/>
                <w:bCs/>
                <w:i/>
                <w:kern w:val="2"/>
                <w:sz w:val="21"/>
                <w:szCs w:val="21"/>
                <w:lang w:val="en-US" w:eastAsia="zh-CN" w:bidi="ar-SA"/>
              </w:rPr>
            </m:ctrlPr>
          </m:den>
        </m:f>
        <m:r>
          <m:rPr>
            <m:sty m:val="bi"/>
          </m:rPr>
          <w:rPr>
            <w:rFonts w:hint="eastAsia" w:ascii="Cambria Math" w:hAnsi="Cambria Math" w:eastAsia="宋体" w:cs="宋体"/>
            <w:kern w:val="2"/>
            <w:sz w:val="21"/>
            <w:szCs w:val="21"/>
            <w:lang w:val="en-US" w:eastAsia="zh-CN" w:bidi="ar-SA"/>
          </w:rPr>
          <m:t>=0.03×33333×1322≈0.36Mpa</m:t>
        </m:r>
      </m:oMath>
    </w:p>
    <w:p w14:paraId="0506EA65">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估算压降约0.36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，起点压力0.55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，末端压力降至0.19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，远低于155℃对应的饱和压力（0.55 M</w:t>
      </w:r>
      <w:r>
        <w:rPr>
          <w:rFonts w:hint="eastAsia" w:ascii="宋体" w:hAnsi="宋体" w:eastAsia="宋体" w:cs="宋体"/>
          <w:b w:val="0"/>
          <w:bCs w:val="0"/>
          <w:sz w:val="21"/>
          <w:szCs w:val="21"/>
          <w:lang w:val="en-US" w:eastAsia="zh-CN"/>
        </w:rPr>
        <w:t>pa</w:t>
      </w:r>
      <w:r>
        <w:rPr>
          <w:rFonts w:hint="eastAsia" w:ascii="宋体" w:hAnsi="宋体" w:eastAsia="宋体" w:cs="宋体"/>
          <w:b w:val="0"/>
          <w:bCs w:val="0"/>
          <w:sz w:val="21"/>
          <w:szCs w:val="21"/>
        </w:rPr>
        <w:t>），必然发生严重闪蒸。</w:t>
      </w:r>
    </w:p>
    <w:p w14:paraId="63FC5A0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 解决方案</w:t>
      </w:r>
    </w:p>
    <w:p w14:paraId="2D61E24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6.1 传统思路的局限</w:t>
      </w:r>
    </w:p>
    <w:p w14:paraId="3E0EEAFF">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调整连排流量、改善管道坡度、更换取样口位置等措施只能部分缓解问题，无法从根本上解决长距离高温输送的固有矛盾。本案例中，将连排开度从30%增至80%后，有水占比从20%提高至35%，在线表读数从2.1 mg/L升至3.8 mg/L，但仍有明显偏差（真实值8.5 mg/L），且无法消除闪蒸导致的凝结水稀释。</w:t>
      </w:r>
    </w:p>
    <w:p w14:paraId="5F05714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6.2 “先冷却后输送”方案</w:t>
      </w:r>
    </w:p>
    <w:p w14:paraId="4ABCEFF2">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遵循水汽取样系统的设计黄金法则——“先冷却，后输送”，在锅炉连排出口处（尽可能靠近汽包）增设一套高温取样架：</w:t>
      </w:r>
    </w:p>
    <w:p w14:paraId="34EEA821">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（1）一级取样冷却器：紧靠汽包连排出口（距离&lt;2米），用工业冷却水将高温连排水（155℃）迅速冷却至40℃以下，在样品发生闪蒸之前将其转变为稳定的单相液体。冷却器换热面积可按式</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7</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估算：</w:t>
      </w:r>
    </w:p>
    <w:p w14:paraId="27FBC678">
      <w:pPr>
        <w:pageBreakBefore w:val="0"/>
        <w:kinsoku/>
        <w:wordWrap/>
        <w:overflowPunct/>
        <w:topLinePunct w:val="0"/>
        <w:autoSpaceDE/>
        <w:autoSpaceDN/>
        <w:bidi w:val="0"/>
        <w:snapToGrid/>
        <w:spacing w:beforeAutospacing="0" w:afterAutospacing="0" w:line="240" w:lineRule="auto"/>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A =</w:t>
      </w:r>
      <w:r>
        <w:rPr>
          <w:rFonts w:hint="eastAsia" w:ascii="宋体" w:hAnsi="宋体" w:eastAsia="宋体" w:cs="宋体"/>
          <w:b w:val="0"/>
          <w:bCs w:val="0"/>
          <w:sz w:val="21"/>
          <w:szCs w:val="21"/>
          <w:lang w:val="en-US" w:eastAsia="zh-CN"/>
        </w:rPr>
        <w:t xml:space="preserve"> </w:t>
      </w:r>
      <m:oMath>
        <m:f>
          <m:fPr>
            <m:ctrlPr>
              <w:rPr>
                <w:rFonts w:hint="eastAsia" w:ascii="Cambria Math" w:hAnsi="Cambria Math" w:eastAsia="宋体" w:cs="宋体"/>
                <w:b w:val="0"/>
                <w:bCs w:val="0"/>
                <w:sz w:val="21"/>
                <w:szCs w:val="21"/>
              </w:rPr>
            </m:ctrlPr>
          </m:fPr>
          <m:num>
            <m:r>
              <m:rPr>
                <m:sty m:val="p"/>
              </m:rPr>
              <w:rPr>
                <w:rFonts w:hint="default" w:ascii="Cambria Math" w:hAnsi="Cambria Math" w:eastAsia="宋体" w:cs="宋体"/>
                <w:sz w:val="21"/>
                <w:szCs w:val="21"/>
                <w:lang w:val="en-US" w:eastAsia="zh-CN"/>
              </w:rPr>
              <m:t>Q</m:t>
            </m:r>
            <m:ctrlPr>
              <w:rPr>
                <w:rFonts w:hint="eastAsia" w:ascii="Cambria Math" w:hAnsi="Cambria Math" w:eastAsia="宋体" w:cs="宋体"/>
                <w:b w:val="0"/>
                <w:bCs w:val="0"/>
                <w:sz w:val="21"/>
                <w:szCs w:val="21"/>
              </w:rPr>
            </m:ctrlPr>
          </m:num>
          <m:den>
            <m:r>
              <m:rPr>
                <m:sty m:val="p"/>
              </m:rPr>
              <w:rPr>
                <w:rFonts w:hint="default" w:ascii="Cambria Math" w:hAnsi="Cambria Math" w:eastAsia="宋体" w:cs="宋体"/>
                <w:sz w:val="21"/>
                <w:szCs w:val="21"/>
                <w:lang w:val="en-US" w:eastAsia="zh-CN"/>
              </w:rPr>
              <m:t>K</m:t>
            </m:r>
            <m:r>
              <m:rPr>
                <m:sty m:val="p"/>
              </m:rPr>
              <w:rPr>
                <w:rFonts w:hint="eastAsia" w:ascii="Cambria Math" w:hAnsi="Cambria Math" w:eastAsia="宋体" w:cs="宋体"/>
                <w:sz w:val="21"/>
                <w:szCs w:val="21"/>
                <w:lang w:val="en-US"/>
              </w:rPr>
              <m:t>∙∆</m:t>
            </m:r>
            <m:sSub>
              <m:sSubPr>
                <m:ctrlPr>
                  <w:rPr>
                    <w:rFonts w:hint="eastAsia" w:ascii="Cambria Math" w:hAnsi="Cambria Math" w:eastAsia="宋体" w:cs="宋体"/>
                    <w:b w:val="0"/>
                    <w:bCs w:val="0"/>
                    <w:sz w:val="21"/>
                    <w:szCs w:val="21"/>
                    <w:lang w:val="en-US" w:eastAsia="zh-CN"/>
                  </w:rPr>
                </m:ctrlPr>
              </m:sSubPr>
              <m:e>
                <m:r>
                  <m:rPr>
                    <m:sty m:val="p"/>
                  </m:rPr>
                  <w:rPr>
                    <w:rFonts w:hint="default" w:ascii="Cambria Math" w:hAnsi="Cambria Math" w:eastAsia="宋体" w:cs="宋体"/>
                    <w:sz w:val="21"/>
                    <w:szCs w:val="21"/>
                    <w:lang w:val="en-US" w:eastAsia="zh-CN"/>
                  </w:rPr>
                  <m:t>T</m:t>
                </m:r>
                <m:ctrlPr>
                  <w:rPr>
                    <w:rFonts w:hint="eastAsia" w:ascii="Cambria Math" w:hAnsi="Cambria Math" w:eastAsia="宋体" w:cs="宋体"/>
                    <w:b w:val="0"/>
                    <w:bCs w:val="0"/>
                    <w:sz w:val="21"/>
                    <w:szCs w:val="21"/>
                    <w:lang w:val="en-US" w:eastAsia="zh-CN"/>
                  </w:rPr>
                </m:ctrlPr>
              </m:e>
              <m:sub>
                <m:r>
                  <m:rPr>
                    <m:sty m:val="p"/>
                  </m:rPr>
                  <w:rPr>
                    <w:rFonts w:hint="default" w:ascii="Cambria Math" w:hAnsi="Cambria Math" w:eastAsia="宋体" w:cs="宋体"/>
                    <w:sz w:val="21"/>
                    <w:szCs w:val="21"/>
                    <w:lang w:val="en-US" w:eastAsia="zh-CN"/>
                  </w:rPr>
                  <m:t>m</m:t>
                </m:r>
                <m:ctrlPr>
                  <w:rPr>
                    <w:rFonts w:hint="eastAsia" w:ascii="Cambria Math" w:hAnsi="Cambria Math" w:eastAsia="宋体" w:cs="宋体"/>
                    <w:b w:val="0"/>
                    <w:bCs w:val="0"/>
                    <w:sz w:val="21"/>
                    <w:szCs w:val="21"/>
                    <w:lang w:val="en-US" w:eastAsia="zh-CN"/>
                  </w:rPr>
                </m:ctrlPr>
              </m:sub>
            </m:sSub>
            <m:ctrlPr>
              <w:rPr>
                <w:rFonts w:hint="eastAsia" w:ascii="Cambria Math" w:hAnsi="Cambria Math" w:eastAsia="宋体" w:cs="宋体"/>
                <w:b w:val="0"/>
                <w:bCs w:val="0"/>
                <w:sz w:val="21"/>
                <w:szCs w:val="21"/>
              </w:rPr>
            </m:ctrlPr>
          </m:den>
        </m:f>
      </m:oMath>
    </w:p>
    <w:p w14:paraId="5D0F588E">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其中 Q 为热负荷， K 为传热系数，Δ</w:t>
      </w:r>
      <w:r>
        <w:rPr>
          <w:rFonts w:hint="eastAsia" w:ascii="宋体" w:hAnsi="宋体" w:eastAsia="宋体" w:cs="宋体"/>
          <w:b w:val="0"/>
          <w:bCs w:val="0"/>
          <w:sz w:val="21"/>
          <w:szCs w:val="21"/>
          <w:lang w:val="en-US" w:eastAsia="zh-CN"/>
        </w:rPr>
        <w:t>T</w:t>
      </w:r>
      <w:r>
        <w:rPr>
          <w:rFonts w:hint="eastAsia" w:ascii="宋体" w:hAnsi="宋体" w:eastAsia="宋体" w:cs="宋体"/>
          <w:b w:val="0"/>
          <w:bCs w:val="0"/>
          <w:sz w:val="21"/>
          <w:szCs w:val="21"/>
          <w:vertAlign w:val="subscript"/>
        </w:rPr>
        <w:t>m</w:t>
      </w:r>
      <w:r>
        <w:rPr>
          <w:rFonts w:hint="eastAsia" w:ascii="宋体" w:hAnsi="宋体" w:eastAsia="宋体" w:cs="宋体"/>
          <w:b w:val="0"/>
          <w:bCs w:val="0"/>
          <w:sz w:val="21"/>
          <w:szCs w:val="21"/>
        </w:rPr>
        <w:t xml:space="preserve"> 为对数平均温差。</w:t>
      </w:r>
    </w:p>
    <w:p w14:paraId="250A8BEF">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（2）减压与稳压：将样品压力减至常压，调节并稳定流量。</w:t>
      </w:r>
    </w:p>
    <w:p w14:paraId="0C8B34E2">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（3）长距离输送：此时管道内流动的是低温、单相、常压的冷水（&lt;40℃），500米输送不会发生相变，无论管径大小、管道起伏，样品浓度得以真实保留。</w:t>
      </w:r>
    </w:p>
    <w:p w14:paraId="1EB00E14">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b w:val="0"/>
          <w:bCs w:val="0"/>
          <w:sz w:val="21"/>
          <w:szCs w:val="21"/>
        </w:rPr>
        <w:t>（4）在线监测：仪表间磷表接收连续、稳定、</w:t>
      </w:r>
      <w:r>
        <w:rPr>
          <w:rFonts w:hint="eastAsia" w:ascii="宋体" w:hAnsi="宋体" w:eastAsia="宋体" w:cs="宋体"/>
          <w:sz w:val="21"/>
          <w:szCs w:val="21"/>
        </w:rPr>
        <w:t>真实的样品水，读数准确反映炉水真实浓度。</w:t>
      </w:r>
    </w:p>
    <w:p w14:paraId="21C57632">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6.3 方案效果预测</w:t>
      </w:r>
    </w:p>
    <w:p w14:paraId="456858F7">
      <w:pPr>
        <w:pageBreakBefore w:val="0"/>
        <w:kinsoku/>
        <w:wordWrap/>
        <w:overflowPunct/>
        <w:topLinePunct w:val="0"/>
        <w:autoSpaceDE/>
        <w:autoSpaceDN/>
        <w:bidi w:val="0"/>
        <w:spacing w:line="400" w:lineRule="exact"/>
        <w:ind w:left="0" w:leftChars="0" w:right="0" w:rightChars="0" w:firstLine="420" w:firstLineChars="200"/>
        <w:jc w:val="both"/>
        <w:textAlignment w:val="auto"/>
        <w:rPr>
          <w:rFonts w:hint="eastAsia" w:ascii="宋体" w:hAnsi="宋体" w:eastAsia="宋体" w:cs="宋体"/>
          <w:b w:val="0"/>
          <w:sz w:val="21"/>
          <w:szCs w:val="21"/>
        </w:rPr>
      </w:pPr>
      <w:r>
        <w:rPr>
          <w:rFonts w:hint="eastAsia" w:ascii="宋体" w:hAnsi="宋体" w:eastAsia="宋体" w:cs="宋体"/>
          <w:b w:val="0"/>
          <w:sz w:val="21"/>
          <w:szCs w:val="21"/>
        </w:rPr>
        <w:t>表4为改造前后的预期效果对比。</w:t>
      </w:r>
    </w:p>
    <w:p w14:paraId="426A88E5">
      <w:pPr>
        <w:pageBreakBefore w:val="0"/>
        <w:kinsoku/>
        <w:wordWrap/>
        <w:overflowPunct/>
        <w:topLinePunct w:val="0"/>
        <w:autoSpaceDE/>
        <w:autoSpaceDN/>
        <w:bidi w:val="0"/>
        <w:spacing w:line="400" w:lineRule="exact"/>
        <w:ind w:left="0" w:leftChars="0" w:right="0" w:rightChars="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表4 改造方案效果对比</w:t>
      </w:r>
    </w:p>
    <w:tbl>
      <w:tblPr>
        <w:tblStyle w:val="20"/>
        <w:tblW w:w="8606"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1257"/>
        <w:gridCol w:w="3584"/>
        <w:gridCol w:w="3765"/>
      </w:tblGrid>
      <w:tr w14:paraId="773A04E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top"/>
          </w:tcPr>
          <w:p w14:paraId="38043EF6">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项目</w:t>
            </w:r>
          </w:p>
        </w:tc>
        <w:tc>
          <w:tcPr>
            <w:tcW w:w="3584"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top"/>
          </w:tcPr>
          <w:p w14:paraId="0BECBCB7">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现状（高温直接输送）</w:t>
            </w:r>
          </w:p>
        </w:tc>
        <w:tc>
          <w:tcPr>
            <w:tcW w:w="3765" w:type="dxa"/>
            <w:tcBorders>
              <w:top w:val="nil"/>
              <w:left w:val="nil"/>
              <w:bottom w:val="single" w:color="000000" w:themeColor="dark1" w:sz="8" w:space="0"/>
              <w:right w:val="nil"/>
            </w:tcBorders>
            <w:shd w:val="clear" w:color="auto" w:fill="FFFFFF"/>
            <w:noWrap w:val="0"/>
            <w:tcMar>
              <w:top w:w="-1" w:type="dxa"/>
              <w:left w:w="-1" w:type="dxa"/>
              <w:bottom w:w="-1" w:type="dxa"/>
              <w:right w:w="-1" w:type="dxa"/>
            </w:tcMar>
            <w:vAlign w:val="top"/>
          </w:tcPr>
          <w:p w14:paraId="413F2F76">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i w:val="0"/>
                <w:color w:val="000000"/>
                <w:sz w:val="18"/>
                <w:szCs w:val="18"/>
                <w:vertAlign w:val="baseline"/>
              </w:rPr>
            </w:pPr>
            <w:r>
              <w:rPr>
                <w:rFonts w:hint="eastAsia" w:ascii="宋体" w:hAnsi="宋体" w:eastAsia="宋体" w:cs="宋体"/>
                <w:b/>
                <w:i w:val="0"/>
                <w:sz w:val="18"/>
                <w:szCs w:val="18"/>
              </w:rPr>
              <w:t>改造后（先冷却后输送）</w:t>
            </w:r>
          </w:p>
        </w:tc>
      </w:tr>
      <w:tr w14:paraId="3E51D2E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000000" w:themeColor="dark1" w:sz="8"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66A626F2">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lang w:val="en-US" w:eastAsia="zh-CN"/>
              </w:rPr>
            </w:pPr>
            <w:r>
              <w:rPr>
                <w:rFonts w:hint="eastAsia" w:ascii="宋体" w:hAnsi="宋体" w:eastAsia="宋体" w:cs="宋体"/>
                <w:b w:val="0"/>
                <w:i w:val="0"/>
                <w:color w:val="000000"/>
                <w:sz w:val="18"/>
                <w:szCs w:val="18"/>
                <w:vertAlign w:val="baseline"/>
                <w:lang w:val="en-US" w:eastAsia="zh-CN"/>
              </w:rPr>
              <w:t>样品状态</w:t>
            </w:r>
          </w:p>
        </w:tc>
        <w:tc>
          <w:tcPr>
            <w:tcW w:w="3584" w:type="dxa"/>
            <w:tcBorders>
              <w:top w:val="single" w:color="000000" w:themeColor="dark1" w:sz="8"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5A0833AB">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汽水两相流，断断续续</w:t>
            </w:r>
          </w:p>
        </w:tc>
        <w:tc>
          <w:tcPr>
            <w:tcW w:w="3765" w:type="dxa"/>
            <w:tcBorders>
              <w:top w:val="single" w:color="000000" w:themeColor="dark1" w:sz="8"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40F03624">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单相液体，连续满管</w:t>
            </w:r>
          </w:p>
        </w:tc>
      </w:tr>
      <w:tr w14:paraId="3F3EB5D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05E822E0">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输送过程</w:t>
            </w:r>
          </w:p>
        </w:tc>
        <w:tc>
          <w:tcPr>
            <w:tcW w:w="3584" w:type="dxa"/>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12AE074F">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闪蒸、分层、水封、液相滞留</w:t>
            </w:r>
          </w:p>
        </w:tc>
        <w:tc>
          <w:tcPr>
            <w:tcW w:w="3765" w:type="dxa"/>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73C1A8E3">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无相变，稳定流动</w:t>
            </w:r>
          </w:p>
        </w:tc>
      </w:tr>
      <w:tr w14:paraId="477EE48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999999" w:themeColor="dark1" w:themeTint="66" w:sz="6"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178EB847">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 xml:space="preserve">管径影响 </w:t>
            </w:r>
          </w:p>
        </w:tc>
        <w:tc>
          <w:tcPr>
            <w:tcW w:w="3584" w:type="dxa"/>
            <w:tcBorders>
              <w:top w:val="single" w:color="999999" w:themeColor="dark1" w:themeTint="66" w:sz="6"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5A50492D">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DN15常规管径仍无法避免失真</w:t>
            </w:r>
          </w:p>
        </w:tc>
        <w:tc>
          <w:tcPr>
            <w:tcW w:w="3765" w:type="dxa"/>
            <w:tcBorders>
              <w:top w:val="single" w:color="999999" w:themeColor="dark1" w:themeTint="66" w:sz="6"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7E4BEF8C">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管径不再重要</w:t>
            </w:r>
          </w:p>
        </w:tc>
      </w:tr>
      <w:tr w14:paraId="2FD29B1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344027F5">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到达终点</w:t>
            </w:r>
          </w:p>
        </w:tc>
        <w:tc>
          <w:tcPr>
            <w:tcW w:w="3584" w:type="dxa"/>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68E23D82">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湿蒸汽+凝结水+间歇水段</w:t>
            </w:r>
          </w:p>
        </w:tc>
        <w:tc>
          <w:tcPr>
            <w:tcW w:w="3765" w:type="dxa"/>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26F01F29">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vertAlign w:val="baseline"/>
              </w:rPr>
            </w:pPr>
            <w:r>
              <w:rPr>
                <w:rFonts w:hint="eastAsia" w:ascii="宋体" w:hAnsi="宋体" w:eastAsia="宋体" w:cs="宋体"/>
                <w:b w:val="0"/>
                <w:i w:val="0"/>
                <w:sz w:val="18"/>
                <w:szCs w:val="18"/>
              </w:rPr>
              <w:t>满管冷水，浓度真实</w:t>
            </w:r>
          </w:p>
        </w:tc>
      </w:tr>
      <w:tr w14:paraId="2D4A485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999999" w:themeColor="dark1" w:themeTint="66" w:sz="6"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7AAA5DB8">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仪表读数</w:t>
            </w:r>
          </w:p>
        </w:tc>
        <w:tc>
          <w:tcPr>
            <w:tcW w:w="3584" w:type="dxa"/>
            <w:tcBorders>
              <w:top w:val="single" w:color="999999" w:themeColor="dark1" w:themeTint="66" w:sz="6"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3F1B5CC0">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持续偏小（1~3 mg/L）</w:t>
            </w:r>
          </w:p>
        </w:tc>
        <w:tc>
          <w:tcPr>
            <w:tcW w:w="3765" w:type="dxa"/>
            <w:tcBorders>
              <w:top w:val="single" w:color="999999" w:themeColor="dark1" w:themeTint="66" w:sz="6" w:space="0"/>
              <w:left w:val="nil"/>
              <w:bottom w:val="single" w:color="999999" w:themeColor="dark1" w:themeTint="66" w:sz="6" w:space="0"/>
              <w:right w:val="nil"/>
            </w:tcBorders>
            <w:shd w:val="clear" w:color="auto" w:fill="FFFFFF"/>
            <w:noWrap w:val="0"/>
            <w:tcMar>
              <w:top w:w="-1" w:type="dxa"/>
              <w:left w:w="-1" w:type="dxa"/>
              <w:bottom w:w="-1" w:type="dxa"/>
              <w:right w:w="-1" w:type="dxa"/>
            </w:tcMar>
            <w:vAlign w:val="top"/>
          </w:tcPr>
          <w:p w14:paraId="7C5E9549">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准确反映真实浓度（8~10 mg/L）</w:t>
            </w:r>
          </w:p>
        </w:tc>
      </w:tr>
      <w:tr w14:paraId="3BB2CFF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34A7D519">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测量偏差</w:t>
            </w:r>
          </w:p>
        </w:tc>
        <w:tc>
          <w:tcPr>
            <w:tcW w:w="3584" w:type="dxa"/>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3685F7EC">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-70%~-80%</w:t>
            </w:r>
          </w:p>
        </w:tc>
        <w:tc>
          <w:tcPr>
            <w:tcW w:w="3765" w:type="dxa"/>
            <w:tcBorders>
              <w:top w:val="single" w:color="999999" w:themeColor="dark1" w:themeTint="66" w:sz="6" w:space="0"/>
              <w:left w:val="nil"/>
              <w:bottom w:val="single" w:color="999999" w:themeColor="dark1" w:themeTint="66" w:sz="6" w:space="0"/>
              <w:right w:val="nil"/>
            </w:tcBorders>
            <w:shd w:val="clear" w:color="auto" w:fill="F2F2F2"/>
            <w:noWrap w:val="0"/>
            <w:tcMar>
              <w:top w:w="-1" w:type="dxa"/>
              <w:left w:w="-1" w:type="dxa"/>
              <w:bottom w:w="-1" w:type="dxa"/>
              <w:right w:w="-1" w:type="dxa"/>
            </w:tcMar>
            <w:vAlign w:val="top"/>
          </w:tcPr>
          <w:p w14:paraId="072037F5">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&lt;±5%</w:t>
            </w:r>
          </w:p>
        </w:tc>
      </w:tr>
      <w:tr w14:paraId="5E2B38A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1257" w:type="dxa"/>
            <w:tcBorders>
              <w:top w:val="single" w:color="999999" w:themeColor="dark1" w:themeTint="66" w:sz="6" w:space="0"/>
              <w:left w:val="nil"/>
              <w:bottom w:val="single" w:color="000000" w:themeColor="dark1" w:sz="8" w:space="0"/>
              <w:right w:val="nil"/>
            </w:tcBorders>
            <w:shd w:val="clear" w:color="auto" w:fill="FFFFFF"/>
            <w:noWrap w:val="0"/>
            <w:tcMar>
              <w:top w:w="-1" w:type="dxa"/>
              <w:left w:w="-1" w:type="dxa"/>
              <w:bottom w:w="-1" w:type="dxa"/>
              <w:right w:w="-1" w:type="dxa"/>
            </w:tcMar>
            <w:vAlign w:val="top"/>
          </w:tcPr>
          <w:p w14:paraId="08A189C2">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 xml:space="preserve">距离影响 </w:t>
            </w:r>
          </w:p>
        </w:tc>
        <w:tc>
          <w:tcPr>
            <w:tcW w:w="3584" w:type="dxa"/>
            <w:tcBorders>
              <w:top w:val="single" w:color="999999" w:themeColor="dark1" w:themeTint="66" w:sz="6" w:space="0"/>
              <w:left w:val="nil"/>
              <w:bottom w:val="single" w:color="000000" w:themeColor="dark1" w:sz="8" w:space="0"/>
              <w:right w:val="nil"/>
            </w:tcBorders>
            <w:shd w:val="clear" w:color="auto" w:fill="FFFFFF"/>
            <w:noWrap w:val="0"/>
            <w:tcMar>
              <w:top w:w="-1" w:type="dxa"/>
              <w:left w:w="-1" w:type="dxa"/>
              <w:bottom w:w="-1" w:type="dxa"/>
              <w:right w:w="-1" w:type="dxa"/>
            </w:tcMar>
            <w:vAlign w:val="top"/>
          </w:tcPr>
          <w:p w14:paraId="48602E9D">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500米必然失真</w:t>
            </w:r>
          </w:p>
        </w:tc>
        <w:tc>
          <w:tcPr>
            <w:tcW w:w="3765" w:type="dxa"/>
            <w:tcBorders>
              <w:top w:val="single" w:color="999999" w:themeColor="dark1" w:themeTint="66" w:sz="6" w:space="0"/>
              <w:left w:val="nil"/>
              <w:bottom w:val="single" w:color="000000" w:themeColor="dark1" w:sz="8" w:space="0"/>
              <w:right w:val="nil"/>
            </w:tcBorders>
            <w:shd w:val="clear" w:color="auto" w:fill="FFFFFF"/>
            <w:noWrap w:val="0"/>
            <w:tcMar>
              <w:top w:w="-1" w:type="dxa"/>
              <w:left w:w="-1" w:type="dxa"/>
              <w:bottom w:w="-1" w:type="dxa"/>
              <w:right w:w="-1" w:type="dxa"/>
            </w:tcMar>
            <w:vAlign w:val="top"/>
          </w:tcPr>
          <w:p w14:paraId="7971F143">
            <w:pPr>
              <w:keepNext/>
              <w:pageBreakBefore w:val="0"/>
              <w:kinsoku/>
              <w:wordWrap/>
              <w:overflowPunct/>
              <w:topLinePunct w:val="0"/>
              <w:autoSpaceDE/>
              <w:autoSpaceDN/>
              <w:bidi w:val="0"/>
              <w:snapToGrid w:val="0"/>
              <w:spacing w:line="400" w:lineRule="exact"/>
              <w:textAlignment w:val="auto"/>
              <w:rPr>
                <w:rFonts w:hint="eastAsia" w:ascii="宋体" w:hAnsi="宋体" w:eastAsia="宋体" w:cs="宋体"/>
                <w:b w:val="0"/>
                <w:i w:val="0"/>
                <w:color w:val="000000"/>
                <w:sz w:val="18"/>
                <w:szCs w:val="18"/>
              </w:rPr>
            </w:pPr>
            <w:r>
              <w:rPr>
                <w:rFonts w:hint="eastAsia" w:ascii="宋体" w:hAnsi="宋体" w:eastAsia="宋体" w:cs="宋体"/>
                <w:b w:val="0"/>
                <w:i w:val="0"/>
                <w:color w:val="000000"/>
                <w:sz w:val="18"/>
                <w:szCs w:val="18"/>
              </w:rPr>
              <w:t>500米可正常输送</w:t>
            </w:r>
          </w:p>
        </w:tc>
      </w:tr>
    </w:tbl>
    <w:p w14:paraId="733F96B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7 结论</w:t>
      </w:r>
    </w:p>
    <w:p w14:paraId="07B13CE6">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（1）磷酸三钠为非挥发性物质，在锅炉水汽系统中仅存在于液相，汽液分配系数趋近于零。任何导致样品汽化的因素，都会使磷酸根测量值失真——这是本研究的物理基础。</w:t>
      </w:r>
    </w:p>
    <w:p w14:paraId="3AA2D8CF">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（2）0.55 M</w:t>
      </w:r>
      <w:r>
        <w:rPr>
          <w:rFonts w:hint="eastAsia" w:ascii="宋体" w:hAnsi="宋体" w:eastAsia="宋体" w:cs="宋体"/>
          <w:sz w:val="21"/>
          <w:szCs w:val="21"/>
          <w:lang w:val="en-US" w:eastAsia="zh-CN"/>
        </w:rPr>
        <w:t>pa</w:t>
      </w:r>
      <w:r>
        <w:rPr>
          <w:rFonts w:hint="eastAsia" w:ascii="宋体" w:hAnsi="宋体" w:eastAsia="宋体" w:cs="宋体"/>
          <w:sz w:val="21"/>
          <w:szCs w:val="21"/>
        </w:rPr>
        <w:t>锅炉500米连排取样（DN15）磷酸根监测数据持续偏小的根本原因，在于高温样品长距离输送过程中发生闪蒸、汽液分离、液相沿途滞留，导致取样系统接收的是“断断续续”的汽水混合物，其中有水段为真实锅水，无水段为凝结水，连续收集后被严重稀释。</w:t>
      </w:r>
    </w:p>
    <w:p w14:paraId="4CC19A99">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（3）现场观察到的“断断续续”水流，以及50米对比锅炉的连续满管流动，为理论分析提供了直接物理证据和最强对照。分段水样分析表明，有水段浓度8.5 mg/L，无水段浓度0.2 mg/L，连续收集样品仅2.1 mg/L，偏差达75.3%。</w:t>
      </w:r>
    </w:p>
    <w:p w14:paraId="5D76B25F">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（4）本案例采用DN15常规管径，排除了“管径过小”作为主因的可能性，使“距离是根本原因”的结论更加纯粹和具有普遍意义。相同管径下，50米安全、500米失真，证明了距离的决定性作用。</w:t>
      </w:r>
    </w:p>
    <w:p w14:paraId="073F0A33">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sz w:val="21"/>
          <w:szCs w:val="21"/>
        </w:rPr>
        <w:t>（5）实际运行压力0.55 M</w:t>
      </w:r>
      <w:r>
        <w:rPr>
          <w:rFonts w:hint="eastAsia" w:ascii="宋体" w:hAnsi="宋体" w:eastAsia="宋体" w:cs="宋体"/>
          <w:sz w:val="21"/>
          <w:szCs w:val="21"/>
          <w:lang w:val="en-US" w:eastAsia="zh-CN"/>
        </w:rPr>
        <w:t>pa</w:t>
      </w:r>
      <w:r>
        <w:rPr>
          <w:rFonts w:hint="eastAsia" w:ascii="宋体" w:hAnsi="宋体" w:eastAsia="宋体" w:cs="宋体"/>
          <w:sz w:val="21"/>
          <w:szCs w:val="21"/>
        </w:rPr>
        <w:t>低于设计压力0.8 M</w:t>
      </w:r>
      <w:r>
        <w:rPr>
          <w:rFonts w:hint="eastAsia" w:ascii="宋体" w:hAnsi="宋体" w:eastAsia="宋体" w:cs="宋体"/>
          <w:sz w:val="21"/>
          <w:szCs w:val="21"/>
          <w:lang w:val="en-US" w:eastAsia="zh-CN"/>
        </w:rPr>
        <w:t>pa</w:t>
      </w:r>
      <w:r>
        <w:rPr>
          <w:rFonts w:hint="eastAsia" w:ascii="宋体" w:hAnsi="宋体" w:eastAsia="宋体" w:cs="宋体"/>
          <w:sz w:val="21"/>
          <w:szCs w:val="21"/>
        </w:rPr>
        <w:t>，使问题更加突出——起点压力更低，相同压降下闪蒸更严重。但这也恰恰说明：长距离输送的矛盾在不同压力下普遍存在，本研究的结论具有广泛适用性。</w:t>
      </w:r>
    </w:p>
    <w:p w14:paraId="315FAE03">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b w:val="0"/>
          <w:bCs w:val="0"/>
          <w:sz w:val="21"/>
          <w:szCs w:val="21"/>
        </w:rPr>
      </w:pPr>
      <w:r>
        <w:rPr>
          <w:rFonts w:hint="eastAsia" w:ascii="宋体" w:hAnsi="宋体" w:eastAsia="宋体" w:cs="宋体"/>
          <w:b w:val="0"/>
          <w:bCs w:val="0"/>
          <w:sz w:val="21"/>
          <w:szCs w:val="21"/>
        </w:rPr>
        <w:t>（6）传统调整措施（改变流量、坡度等）只能部分缓解问题，无法根治。唯有遵循“先冷却，后输送”原则，在取样源头增设高效冷却器，将“长距离高温输送”转变为“长距离低温输送”，才能从根本上消除相变干扰，保障监测数据的真实可靠。</w:t>
      </w:r>
    </w:p>
    <w:p w14:paraId="0089F98D">
      <w:pPr>
        <w:pageBreakBefore w:val="0"/>
        <w:kinsoku/>
        <w:wordWrap/>
        <w:overflowPunct/>
        <w:topLinePunct w:val="0"/>
        <w:autoSpaceDE/>
        <w:autoSpaceDN/>
        <w:bidi w:val="0"/>
        <w:snapToGrid/>
        <w:spacing w:beforeAutospacing="0" w:afterAutospacing="0" w:line="400" w:lineRule="exact"/>
        <w:ind w:left="0" w:leftChars="0" w:right="0" w:rightChars="0" w:firstLine="420" w:firstLineChars="200"/>
        <w:jc w:val="both"/>
        <w:textAlignment w:val="auto"/>
        <w:rPr>
          <w:rFonts w:hint="eastAsia" w:ascii="宋体" w:hAnsi="宋体" w:eastAsia="宋体" w:cs="宋体"/>
          <w:sz w:val="21"/>
          <w:szCs w:val="21"/>
        </w:rPr>
      </w:pPr>
    </w:p>
    <w:p w14:paraId="58BB53D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2BB25363">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[1] 李培元. 火力发电厂水处理及水质控制[M]. 北京: 中国电力出版社, 2008: 235-240.</w:t>
      </w:r>
    </w:p>
    <w:p w14:paraId="13D11D72">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[2] 哈燕萍, 陈洪杰. 发电厂水汽取样装置运行现状及改进方向研究[J]. 全面腐蚀控制, 2023, 37(10): 68-75.</w:t>
      </w:r>
    </w:p>
    <w:p w14:paraId="5AF7AD29">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[3] 丁桓如. 锅炉水处理初步设计[M]. 北京: 水利电力出版社, 1990: 156-162.</w:t>
      </w:r>
    </w:p>
    <w:p w14:paraId="349D6303">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[4] 张晓, 张立杰, 王渤, 等. 9H级燃机水汽系统化学控制和监测设计与优化[J]. 南方能源建设, 2026, 13(2): 45-52.</w:t>
      </w:r>
    </w:p>
    <w:p w14:paraId="455C3980">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[5] 周本省. 工业水处理技术[M]. 北京: 化学工业出版社, 2010: 389-395.</w:t>
      </w:r>
    </w:p>
    <w:p w14:paraId="03CD20C9">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[6] 国家市场监督管理总局</w:t>
      </w:r>
      <w:r>
        <w:rPr>
          <w:rFonts w:hint="eastAsia" w:ascii="宋体" w:hAnsi="宋体" w:eastAsia="宋体" w:cs="宋体"/>
          <w:sz w:val="21"/>
          <w:szCs w:val="21"/>
          <w:lang w:eastAsia="zh-CN"/>
        </w:rPr>
        <w:t>。</w:t>
      </w:r>
      <w:r>
        <w:rPr>
          <w:rFonts w:hint="eastAsia" w:ascii="宋体" w:hAnsi="宋体" w:eastAsia="宋体" w:cs="宋体"/>
          <w:sz w:val="21"/>
          <w:szCs w:val="21"/>
        </w:rPr>
        <w:t xml:space="preserve"> GB/T 1576-2018 工业锅炉水质[S]. 北京: 中国标准出版社, 2018.</w:t>
      </w:r>
    </w:p>
    <w:p w14:paraId="4ED735B1">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[7] Mandhane J M, Gregory G A, Aziz K. A flow pattern map for gas—liquid flow in horizontal pipes[J]. International Journal of Multiphase Flow, 1974, 1(4): 537-553.</w:t>
      </w:r>
    </w:p>
    <w:p w14:paraId="0EB0B893">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[8] 国家质量监督检验检疫总局</w:t>
      </w:r>
      <w:r>
        <w:rPr>
          <w:rFonts w:hint="eastAsia" w:ascii="宋体" w:hAnsi="宋体" w:eastAsia="宋体" w:cs="宋体"/>
          <w:sz w:val="21"/>
          <w:szCs w:val="21"/>
          <w:lang w:eastAsia="zh-CN"/>
        </w:rPr>
        <w:t>。</w:t>
      </w:r>
      <w:r>
        <w:rPr>
          <w:rFonts w:hint="eastAsia" w:ascii="宋体" w:hAnsi="宋体" w:eastAsia="宋体" w:cs="宋体"/>
          <w:sz w:val="21"/>
          <w:szCs w:val="21"/>
        </w:rPr>
        <w:t xml:space="preserve"> GB/T 6913-2008 锅炉用水和冷却水分析方法 磷酸盐的测定[S]. 北京: 中国标准出版社, 2008.</w:t>
      </w:r>
    </w:p>
    <w:p w14:paraId="78DE6DE5">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[9] 肖克</w:t>
      </w:r>
      <w:r>
        <w:rPr>
          <w:rFonts w:hint="eastAsia" w:ascii="宋体" w:hAnsi="宋体" w:eastAsia="宋体" w:cs="宋体"/>
          <w:sz w:val="21"/>
          <w:szCs w:val="21"/>
          <w:lang w:eastAsia="zh-CN"/>
        </w:rPr>
        <w:t>，</w:t>
      </w:r>
      <w:r>
        <w:rPr>
          <w:rFonts w:hint="eastAsia" w:ascii="宋体" w:hAnsi="宋体" w:eastAsia="宋体" w:cs="宋体"/>
          <w:sz w:val="21"/>
          <w:szCs w:val="21"/>
        </w:rPr>
        <w:t xml:space="preserve"> 姚欢龙</w:t>
      </w:r>
      <w:r>
        <w:rPr>
          <w:rFonts w:hint="eastAsia" w:ascii="宋体" w:hAnsi="宋体" w:eastAsia="宋体" w:cs="宋体"/>
          <w:sz w:val="21"/>
          <w:szCs w:val="21"/>
          <w:lang w:eastAsia="zh-CN"/>
        </w:rPr>
        <w:t>。</w:t>
      </w:r>
      <w:r>
        <w:rPr>
          <w:rFonts w:hint="eastAsia" w:ascii="宋体" w:hAnsi="宋体" w:eastAsia="宋体" w:cs="宋体"/>
          <w:sz w:val="21"/>
          <w:szCs w:val="21"/>
        </w:rPr>
        <w:t xml:space="preserve"> 机组启动期间水汽取样技术研究[C]//中国电机工程学会青年学术会议论文集</w:t>
      </w:r>
      <w:r>
        <w:rPr>
          <w:rFonts w:hint="eastAsia" w:ascii="宋体" w:hAnsi="宋体" w:eastAsia="宋体" w:cs="宋体"/>
          <w:sz w:val="21"/>
          <w:szCs w:val="21"/>
          <w:lang w:eastAsia="zh-CN"/>
        </w:rPr>
        <w:t>。</w:t>
      </w:r>
      <w:r>
        <w:rPr>
          <w:rFonts w:hint="eastAsia" w:ascii="宋体" w:hAnsi="宋体" w:eastAsia="宋体" w:cs="宋体"/>
          <w:sz w:val="21"/>
          <w:szCs w:val="21"/>
        </w:rPr>
        <w:t xml:space="preserve"> 北京</w:t>
      </w:r>
      <w:r>
        <w:rPr>
          <w:rFonts w:hint="eastAsia" w:ascii="宋体" w:hAnsi="宋体" w:eastAsia="宋体" w:cs="宋体"/>
          <w:sz w:val="21"/>
          <w:szCs w:val="21"/>
          <w:lang w:eastAsia="zh-CN"/>
        </w:rPr>
        <w:t>：</w:t>
      </w:r>
      <w:r>
        <w:rPr>
          <w:rFonts w:hint="eastAsia" w:ascii="宋体" w:hAnsi="宋体" w:eastAsia="宋体" w:cs="宋体"/>
          <w:sz w:val="21"/>
          <w:szCs w:val="21"/>
        </w:rPr>
        <w:t xml:space="preserve"> 中国电机工程学会</w:t>
      </w:r>
      <w:r>
        <w:rPr>
          <w:rFonts w:hint="eastAsia" w:ascii="宋体" w:hAnsi="宋体" w:eastAsia="宋体" w:cs="宋体"/>
          <w:sz w:val="21"/>
          <w:szCs w:val="21"/>
          <w:lang w:eastAsia="zh-CN"/>
        </w:rPr>
        <w:t>，</w:t>
      </w:r>
      <w:r>
        <w:rPr>
          <w:rFonts w:hint="eastAsia" w:ascii="宋体" w:hAnsi="宋体" w:eastAsia="宋体" w:cs="宋体"/>
          <w:sz w:val="21"/>
          <w:szCs w:val="21"/>
        </w:rPr>
        <w:t xml:space="preserve"> 2020: 234-239.</w:t>
      </w:r>
    </w:p>
    <w:p w14:paraId="5192451E">
      <w:pPr>
        <w:pageBreakBefore w:val="0"/>
        <w:kinsoku/>
        <w:wordWrap/>
        <w:overflowPunct/>
        <w:topLinePunct w:val="0"/>
        <w:autoSpaceDE/>
        <w:autoSpaceDN/>
        <w:bidi w:val="0"/>
        <w:snapToGrid/>
        <w:spacing w:beforeAutospacing="0" w:afterAutospacing="0" w:line="400" w:lineRule="exact"/>
        <w:ind w:left="0" w:leftChars="0" w:right="0" w:rightChars="0" w:firstLine="0" w:firstLineChars="0"/>
        <w:jc w:val="both"/>
        <w:textAlignment w:val="auto"/>
        <w:rPr>
          <w:rFonts w:hint="eastAsia" w:ascii="宋体" w:hAnsi="宋体" w:eastAsia="宋体" w:cs="宋体"/>
          <w:sz w:val="21"/>
          <w:szCs w:val="21"/>
        </w:rPr>
      </w:pPr>
      <w:r>
        <w:rPr>
          <w:rFonts w:hint="eastAsia" w:ascii="宋体" w:hAnsi="宋体" w:eastAsia="宋体" w:cs="宋体"/>
          <w:sz w:val="21"/>
          <w:szCs w:val="21"/>
        </w:rPr>
        <w:t>[10] Hewitt G F. Annular Two-Phase Flow[M]. Oxford: Pergamon Press, 1970: 78-85.</w:t>
      </w:r>
    </w:p>
    <w:p w14:paraId="2BC257B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附：主要符号表</w:t>
      </w:r>
    </w:p>
    <w:tbl>
      <w:tblPr>
        <w:tblStyle w:val="19"/>
        <w:tblW w:w="8603"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0" w:type="dxa"/>
          <w:bottom w:w="0" w:type="dxa"/>
          <w:right w:w="0" w:type="dxa"/>
        </w:tblCellMar>
      </w:tblPr>
      <w:tblGrid>
        <w:gridCol w:w="1639"/>
        <w:gridCol w:w="3797"/>
        <w:gridCol w:w="3167"/>
      </w:tblGrid>
      <w:tr w14:paraId="57D9286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tblHeader/>
          <w:jc w:val="center"/>
        </w:trPr>
        <w:tc>
          <w:tcPr>
            <w:tcW w:w="0" w:type="auto"/>
            <w:tcBorders>
              <w:top w:val="single" w:color="auto" w:sz="12" w:space="0"/>
              <w:left w:val="single" w:color="auto" w:sz="12" w:space="0"/>
              <w:bottom w:val="nil"/>
              <w:right w:val="nil"/>
            </w:tcBorders>
            <w:noWrap w:val="0"/>
            <w:tcMar>
              <w:top w:w="-1" w:type="dxa"/>
              <w:left w:w="108" w:type="dxa"/>
              <w:bottom w:w="-1" w:type="dxa"/>
              <w:right w:w="108" w:type="dxa"/>
            </w:tcMar>
            <w:vAlign w:val="center"/>
          </w:tcPr>
          <w:p w14:paraId="640C78E7">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符号</w:t>
            </w:r>
          </w:p>
        </w:tc>
        <w:tc>
          <w:tcPr>
            <w:tcW w:w="0" w:type="auto"/>
            <w:tcBorders>
              <w:top w:val="single" w:color="auto" w:sz="12" w:space="0"/>
              <w:left w:val="single" w:color="auto" w:sz="4" w:space="0"/>
              <w:bottom w:val="nil"/>
              <w:right w:val="nil"/>
            </w:tcBorders>
            <w:noWrap w:val="0"/>
            <w:tcMar>
              <w:top w:w="-1" w:type="dxa"/>
              <w:left w:w="108" w:type="dxa"/>
              <w:bottom w:w="-1" w:type="dxa"/>
              <w:right w:w="108" w:type="dxa"/>
            </w:tcMar>
            <w:vAlign w:val="center"/>
          </w:tcPr>
          <w:p w14:paraId="1088D1F0">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含义</w:t>
            </w:r>
          </w:p>
        </w:tc>
        <w:tc>
          <w:tcPr>
            <w:tcW w:w="3167" w:type="dxa"/>
            <w:tcBorders>
              <w:top w:val="single" w:color="auto" w:sz="12" w:space="0"/>
              <w:left w:val="single" w:color="auto" w:sz="4" w:space="0"/>
              <w:bottom w:val="nil"/>
              <w:right w:val="single" w:color="auto" w:sz="12" w:space="0"/>
            </w:tcBorders>
            <w:noWrap w:val="0"/>
            <w:tcMar>
              <w:top w:w="-1" w:type="dxa"/>
              <w:left w:w="108" w:type="dxa"/>
              <w:bottom w:w="-1" w:type="dxa"/>
              <w:right w:w="108" w:type="dxa"/>
            </w:tcMar>
            <w:vAlign w:val="center"/>
          </w:tcPr>
          <w:p w14:paraId="55EBE683">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单位</w:t>
            </w:r>
          </w:p>
        </w:tc>
      </w:tr>
      <w:tr w14:paraId="38F686A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01600C2C">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K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590756C3">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汽液分配系数</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64B123A2">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w:t>
            </w:r>
          </w:p>
        </w:tc>
      </w:tr>
      <w:tr w14:paraId="065BAA7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7CED6969">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C</w:t>
            </w:r>
            <w:r>
              <w:rPr>
                <w:rFonts w:hint="eastAsia" w:ascii="宋体" w:hAnsi="宋体" w:eastAsia="宋体" w:cs="宋体"/>
                <w:sz w:val="18"/>
                <w:szCs w:val="18"/>
                <w:vertAlign w:val="subscript"/>
              </w:rPr>
              <w:t xml:space="preserve">g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0B0ED0A8">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汽相浓度</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6A8444FF">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mg/L</w:t>
            </w:r>
          </w:p>
        </w:tc>
      </w:tr>
      <w:tr w14:paraId="196AD4E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6A21EE12">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C</w:t>
            </w:r>
            <w:r>
              <w:rPr>
                <w:rFonts w:hint="eastAsia" w:ascii="宋体" w:hAnsi="宋体" w:eastAsia="宋体" w:cs="宋体"/>
                <w:sz w:val="18"/>
                <w:szCs w:val="18"/>
                <w:vertAlign w:val="subscript"/>
              </w:rPr>
              <w:t xml:space="preserve">l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63ABF09A">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液相浓度</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2F246BEA">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mg/L</w:t>
            </w:r>
          </w:p>
        </w:tc>
      </w:tr>
      <w:tr w14:paraId="4E8EFF5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78738318">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rPr>
              <w:t>Δ</w:t>
            </w:r>
            <w:r>
              <w:rPr>
                <w:rFonts w:hint="eastAsia" w:ascii="宋体" w:hAnsi="宋体" w:eastAsia="宋体" w:cs="宋体"/>
                <w:sz w:val="18"/>
                <w:szCs w:val="18"/>
                <w:lang w:val="en-US" w:eastAsia="zh-CN"/>
              </w:rPr>
              <w:t>P</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67836ED2">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沿程压降</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22C86DD2">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pa</w:t>
            </w:r>
            <w:r>
              <w:rPr>
                <w:rFonts w:hint="eastAsia" w:ascii="宋体" w:hAnsi="宋体" w:eastAsia="宋体" w:cs="宋体"/>
                <w:sz w:val="18"/>
                <w:szCs w:val="18"/>
              </w:rPr>
              <w:t xml:space="preserve"> 或 M</w:t>
            </w:r>
            <w:r>
              <w:rPr>
                <w:rFonts w:hint="eastAsia" w:ascii="宋体" w:hAnsi="宋体" w:eastAsia="宋体" w:cs="宋体"/>
                <w:sz w:val="18"/>
                <w:szCs w:val="18"/>
                <w:lang w:val="en-US" w:eastAsia="zh-CN"/>
              </w:rPr>
              <w:t>pa</w:t>
            </w:r>
          </w:p>
        </w:tc>
      </w:tr>
      <w:tr w14:paraId="76A02A4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2504DCDB">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f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3D119F0A">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摩擦系数</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432E6FDA">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w:t>
            </w:r>
          </w:p>
        </w:tc>
      </w:tr>
      <w:tr w14:paraId="1AD841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3B788982">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L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4C7A723F">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管长</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0E956CB4">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m</w:t>
            </w:r>
          </w:p>
        </w:tc>
      </w:tr>
      <w:tr w14:paraId="2C78DCD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56B6BAF4">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D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3D6D5C31">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管径</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5D945E2C">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m</w:t>
            </w:r>
          </w:p>
        </w:tc>
      </w:tr>
      <w:tr w14:paraId="4F26104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7757A0FC">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ρ</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1F02C817">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密度</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0D6E7167">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kg/m³</w:t>
            </w:r>
          </w:p>
        </w:tc>
      </w:tr>
      <w:tr w14:paraId="40226E6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3D1157C2">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ν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2D147DF4">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流速</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5F0A46CA">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m/s</w:t>
            </w:r>
          </w:p>
        </w:tc>
      </w:tr>
      <w:tr w14:paraId="7685B2F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4F0CB44B">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P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379CB4DE">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压力</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4526588F">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pa</w:t>
            </w:r>
            <w:r>
              <w:rPr>
                <w:rFonts w:hint="eastAsia" w:ascii="宋体" w:hAnsi="宋体" w:eastAsia="宋体" w:cs="宋体"/>
                <w:sz w:val="18"/>
                <w:szCs w:val="18"/>
              </w:rPr>
              <w:t xml:space="preserve"> 或 M</w:t>
            </w:r>
            <w:r>
              <w:rPr>
                <w:rFonts w:hint="eastAsia" w:ascii="宋体" w:hAnsi="宋体" w:eastAsia="宋体" w:cs="宋体"/>
                <w:sz w:val="18"/>
                <w:szCs w:val="18"/>
                <w:lang w:val="en-US" w:eastAsia="zh-CN"/>
              </w:rPr>
              <w:t>pa</w:t>
            </w:r>
          </w:p>
        </w:tc>
      </w:tr>
      <w:tr w14:paraId="30E8266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0AA11F10">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P</w:t>
            </w:r>
            <w:r>
              <w:rPr>
                <w:rFonts w:hint="eastAsia" w:ascii="宋体" w:hAnsi="宋体" w:eastAsia="宋体" w:cs="宋体"/>
                <w:sz w:val="18"/>
                <w:szCs w:val="18"/>
                <w:vertAlign w:val="subscript"/>
              </w:rPr>
              <w:t>sat</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15F87CC5">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饱和压力</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1FE4412B">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pa</w:t>
            </w:r>
            <w:r>
              <w:rPr>
                <w:rFonts w:hint="eastAsia" w:ascii="宋体" w:hAnsi="宋体" w:eastAsia="宋体" w:cs="宋体"/>
                <w:sz w:val="18"/>
                <w:szCs w:val="18"/>
              </w:rPr>
              <w:t>或 M</w:t>
            </w:r>
            <w:r>
              <w:rPr>
                <w:rFonts w:hint="eastAsia" w:ascii="宋体" w:hAnsi="宋体" w:eastAsia="宋体" w:cs="宋体"/>
                <w:sz w:val="18"/>
                <w:szCs w:val="18"/>
                <w:lang w:val="en-US" w:eastAsia="zh-CN"/>
              </w:rPr>
              <w:t>pa</w:t>
            </w:r>
          </w:p>
        </w:tc>
      </w:tr>
      <w:tr w14:paraId="0A5376C5">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1811560E">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T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7A67520D">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温度</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63EE196B">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w:t>
            </w:r>
          </w:p>
        </w:tc>
      </w:tr>
      <w:tr w14:paraId="16570B7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388FF0FE">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Fr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28011FDD">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Froude数</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74633111">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w:t>
            </w:r>
          </w:p>
        </w:tc>
      </w:tr>
      <w:tr w14:paraId="4FF83B0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0" w:type="auto"/>
            <w:tcBorders>
              <w:top w:val="single" w:color="auto" w:sz="4" w:space="0"/>
              <w:left w:val="single" w:color="auto" w:sz="12" w:space="0"/>
              <w:bottom w:val="nil"/>
              <w:right w:val="nil"/>
            </w:tcBorders>
            <w:noWrap w:val="0"/>
            <w:tcMar>
              <w:top w:w="-1" w:type="dxa"/>
              <w:left w:w="108" w:type="dxa"/>
              <w:bottom w:w="-1" w:type="dxa"/>
              <w:right w:w="108" w:type="dxa"/>
            </w:tcMar>
            <w:vAlign w:val="center"/>
          </w:tcPr>
          <w:p w14:paraId="5AFDBA24">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Q </w:t>
            </w:r>
          </w:p>
        </w:tc>
        <w:tc>
          <w:tcPr>
            <w:tcW w:w="0" w:type="auto"/>
            <w:tcBorders>
              <w:top w:val="single" w:color="auto" w:sz="4" w:space="0"/>
              <w:left w:val="single" w:color="auto" w:sz="4" w:space="0"/>
              <w:bottom w:val="nil"/>
              <w:right w:val="nil"/>
            </w:tcBorders>
            <w:noWrap w:val="0"/>
            <w:tcMar>
              <w:top w:w="-1" w:type="dxa"/>
              <w:left w:w="108" w:type="dxa"/>
              <w:bottom w:w="-1" w:type="dxa"/>
              <w:right w:w="108" w:type="dxa"/>
            </w:tcMar>
            <w:vAlign w:val="center"/>
          </w:tcPr>
          <w:p w14:paraId="261A8B5F">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体积流量</w:t>
            </w:r>
          </w:p>
        </w:tc>
        <w:tc>
          <w:tcPr>
            <w:tcW w:w="3167" w:type="dxa"/>
            <w:tcBorders>
              <w:top w:val="single" w:color="auto" w:sz="4" w:space="0"/>
              <w:left w:val="single" w:color="auto" w:sz="4" w:space="0"/>
              <w:bottom w:val="nil"/>
              <w:right w:val="single" w:color="auto" w:sz="12" w:space="0"/>
            </w:tcBorders>
            <w:noWrap w:val="0"/>
            <w:tcMar>
              <w:top w:w="-1" w:type="dxa"/>
              <w:left w:w="108" w:type="dxa"/>
              <w:bottom w:w="-1" w:type="dxa"/>
              <w:right w:w="108" w:type="dxa"/>
            </w:tcMar>
            <w:vAlign w:val="center"/>
          </w:tcPr>
          <w:p w14:paraId="053E281F">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m³/s</w:t>
            </w:r>
          </w:p>
        </w:tc>
      </w:tr>
      <w:tr w14:paraId="029AD60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0" w:type="dxa"/>
            <w:bottom w:w="0" w:type="dxa"/>
            <w:right w:w="0" w:type="dxa"/>
          </w:tblCellMar>
        </w:tblPrEx>
        <w:trPr>
          <w:trHeight w:val="0" w:hRule="atLeast"/>
          <w:jc w:val="center"/>
        </w:trPr>
        <w:tc>
          <w:tcPr>
            <w:tcW w:w="1639" w:type="dxa"/>
            <w:tcBorders>
              <w:top w:val="single" w:color="auto" w:sz="4" w:space="0"/>
              <w:left w:val="single" w:color="auto" w:sz="12" w:space="0"/>
              <w:bottom w:val="single" w:color="auto" w:sz="12" w:space="0"/>
              <w:right w:val="nil"/>
            </w:tcBorders>
            <w:noWrap w:val="0"/>
            <w:tcMar>
              <w:top w:w="-1" w:type="dxa"/>
              <w:left w:w="108" w:type="dxa"/>
              <w:bottom w:w="-1" w:type="dxa"/>
              <w:right w:w="108" w:type="dxa"/>
            </w:tcMar>
            <w:vAlign w:val="center"/>
          </w:tcPr>
          <w:p w14:paraId="748F3E1D">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 xml:space="preserve">A </w:t>
            </w:r>
          </w:p>
        </w:tc>
        <w:tc>
          <w:tcPr>
            <w:tcW w:w="3797" w:type="dxa"/>
            <w:tcBorders>
              <w:top w:val="single" w:color="auto" w:sz="4" w:space="0"/>
              <w:left w:val="single" w:color="auto" w:sz="4" w:space="0"/>
              <w:bottom w:val="single" w:color="auto" w:sz="12" w:space="0"/>
              <w:right w:val="nil"/>
            </w:tcBorders>
            <w:noWrap w:val="0"/>
            <w:tcMar>
              <w:top w:w="-1" w:type="dxa"/>
              <w:left w:w="108" w:type="dxa"/>
              <w:bottom w:w="-1" w:type="dxa"/>
              <w:right w:w="108" w:type="dxa"/>
            </w:tcMar>
            <w:vAlign w:val="center"/>
          </w:tcPr>
          <w:p w14:paraId="5E3D1627">
            <w:pPr>
              <w:pageBreakBefore w:val="0"/>
              <w:kinsoku/>
              <w:wordWrap/>
              <w:overflowPunct/>
              <w:topLinePunct w:val="0"/>
              <w:autoSpaceDE/>
              <w:autoSpaceDN/>
              <w:bidi w:val="0"/>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截面积</w:t>
            </w:r>
          </w:p>
        </w:tc>
        <w:tc>
          <w:tcPr>
            <w:tcW w:w="3167" w:type="dxa"/>
            <w:tcBorders>
              <w:top w:val="single" w:color="auto" w:sz="4" w:space="0"/>
              <w:left w:val="single" w:color="auto" w:sz="4" w:space="0"/>
              <w:bottom w:val="single" w:color="auto" w:sz="12" w:space="0"/>
              <w:right w:val="single" w:color="auto" w:sz="12" w:space="0"/>
            </w:tcBorders>
            <w:noWrap w:val="0"/>
            <w:tcMar>
              <w:top w:w="-1" w:type="dxa"/>
              <w:left w:w="108" w:type="dxa"/>
              <w:bottom w:w="-1" w:type="dxa"/>
              <w:right w:w="108" w:type="dxa"/>
            </w:tcMar>
            <w:vAlign w:val="center"/>
          </w:tcPr>
          <w:p w14:paraId="0C6A6CB0">
            <w:pPr>
              <w:pageBreakBefore w:val="0"/>
              <w:kinsoku/>
              <w:wordWrap/>
              <w:overflowPunct/>
              <w:topLinePunct w:val="0"/>
              <w:autoSpaceDE/>
              <w:autoSpaceDN/>
              <w:bidi w:val="0"/>
              <w:snapToGrid w:val="0"/>
              <w:spacing w:line="400" w:lineRule="exact"/>
              <w:ind w:left="0" w:leftChars="0" w:right="0" w:rightChars="0" w:firstLine="0" w:firstLineChars="0"/>
              <w:jc w:val="left"/>
              <w:textAlignment w:val="auto"/>
              <w:rPr>
                <w:rFonts w:hint="eastAsia" w:ascii="宋体" w:hAnsi="宋体" w:eastAsia="宋体" w:cs="宋体"/>
                <w:sz w:val="18"/>
                <w:szCs w:val="18"/>
              </w:rPr>
            </w:pPr>
            <w:r>
              <w:rPr>
                <w:rFonts w:hint="eastAsia" w:ascii="宋体" w:hAnsi="宋体" w:eastAsia="宋体" w:cs="宋体"/>
                <w:sz w:val="18"/>
                <w:szCs w:val="18"/>
              </w:rPr>
              <w:t>m²</w:t>
            </w:r>
          </w:p>
        </w:tc>
      </w:tr>
    </w:tbl>
    <w:p w14:paraId="3AD3794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Cambria Math">
    <w:panose1 w:val="02040503050406030204"/>
    <w:charset w:val="00"/>
    <w:family w:val="auto"/>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C1B044"/>
    <w:multiLevelType w:val="singleLevel"/>
    <w:tmpl w:val="BAC1B044"/>
    <w:lvl w:ilvl="0" w:tentative="0">
      <w:start w:val="1"/>
      <w:numFmt w:val="bullet"/>
      <w:lvlText w:val=""/>
      <w:lvlJc w:val="left"/>
      <w:pPr>
        <w:ind w:left="720" w:hanging="360"/>
      </w:pPr>
      <w:rPr>
        <w:rFonts w:hint="default" w:ascii="Symbol" w:hAnsi="Symbol" w:cs="Symbol"/>
        <w:sz w:val="20"/>
      </w:rPr>
    </w:lvl>
  </w:abstractNum>
  <w:abstractNum w:abstractNumId="1">
    <w:nsid w:val="C5568731"/>
    <w:multiLevelType w:val="singleLevel"/>
    <w:tmpl w:val="C5568731"/>
    <w:lvl w:ilvl="0" w:tentative="0">
      <w:start w:val="1"/>
      <w:numFmt w:val="bullet"/>
      <w:lvlText w:val=""/>
      <w:lvlJc w:val="left"/>
      <w:pPr>
        <w:ind w:left="720" w:hanging="360"/>
      </w:pPr>
      <w:rPr>
        <w:rFonts w:hint="default" w:ascii="Symbol" w:hAnsi="Symbol" w:cs="Symbol"/>
        <w:sz w:val="20"/>
      </w:rPr>
    </w:lvl>
  </w:abstractNum>
  <w:abstractNum w:abstractNumId="2">
    <w:nsid w:val="C569E82F"/>
    <w:multiLevelType w:val="singleLevel"/>
    <w:tmpl w:val="C569E82F"/>
    <w:lvl w:ilvl="0" w:tentative="0">
      <w:start w:val="1"/>
      <w:numFmt w:val="bullet"/>
      <w:lvlText w:val=""/>
      <w:lvlJc w:val="left"/>
      <w:pPr>
        <w:ind w:left="720" w:hanging="360"/>
      </w:pPr>
      <w:rPr>
        <w:rFonts w:hint="default" w:ascii="Symbol" w:hAnsi="Symbol" w:cs="Symbol"/>
        <w:sz w:val="20"/>
      </w:rPr>
    </w:lvl>
  </w:abstractNum>
  <w:abstractNum w:abstractNumId="3">
    <w:nsid w:val="CD659161"/>
    <w:multiLevelType w:val="singleLevel"/>
    <w:tmpl w:val="CD659161"/>
    <w:lvl w:ilvl="0" w:tentative="0">
      <w:start w:val="1"/>
      <w:numFmt w:val="bullet"/>
      <w:lvlText w:val=""/>
      <w:lvlJc w:val="left"/>
      <w:pPr>
        <w:ind w:left="720" w:hanging="360"/>
      </w:pPr>
      <w:rPr>
        <w:rFonts w:hint="default" w:ascii="Symbol" w:hAnsi="Symbol" w:cs="Symbol"/>
        <w:sz w:val="20"/>
      </w:rPr>
    </w:lvl>
  </w:abstractNum>
  <w:abstractNum w:abstractNumId="4">
    <w:nsid w:val="25B5EE93"/>
    <w:multiLevelType w:val="singleLevel"/>
    <w:tmpl w:val="25B5EE93"/>
    <w:lvl w:ilvl="0" w:tentative="0">
      <w:start w:val="1"/>
      <w:numFmt w:val="bullet"/>
      <w:lvlText w:val=""/>
      <w:lvlJc w:val="left"/>
      <w:pPr>
        <w:ind w:left="720" w:hanging="360"/>
      </w:pPr>
      <w:rPr>
        <w:rFonts w:hint="default" w:ascii="Symbol" w:hAnsi="Symbol" w:cs="Symbol"/>
        <w:sz w:val="20"/>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76276"/>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E461C3"/>
    <w:rsid w:val="1EFE3E02"/>
    <w:rsid w:val="1F78690B"/>
    <w:rsid w:val="1FA40E26"/>
    <w:rsid w:val="20181E55"/>
    <w:rsid w:val="20200F8C"/>
    <w:rsid w:val="204B20BB"/>
    <w:rsid w:val="204F1D62"/>
    <w:rsid w:val="205C7FDB"/>
    <w:rsid w:val="20CA763A"/>
    <w:rsid w:val="21294361"/>
    <w:rsid w:val="21661758"/>
    <w:rsid w:val="227635D6"/>
    <w:rsid w:val="22BA5BB9"/>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A07CFE"/>
    <w:rsid w:val="29F55569"/>
    <w:rsid w:val="2A6D1762"/>
    <w:rsid w:val="2A9C2048"/>
    <w:rsid w:val="2AF37C49"/>
    <w:rsid w:val="2C1A3224"/>
    <w:rsid w:val="2C5F332D"/>
    <w:rsid w:val="2CDC497D"/>
    <w:rsid w:val="2DA03BFD"/>
    <w:rsid w:val="2DA336ED"/>
    <w:rsid w:val="2DD45655"/>
    <w:rsid w:val="2E7221A8"/>
    <w:rsid w:val="2E9D638E"/>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192144"/>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A1529C"/>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62EF9"/>
    <w:rsid w:val="465515D1"/>
    <w:rsid w:val="468E4AE3"/>
    <w:rsid w:val="46F54E2D"/>
    <w:rsid w:val="46FD57C4"/>
    <w:rsid w:val="47925F0D"/>
    <w:rsid w:val="47A143DA"/>
    <w:rsid w:val="47E81E53"/>
    <w:rsid w:val="47EC64AA"/>
    <w:rsid w:val="48A028AB"/>
    <w:rsid w:val="48B545A9"/>
    <w:rsid w:val="495C0DBE"/>
    <w:rsid w:val="49CB1BAA"/>
    <w:rsid w:val="4A070E34"/>
    <w:rsid w:val="4A4F4589"/>
    <w:rsid w:val="4AB60164"/>
    <w:rsid w:val="4B57157B"/>
    <w:rsid w:val="4B8E06C7"/>
    <w:rsid w:val="4BBC0C4D"/>
    <w:rsid w:val="4C934BC0"/>
    <w:rsid w:val="4CFB09F8"/>
    <w:rsid w:val="4D057181"/>
    <w:rsid w:val="4D447CA9"/>
    <w:rsid w:val="4D5123C6"/>
    <w:rsid w:val="4D6B792C"/>
    <w:rsid w:val="4DA16EA9"/>
    <w:rsid w:val="4DAF7614"/>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673238"/>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E97DCB"/>
    <w:rsid w:val="57EF1159"/>
    <w:rsid w:val="583059FA"/>
    <w:rsid w:val="5847689F"/>
    <w:rsid w:val="58532B2C"/>
    <w:rsid w:val="58984204"/>
    <w:rsid w:val="58C47EF0"/>
    <w:rsid w:val="59285798"/>
    <w:rsid w:val="596F60AE"/>
    <w:rsid w:val="5A2A0227"/>
    <w:rsid w:val="5A7B0A82"/>
    <w:rsid w:val="5B0311A3"/>
    <w:rsid w:val="5BB5218E"/>
    <w:rsid w:val="5BFE5E0F"/>
    <w:rsid w:val="5CAA564F"/>
    <w:rsid w:val="5D885990"/>
    <w:rsid w:val="5E361890"/>
    <w:rsid w:val="5EDA046D"/>
    <w:rsid w:val="5EE237C6"/>
    <w:rsid w:val="5EFF7ED4"/>
    <w:rsid w:val="5F7679C4"/>
    <w:rsid w:val="5F7F2DC3"/>
    <w:rsid w:val="5FBF1411"/>
    <w:rsid w:val="601A09BC"/>
    <w:rsid w:val="60395667"/>
    <w:rsid w:val="60AA0313"/>
    <w:rsid w:val="610D33E8"/>
    <w:rsid w:val="61156BE3"/>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3D0609"/>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17FB1"/>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6"/>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7"/>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8"/>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21">
    <w:name w:val="Default Paragraph Font"/>
    <w:autoRedefine/>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basedOn w:val="1"/>
    <w:autoRedefine/>
    <w:qFormat/>
    <w:uiPriority w:val="0"/>
    <w:pPr>
      <w:spacing w:after="120" w:afterLines="0" w:afterAutospacing="0"/>
    </w:pPr>
  </w:style>
  <w:style w:type="paragraph" w:styleId="9">
    <w:name w:val="Body Text Indent"/>
    <w:basedOn w:val="1"/>
    <w:next w:val="10"/>
    <w:qFormat/>
    <w:uiPriority w:val="0"/>
    <w:pPr>
      <w:spacing w:after="120" w:afterLines="0" w:afterAutospacing="0"/>
      <w:ind w:left="420" w:leftChars="200"/>
    </w:pPr>
  </w:style>
  <w:style w:type="paragraph" w:customStyle="1" w:styleId="10">
    <w:name w:val="样式 正文文本缩进 + 行距: 1.5 倍行距"/>
    <w:basedOn w:val="1"/>
    <w:qFormat/>
    <w:uiPriority w:val="0"/>
    <w:pPr>
      <w:spacing w:after="120"/>
      <w:ind w:left="90" w:leftChars="32" w:firstLine="560"/>
    </w:pPr>
    <w:rPr>
      <w:rFonts w:cs="宋体"/>
    </w:rPr>
  </w:style>
  <w:style w:type="paragraph" w:styleId="11">
    <w:name w:val="footer"/>
    <w:basedOn w:val="1"/>
    <w:link w:val="31"/>
    <w:autoRedefine/>
    <w:unhideWhenUsed/>
    <w:qFormat/>
    <w:uiPriority w:val="99"/>
    <w:pPr>
      <w:tabs>
        <w:tab w:val="center" w:pos="4153"/>
        <w:tab w:val="right" w:pos="8306"/>
      </w:tabs>
      <w:snapToGrid w:val="0"/>
      <w:jc w:val="left"/>
    </w:pPr>
    <w:rPr>
      <w:sz w:val="18"/>
      <w:szCs w:val="18"/>
    </w:rPr>
  </w:style>
  <w:style w:type="paragraph" w:styleId="12">
    <w:name w:val="header"/>
    <w:basedOn w:val="1"/>
    <w:link w:val="3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3"/>
    <w:autoRedefine/>
    <w:qFormat/>
    <w:uiPriority w:val="0"/>
    <w:pPr>
      <w:spacing w:line="400" w:lineRule="exact"/>
      <w:jc w:val="center"/>
    </w:pPr>
    <w:rPr>
      <w:rFonts w:ascii="Calibri" w:hAnsi="Calibri" w:eastAsia="楷体" w:cs="Times New Roman"/>
      <w:b/>
      <w:bCs/>
      <w:kern w:val="28"/>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5"/>
    <w:next w:val="1"/>
    <w:link w:val="29"/>
    <w:qFormat/>
    <w:uiPriority w:val="10"/>
    <w:pPr>
      <w:adjustRightInd w:val="0"/>
      <w:snapToGrid w:val="0"/>
      <w:spacing w:before="0" w:after="0" w:line="360" w:lineRule="auto"/>
      <w:jc w:val="center"/>
    </w:pPr>
    <w:rPr>
      <w:rFonts w:ascii="黑体" w:hAnsi="黑体" w:eastAsia="黑体" w:cs="黑体"/>
      <w:sz w:val="24"/>
      <w:szCs w:val="24"/>
    </w:rPr>
  </w:style>
  <w:style w:type="paragraph" w:styleId="16">
    <w:name w:val="annotation subject"/>
    <w:basedOn w:val="7"/>
    <w:next w:val="7"/>
    <w:qFormat/>
    <w:uiPriority w:val="0"/>
    <w:rPr>
      <w:b/>
      <w:bCs/>
    </w:rPr>
  </w:style>
  <w:style w:type="paragraph" w:styleId="17">
    <w:name w:val="Body Text First Indent"/>
    <w:basedOn w:val="8"/>
    <w:autoRedefine/>
    <w:qFormat/>
    <w:uiPriority w:val="0"/>
    <w:pPr>
      <w:ind w:firstLine="420" w:firstLineChars="100"/>
    </w:pPr>
  </w:style>
  <w:style w:type="paragraph" w:styleId="18">
    <w:name w:val="Body Text First Indent 2"/>
    <w:basedOn w:val="9"/>
    <w:next w:val="1"/>
    <w:qFormat/>
    <w:uiPriority w:val="0"/>
    <w:pPr>
      <w:ind w:firstLine="420" w:firstLineChars="200"/>
    </w:pPr>
  </w:style>
  <w:style w:type="table" w:styleId="20">
    <w:name w:val="Table Grid"/>
    <w:basedOn w:val="19"/>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paragraph" w:customStyle="1" w:styleId="24">
    <w:name w:val="0正文"/>
    <w:basedOn w:val="1"/>
    <w:qFormat/>
    <w:uiPriority w:val="0"/>
    <w:pPr>
      <w:ind w:firstLine="480" w:firstLineChars="200"/>
    </w:pPr>
  </w:style>
  <w:style w:type="character" w:customStyle="1" w:styleId="25">
    <w:name w:val="标题 2 字符"/>
    <w:basedOn w:val="21"/>
    <w:autoRedefine/>
    <w:semiHidden/>
    <w:qFormat/>
    <w:uiPriority w:val="9"/>
    <w:rPr>
      <w:rFonts w:asciiTheme="majorHAnsi" w:hAnsiTheme="majorHAnsi" w:eastAsiaTheme="majorEastAsia" w:cstheme="majorBidi"/>
      <w:b/>
      <w:bCs/>
      <w:sz w:val="32"/>
      <w:szCs w:val="32"/>
    </w:rPr>
  </w:style>
  <w:style w:type="character" w:customStyle="1" w:styleId="26">
    <w:name w:val="标题 2 字符1"/>
    <w:link w:val="3"/>
    <w:autoRedefine/>
    <w:qFormat/>
    <w:uiPriority w:val="9"/>
    <w:rPr>
      <w:rFonts w:ascii="宋体" w:hAnsi="宋体" w:eastAsia="宋体" w:cs="宋体"/>
      <w:b/>
      <w:bCs/>
      <w:kern w:val="0"/>
      <w:sz w:val="28"/>
      <w:szCs w:val="28"/>
    </w:rPr>
  </w:style>
  <w:style w:type="character" w:customStyle="1" w:styleId="27">
    <w:name w:val="标题 3 字符"/>
    <w:basedOn w:val="21"/>
    <w:link w:val="4"/>
    <w:autoRedefine/>
    <w:semiHidden/>
    <w:qFormat/>
    <w:uiPriority w:val="9"/>
    <w:rPr>
      <w:b/>
      <w:bCs/>
      <w:sz w:val="32"/>
      <w:szCs w:val="32"/>
    </w:rPr>
  </w:style>
  <w:style w:type="character" w:customStyle="1" w:styleId="28">
    <w:name w:val="标题 4 字符"/>
    <w:basedOn w:val="21"/>
    <w:link w:val="5"/>
    <w:autoRedefine/>
    <w:semiHidden/>
    <w:qFormat/>
    <w:uiPriority w:val="9"/>
    <w:rPr>
      <w:rFonts w:asciiTheme="majorHAnsi" w:hAnsiTheme="majorHAnsi" w:eastAsiaTheme="majorEastAsia" w:cstheme="majorBidi"/>
      <w:b/>
      <w:bCs/>
      <w:sz w:val="28"/>
      <w:szCs w:val="28"/>
    </w:rPr>
  </w:style>
  <w:style w:type="character" w:customStyle="1" w:styleId="29">
    <w:name w:val="标题 字符"/>
    <w:basedOn w:val="21"/>
    <w:link w:val="15"/>
    <w:autoRedefine/>
    <w:qFormat/>
    <w:uiPriority w:val="10"/>
    <w:rPr>
      <w:rFonts w:ascii="黑体" w:hAnsi="黑体" w:eastAsia="黑体" w:cs="黑体"/>
      <w:b/>
      <w:bCs/>
      <w:sz w:val="24"/>
      <w:szCs w:val="24"/>
    </w:rPr>
  </w:style>
  <w:style w:type="character" w:customStyle="1" w:styleId="30">
    <w:name w:val="页眉 字符"/>
    <w:basedOn w:val="21"/>
    <w:link w:val="12"/>
    <w:autoRedefine/>
    <w:qFormat/>
    <w:uiPriority w:val="99"/>
    <w:rPr>
      <w:sz w:val="18"/>
      <w:szCs w:val="18"/>
    </w:rPr>
  </w:style>
  <w:style w:type="character" w:customStyle="1" w:styleId="31">
    <w:name w:val="页脚 字符"/>
    <w:basedOn w:val="21"/>
    <w:link w:val="11"/>
    <w:autoRedefine/>
    <w:qFormat/>
    <w:uiPriority w:val="99"/>
    <w:rPr>
      <w:sz w:val="18"/>
      <w:szCs w:val="18"/>
    </w:rPr>
  </w:style>
  <w:style w:type="character" w:customStyle="1" w:styleId="32">
    <w:name w:val="标题 1 字符"/>
    <w:basedOn w:val="21"/>
    <w:link w:val="2"/>
    <w:autoRedefine/>
    <w:qFormat/>
    <w:uiPriority w:val="0"/>
    <w:rPr>
      <w:rFonts w:ascii="Calibri" w:hAnsi="Calibri" w:eastAsia="宋体" w:cs="Times New Roman"/>
      <w:b/>
      <w:bCs/>
      <w:kern w:val="44"/>
      <w:sz w:val="44"/>
      <w:szCs w:val="44"/>
    </w:rPr>
  </w:style>
  <w:style w:type="character" w:customStyle="1" w:styleId="33">
    <w:name w:val="副标题 字符"/>
    <w:basedOn w:val="21"/>
    <w:link w:val="13"/>
    <w:autoRedefine/>
    <w:qFormat/>
    <w:uiPriority w:val="0"/>
    <w:rPr>
      <w:rFonts w:ascii="Calibri" w:hAnsi="Calibri" w:eastAsia="楷体" w:cs="Times New Roman"/>
      <w:b/>
      <w:bCs/>
      <w:kern w:val="28"/>
      <w:szCs w:val="32"/>
    </w:rPr>
  </w:style>
  <w:style w:type="paragraph" w:styleId="34">
    <w:name w:val="List Paragraph"/>
    <w:basedOn w:val="1"/>
    <w:autoRedefine/>
    <w:qFormat/>
    <w:uiPriority w:val="34"/>
    <w:pPr>
      <w:ind w:firstLine="420" w:firstLineChars="200"/>
    </w:pPr>
  </w:style>
  <w:style w:type="paragraph" w:customStyle="1" w:styleId="35">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6">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7">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8">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9">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40">
    <w:name w:val="font31"/>
    <w:basedOn w:val="21"/>
    <w:qFormat/>
    <w:uiPriority w:val="0"/>
    <w:rPr>
      <w:rFonts w:hint="eastAsia" w:ascii="华文楷体" w:hAnsi="华文楷体" w:eastAsia="华文楷体" w:cs="华文楷体"/>
      <w:color w:val="000000"/>
      <w:sz w:val="22"/>
      <w:szCs w:val="22"/>
      <w:u w:val="none"/>
      <w:vertAlign w:val="subscript"/>
    </w:rPr>
  </w:style>
  <w:style w:type="character" w:customStyle="1" w:styleId="41">
    <w:name w:val="font21"/>
    <w:basedOn w:val="21"/>
    <w:qFormat/>
    <w:uiPriority w:val="0"/>
    <w:rPr>
      <w:rFonts w:hint="eastAsia" w:ascii="华文楷体" w:hAnsi="华文楷体" w:eastAsia="华文楷体" w:cs="华文楷体"/>
      <w:color w:val="000000"/>
      <w:sz w:val="22"/>
      <w:szCs w:val="22"/>
      <w:u w:val="none"/>
    </w:rPr>
  </w:style>
  <w:style w:type="character" w:customStyle="1" w:styleId="42">
    <w:name w:val="font41"/>
    <w:basedOn w:val="21"/>
    <w:qFormat/>
    <w:uiPriority w:val="0"/>
    <w:rPr>
      <w:rFonts w:hint="eastAsia" w:ascii="华文楷体" w:hAnsi="华文楷体" w:eastAsia="华文楷体" w:cs="华文楷体"/>
      <w:color w:val="000000"/>
      <w:sz w:val="22"/>
      <w:szCs w:val="22"/>
      <w:u w:val="none"/>
      <w:vertAlign w:val="superscript"/>
    </w:rPr>
  </w:style>
  <w:style w:type="character" w:customStyle="1" w:styleId="43">
    <w:name w:val="font11"/>
    <w:basedOn w:val="21"/>
    <w:qFormat/>
    <w:uiPriority w:val="0"/>
    <w:rPr>
      <w:rFonts w:hint="eastAsia" w:ascii="华文楷体" w:hAnsi="华文楷体" w:eastAsia="华文楷体" w:cs="华文楷体"/>
      <w:color w:val="000000"/>
      <w:sz w:val="22"/>
      <w:szCs w:val="22"/>
      <w:u w:val="none"/>
    </w:rPr>
  </w:style>
  <w:style w:type="paragraph" w:customStyle="1" w:styleId="44">
    <w:name w:val="EndNote Bibliography"/>
    <w:basedOn w:val="1"/>
    <w:autoRedefine/>
    <w:qFormat/>
    <w:uiPriority w:val="0"/>
    <w:pPr>
      <w:ind w:firstLine="200" w:firstLineChars="200"/>
      <w:jc w:val="left"/>
    </w:pPr>
    <w:rPr>
      <w:sz w:val="20"/>
    </w:rPr>
  </w:style>
  <w:style w:type="paragraph" w:customStyle="1" w:styleId="45">
    <w:name w:val="列出段落1"/>
    <w:basedOn w:val="1"/>
    <w:qFormat/>
    <w:uiPriority w:val="34"/>
    <w:pPr>
      <w:ind w:firstLine="420" w:firstLineChars="200"/>
    </w:pPr>
  </w:style>
  <w:style w:type="paragraph" w:customStyle="1" w:styleId="46">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6104</Words>
  <Characters>7124</Characters>
  <Lines>35</Lines>
  <Paragraphs>9</Paragraphs>
  <TotalTime>18</TotalTime>
  <ScaleCrop>false</ScaleCrop>
  <LinksUpToDate>false</LinksUpToDate>
  <CharactersWithSpaces>7382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2026-06-15T07:22:17Z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