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7E9B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</w:p>
    <w:p w14:paraId="5CF4F49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bookmarkStart w:id="0" w:name="heading_0"/>
      <w:r>
        <w:rPr>
          <w:rFonts w:hint="eastAsia" w:ascii="隶书" w:hAnsi="隶书" w:eastAsia="隶书" w:cs="隶书"/>
          <w:lang w:val="en-US" w:eastAsia="zh-CN"/>
        </w:rPr>
        <w:t>一种高分子量高密度聚乙烯材料在</w:t>
      </w:r>
    </w:p>
    <w:p w14:paraId="4EDE33F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r>
        <w:rPr>
          <w:rFonts w:hint="eastAsia" w:ascii="隶书" w:hAnsi="隶书" w:eastAsia="隶书" w:cs="隶书"/>
          <w:lang w:val="en-US" w:eastAsia="zh-CN"/>
        </w:rPr>
        <w:t>磷化工厂区排水管网中的应用研究</w:t>
      </w:r>
    </w:p>
    <w:p w14:paraId="6CAFD5B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default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余顺龙 蔡礼斌</w:t>
      </w:r>
    </w:p>
    <w:p w14:paraId="6B589FA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云南三环中化化肥有限公司</w:t>
      </w:r>
    </w:p>
    <w:p w14:paraId="3AE845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 w14:paraId="47025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both"/>
        <w:textAlignment w:val="auto"/>
        <w:outlineLvl w:val="0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</w:rPr>
        <w:t>摘要</w:t>
      </w:r>
      <w:bookmarkEnd w:id="0"/>
      <w:r>
        <w:rPr>
          <w:rFonts w:hint="eastAsia" w:ascii="宋体" w:hAnsi="宋体" w:eastAsia="宋体" w:cs="宋体"/>
          <w:b/>
          <w:bCs w:val="0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本研究采用高分子量高密度聚乙烯（HMWHDPE）双波峰加筋增强缠绕结构壁排水管进行替换改造。工程运行表明，新材料具备优异的耐腐蚀性与结构强度，彻底解决了管网渗漏及不明渗水问题，显著提升了雨水收集效率与环保合规性，并大幅降低运维成本。该材料在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具有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腐蚀性化工地下排水场景中具有良好的适用性，可为同类企业管网升级提供参考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。</w:t>
      </w:r>
    </w:p>
    <w:p w14:paraId="34ACE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</w:rPr>
        <w:t>关键词：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雨水管网改造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高分子量高密度聚乙烯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雨污分流 防渗</w:t>
      </w:r>
    </w:p>
    <w:p w14:paraId="7D075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outlineLvl w:val="0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bookmarkStart w:id="1" w:name="heading_1"/>
    </w:p>
    <w:p w14:paraId="000E2B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both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0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 xml:space="preserve"> </w:t>
      </w:r>
      <w:bookmarkEnd w:id="1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引言</w:t>
      </w:r>
    </w:p>
    <w:p w14:paraId="45773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《长江保护法》正式实施后，国家将长江流域总磷污染治理作为水环境防控核心任务，“三磷”行业专项排查整治实现常态化、全覆盖，监管重点聚焦企业雨污分流成效、初期雨水收集处理、管网防渗及地下水污染防控等关键环节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superscript"/>
        </w:rPr>
        <w:t>[1]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。生态环境部相关文件明确要求，磷化工企业必须完善雨水收集管网，杜绝含磷雨水渗漏、混流，确保废水与雨水规范收集、达标处置，全面压实企业水污染防治主体责任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superscript"/>
        </w:rPr>
        <w:t>[2]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。在此监管形势下，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厂区很多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老旧雨水管网已无法满足现行环保标准与规范要求，管网改造成为磷化工企业防控环境风险、筑牢环保基础的刚需工程。</w:t>
      </w:r>
    </w:p>
    <w:p w14:paraId="5AD29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本次研究对象为某中型磷化工企业，厂区主要从事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硫酸、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磷肥及磷酸盐相关产品生产，初期雨水管网全线采用钢筋混凝土排水管，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囊括了硫酸、磷酸生产单元、磷铵合成装置、厂区主干交通干道以及化学品存储罐区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。经现场排查，原有混凝土管网运行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二十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年来，受磷化工特殊工况影响，出现多项突出问题：</w:t>
      </w:r>
    </w:p>
    <w:p w14:paraId="4AAC307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25" w:firstLineChars="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管材腐蚀破损严重：磷化工厂区雨水多夹带磷酸粉尘、微量酸性物料，呈弱酸性，而混凝土为碱性多孔材料，酸性介质长期渗透会溶解水泥石、破坏内部结构，同时硫酸盐类物质与混凝土反应产生膨胀应力，加剧管壁开裂、剥落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superscript"/>
        </w:rPr>
        <w:t>[3]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。部分管段出现明显裂缝、露骨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破洞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，结构完整性大幅下降。</w:t>
      </w:r>
    </w:p>
    <w:p w14:paraId="55B3FA9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25" w:firstLineChars="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接口密封失效，渗漏问题突出：混凝土管采用水泥砂浆抹带刚性接口，抗沉降能力差，厂区局部软土地基不均匀沉降导致接口错位、开裂，既出现管内雨水外渗污染土壤与地下水，又存在地下水、土壤水渗入管网，造成渗水来源不明，干扰雨水收集与回用计量，违背雨污分流管控要求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superscript"/>
        </w:rPr>
        <w:t>[4]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。</w:t>
      </w:r>
    </w:p>
    <w:p w14:paraId="421B2EF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25" w:firstLineChars="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运维难度大，成本居高不下：混凝土管内壁粗糙，易附着磷渣、粉尘等杂质，淤积堵塞频发，每年需多次清淤疏通；破损点分散且隐蔽，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受空间限制，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维修难度大、周期长，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安全风险高，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运维成本持续偏高。</w:t>
      </w:r>
    </w:p>
    <w:p w14:paraId="0DC2821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25" w:firstLineChars="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环境风险突出：含磷雨水渗漏极易造成周边土壤总磷超标，触碰环保监管红线，同时不明渗水无法溯源，存在应急处置与日常管理双重风险，不符合“三磷”整治闭环管理要求。</w:t>
      </w:r>
    </w:p>
    <w:p w14:paraId="31A14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本研究通过在雨水管网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改造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中应用高分子量高密度聚乙烯材料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管材，重点验证其在磷化工腐蚀工况下的应用效果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彻底解决管网破损、不明渗水及外排风险，保障管网整体密闭完好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提升管网耐腐蚀、抗沉降性能，延长使用寿命，夯实企业环保管理基础，满足《长江保护法》及“三磷”常态化监管新标准、新规范，消除潜在管理风险、应急风险与使用风险。</w:t>
      </w:r>
    </w:p>
    <w:p w14:paraId="415C53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both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" w:name="heading_5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1 </w:t>
      </w:r>
      <w:bookmarkEnd w:id="2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高分子量高密度聚乙烯技术特性分析</w:t>
      </w:r>
    </w:p>
    <w:p w14:paraId="789FE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本次改造选用的高分子量高密度聚乙烯（HMWHDPE）双波峰加筋增强缠绕结构壁排水管，是一种平均分子量高于普通HDPE的聚乙烯材料，其性能较传统HDPE有显著提升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针对磷化工厂区弱酸性腐蚀、地基不均匀沉降、重载碾压等特殊工况，相比传统混凝土管具备多重不可替代的优势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superscript"/>
        </w:rPr>
        <w:t>[5]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。</w:t>
      </w:r>
    </w:p>
    <w:p w14:paraId="389669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bookmarkStart w:id="3" w:name="heading_6"/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耐化学腐蚀性能</w:t>
      </w:r>
      <w:bookmarkEnd w:id="3"/>
    </w:p>
    <w:p w14:paraId="3ADEA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HMWHDPE基材分子量远超普通HDPE，化学稳定性极强，可耐受pH值2-12的酸碱介质长期侵蚀，针对磷化工厂区弱酸性初期雨水、含磷粉尘及土壤中的盐分、硫酸盐等腐蚀介质，具备良好的抗腐蚀、抗老化能力，不生锈、不降解、不被侵蚀，能够耐受多种腐蚀性介质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从根源上解决混凝土管材易被酸性介质腐蚀破损的痛点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superscript"/>
        </w:rPr>
        <w:t>[6]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。管材无电化学腐蚀特性，适配厂区地下复杂土壤环境，长期使用性能稳定。根据标准要求，管材内层壁在氯化钠溶液、硝酸溶液、氢氧化钠溶液等化学试剂中浸泡后，质量变化可控制在±0.1～±0.3mg/cm²的范围内。</w:t>
      </w:r>
    </w:p>
    <w:p w14:paraId="23AB1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bookmarkStart w:id="4" w:name="heading_7"/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双波峰结构，高环刚度与高柔韧性兼具</w:t>
      </w:r>
      <w:bookmarkEnd w:id="4"/>
    </w:p>
    <w:p w14:paraId="46CFA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管材采用双波峰加筋缠绕成型工艺，外壁双层波浪加强筋搭配内部支撑结构，形成中空力学结构，环刚度可达到SN8-SN1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等多个等级，可承受厂区道路重载碾压、深覆土外部压力，不易变形、塌陷；同时管材具备优异的柔性，环柔性达标率100%，可适应厂区软土地基不均匀沉降、轻微地震等工况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不会出现刚性混凝土管的开裂、错位问题，适配磷化工厂区复杂地质条件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superscript"/>
        </w:rPr>
        <w:t>[7]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。</w:t>
      </w:r>
    </w:p>
    <w:p w14:paraId="5EDCE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2" w:firstLineChars="200"/>
        <w:jc w:val="center"/>
        <w:textAlignment w:val="auto"/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表1 双波峰加筋缠绕管材等级性能表</w:t>
      </w:r>
    </w:p>
    <w:tbl>
      <w:tblPr>
        <w:tblStyle w:val="18"/>
        <w:tblW w:w="8289" w:type="dxa"/>
        <w:tblInd w:w="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9"/>
        <w:gridCol w:w="2179"/>
        <w:gridCol w:w="4341"/>
      </w:tblGrid>
      <w:tr w14:paraId="0EFFE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Align w:val="center"/>
          </w:tcPr>
          <w:p w14:paraId="3AFE44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公称环刚度等级</w:t>
            </w:r>
          </w:p>
        </w:tc>
        <w:tc>
          <w:tcPr>
            <w:tcW w:w="2179" w:type="dxa"/>
            <w:vAlign w:val="center"/>
          </w:tcPr>
          <w:p w14:paraId="0ED321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环刚度标准值（kN/m²）</w:t>
            </w:r>
          </w:p>
        </w:tc>
        <w:tc>
          <w:tcPr>
            <w:tcW w:w="4341" w:type="dxa"/>
            <w:vAlign w:val="center"/>
          </w:tcPr>
          <w:p w14:paraId="56B276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核心承载能力</w:t>
            </w:r>
          </w:p>
        </w:tc>
      </w:tr>
      <w:tr w14:paraId="5C2FE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Align w:val="center"/>
          </w:tcPr>
          <w:p w14:paraId="163D366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SN8</w:t>
            </w:r>
          </w:p>
        </w:tc>
        <w:tc>
          <w:tcPr>
            <w:tcW w:w="2179" w:type="dxa"/>
            <w:vAlign w:val="center"/>
          </w:tcPr>
          <w:p w14:paraId="6A53C5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≥8</w:t>
            </w:r>
          </w:p>
        </w:tc>
        <w:tc>
          <w:tcPr>
            <w:tcW w:w="4341" w:type="dxa"/>
            <w:vAlign w:val="center"/>
          </w:tcPr>
          <w:p w14:paraId="1354490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可承受浅覆土（≤3m）外部压力，可抵御小型车辆碾压，不易变形</w:t>
            </w:r>
          </w:p>
        </w:tc>
      </w:tr>
      <w:tr w14:paraId="5DD3C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Align w:val="center"/>
          </w:tcPr>
          <w:p w14:paraId="35EE8B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SN10</w:t>
            </w:r>
          </w:p>
        </w:tc>
        <w:tc>
          <w:tcPr>
            <w:tcW w:w="2179" w:type="dxa"/>
            <w:vAlign w:val="center"/>
          </w:tcPr>
          <w:p w14:paraId="280759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≥10</w:t>
            </w:r>
          </w:p>
        </w:tc>
        <w:tc>
          <w:tcPr>
            <w:tcW w:w="4341" w:type="dxa"/>
            <w:vAlign w:val="center"/>
          </w:tcPr>
          <w:p w14:paraId="5D9BC3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可承受中深覆土（3-5m）外部压力，可抵御中型车辆碾压，抗塌陷能力较强</w:t>
            </w:r>
          </w:p>
        </w:tc>
      </w:tr>
      <w:tr w14:paraId="6FA44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Align w:val="center"/>
          </w:tcPr>
          <w:p w14:paraId="2DC346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SN12.5</w:t>
            </w:r>
          </w:p>
        </w:tc>
        <w:tc>
          <w:tcPr>
            <w:tcW w:w="2179" w:type="dxa"/>
            <w:vAlign w:val="center"/>
          </w:tcPr>
          <w:p w14:paraId="6B118E5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≥12.5</w:t>
            </w:r>
          </w:p>
        </w:tc>
        <w:tc>
          <w:tcPr>
            <w:tcW w:w="4341" w:type="dxa"/>
            <w:vAlign w:val="center"/>
          </w:tcPr>
          <w:p w14:paraId="0968C5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可承受深覆土（5-8m）外部压力，可抵御重型车辆碾压，抗变形能力优异</w:t>
            </w:r>
          </w:p>
        </w:tc>
      </w:tr>
      <w:tr w14:paraId="188C7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vAlign w:val="center"/>
          </w:tcPr>
          <w:p w14:paraId="76E8DA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SN16</w:t>
            </w:r>
          </w:p>
        </w:tc>
        <w:tc>
          <w:tcPr>
            <w:tcW w:w="2179" w:type="dxa"/>
            <w:vAlign w:val="center"/>
          </w:tcPr>
          <w:p w14:paraId="3622F7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≥16</w:t>
            </w:r>
          </w:p>
        </w:tc>
        <w:tc>
          <w:tcPr>
            <w:tcW w:w="4341" w:type="dxa"/>
            <w:vAlign w:val="center"/>
          </w:tcPr>
          <w:p w14:paraId="2594685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可承受深层覆土（≥8m）外部压力，可抵御重型设备碾压，抗塌陷、抗变形能力极强</w:t>
            </w:r>
          </w:p>
        </w:tc>
      </w:tr>
    </w:tbl>
    <w:p w14:paraId="1B0E5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bookmarkStart w:id="5" w:name="heading_8"/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密封性能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可靠</w:t>
      </w:r>
      <w:bookmarkEnd w:id="5"/>
    </w:p>
    <w:p w14:paraId="1DB90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管材采用橡胶圈密封承插连接方式，密封性能远超混凝土管刚性接口，经闭水试验检测无渗漏，既杜绝含磷雨水外渗污染土壤和地下水，又阻断地下水渗入管网，彻底解决原有管网渗水来源不明的难题，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完成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满足雨污分流防渗要求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superscript"/>
        </w:rPr>
        <w:t>[8]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。</w:t>
      </w:r>
    </w:p>
    <w:p w14:paraId="6A368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bookmarkStart w:id="6" w:name="heading_9"/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水力性能优良，运维便捷</w:t>
      </w:r>
      <w:bookmarkEnd w:id="6"/>
    </w:p>
    <w:p w14:paraId="4797D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管材内壁光滑，曼宁粗糙系数仅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为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0.009，水流阻力小，通流量较同管径混凝土管提升30%-50%以上，且内壁不结垢、不吸附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杂质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，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有效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减少管网淤积堵塞，无需频繁清淤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superscript"/>
        </w:rPr>
        <w:t>[9]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。同时管材重量轻，仅为同规格混凝土管的1/10左右，运输、吊装、安装便捷，局部改造施工对厂区生产干扰小，后期维修更换成本低。</w:t>
      </w:r>
    </w:p>
    <w:p w14:paraId="55E6F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bookmarkStart w:id="7" w:name="heading_10"/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使用寿命长，全生命周期性价比高</w:t>
      </w:r>
      <w:bookmarkEnd w:id="7"/>
    </w:p>
    <w:p w14:paraId="2FF59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HMWHDPE管材正常使用年限可达50年以上，远超混凝土管30年左右的使用寿命，且期间无需大规模维修，全生命周期内材料成本、运维成本、维修成本综合投入远低于传统混凝土管，适配工业厂区长期稳定运行需求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superscript"/>
        </w:rPr>
        <w:t>[10]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。</w:t>
      </w:r>
    </w:p>
    <w:p w14:paraId="5D704E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both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8" w:name="heading_11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 雨水管网改造施工工艺要点</w:t>
      </w:r>
      <w:bookmarkEnd w:id="8"/>
    </w:p>
    <w:p w14:paraId="6CBB5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结合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磷化工厂区雨污分流工程项目的施工特性，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HMWHDPE双波峰加筋增强缠绕管采用“沟槽开挖-基础处理-管道敷设-接口连接-闭水试验-沟槽回填”标准化施工流程，重点把控关键施工环节，保障工程质量。</w:t>
      </w:r>
    </w:p>
    <w:p w14:paraId="59481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bookmarkStart w:id="9" w:name="heading_12"/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</w:t>
      </w:r>
      <w:bookmarkEnd w:id="9"/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拆除原有管道</w:t>
      </w:r>
    </w:p>
    <w:p w14:paraId="061E1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施工前全面排查厂区地下管线，精准定位原有雨水管网破损点、走向及埋深，避开生产工艺管线、电缆等关键设施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施工路径为不改变原有管道路径，在开挖的过程中拆除原有管道和检查井。</w:t>
      </w:r>
    </w:p>
    <w:p w14:paraId="32E39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bookmarkStart w:id="10" w:name="heading_13"/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沟槽开挖与地基处理</w:t>
      </w:r>
      <w:bookmarkEnd w:id="10"/>
    </w:p>
    <w:p w14:paraId="4B8D6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采用机械开挖与人工清底相结合的方式，沟槽宽度按管径+0.6m控制，槽底预留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0cm土层人工清理，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开挖过程中严禁超挖，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避免扰动基底原状土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针对厂区软土地基段，铺设15cm厚中粗砂垫层，垫层压实度≥90%，提升地基承载力，防止后期沉降。沟槽开挖过程中及时做好排水，避免槽底积水浸泡，保障地基稳定性。</w:t>
      </w:r>
    </w:p>
    <w:p w14:paraId="0A004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  <w:highlight w:val="none"/>
        </w:rPr>
      </w:pPr>
      <w:bookmarkStart w:id="11" w:name="heading_14"/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</w:rPr>
        <w:t xml:space="preserve"> 管材敷设与接口连接</w:t>
      </w:r>
      <w:bookmarkEnd w:id="11"/>
    </w:p>
    <w:p w14:paraId="4774B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HMWHDPE管材采用宽吊带吊装，严禁钢丝绳直接捆绑，防止管壁划伤；管道敷设遵循逆水流方向安装原则，由下游至上游逐节对接，严格控制管道坡度，确保雨水自流通畅。接口连接采用</w:t>
      </w:r>
      <w:r>
        <w:rPr>
          <w:rFonts w:hint="eastAsia" w:ascii="宋体" w:hAnsi="宋体" w:eastAsia="宋体" w:cs="宋体"/>
          <w:sz w:val="21"/>
          <w:szCs w:val="21"/>
        </w:rPr>
        <w:t>承插式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电热熔连接工艺，连接前清理接口表面氧化层与杂质，标记插入深度，将电热熔套精准套入接口部位，按设备参数通电加热，待冷却固化后形成整体密封结构，每完成一个接口均做密封性检查，杜绝连接缺陷。</w:t>
      </w:r>
    </w:p>
    <w:p w14:paraId="6394B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bookmarkStart w:id="12" w:name="heading_15"/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4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闭水试验与沟槽回填</w:t>
      </w:r>
      <w:bookmarkEnd w:id="12"/>
    </w:p>
    <w:p w14:paraId="009C4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管材敷设完成后，要求分段进行闭水试验，浸泡24h后检测渗水量，确保无渗漏、无接口错位，验收合格后方可进行回填。沟槽回填采用分层夯实，管顶以下50cm范围内采用无杂质中粗砂回填，严禁混入石块、建筑垃圾；分层厚度≤15cm，压实度≥9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0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%；管顶50cm以上采用厂区素土回填，道路下方路段增设压实层，防止地面沉降。</w:t>
      </w:r>
    </w:p>
    <w:p w14:paraId="48BAB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bookmarkStart w:id="13" w:name="heading_16"/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5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新旧管网衔接处理</w:t>
      </w:r>
      <w:bookmarkEnd w:id="13"/>
    </w:p>
    <w:p w14:paraId="69ACA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针对HMWHDPE管材与原有混凝土管衔接部位，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采用设置检查井进行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衔接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做好检查井与管材接口的密封处理，确保整个雨水管网系统密闭性达标，实现雨水有序收集、无混流、无渗漏。</w:t>
      </w:r>
    </w:p>
    <w:p w14:paraId="18A210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both"/>
        <w:rPr>
          <w:rFonts w:hint="eastAsia" w:ascii="宋体" w:hAnsi="宋体" w:eastAsia="宋体" w:cs="宋体"/>
          <w:b/>
          <w:bCs/>
          <w:sz w:val="21"/>
          <w:szCs w:val="21"/>
        </w:rPr>
      </w:pPr>
      <w:bookmarkStart w:id="14" w:name="heading_17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 xml:space="preserve"> 应用成效分析</w:t>
      </w:r>
      <w:bookmarkEnd w:id="14"/>
    </w:p>
    <w:p w14:paraId="5203B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bookmarkStart w:id="15" w:name="heading_18"/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环境风险防控成效</w:t>
      </w:r>
      <w:bookmarkEnd w:id="15"/>
    </w:p>
    <w:p w14:paraId="2E53C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管材密封零渗漏，有效杜绝化工污水、污染雨水外泄，有效防控土壤与地下水污染风险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雨污分流系统稳定运行，实现雨水、污水分类收集完全契合《长江保护法》及“三磷”整治环保要求，企业环保合规性显著提升，消除了因管网渗漏引发的环保风险，助力化工园区环保达标与可持续发展。</w:t>
      </w:r>
    </w:p>
    <w:p w14:paraId="1C227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bookmarkStart w:id="16" w:name="heading_19"/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管网运行性能成效</w:t>
      </w:r>
      <w:bookmarkEnd w:id="16"/>
    </w:p>
    <w:p w14:paraId="745F6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HMWHDPE管材投入使用后，管网整体完整性、抗压性与抗沉降性能优异，厂区雨季排水通畅，无淤积堵塞现象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实现雨水有序收集与回用，雨污分流效果达标。对比原有混凝土管，管材耐腐蚀性优势凸显，运行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12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个月未出现腐蚀、变形、破损问题，稳定性远超传统管材。</w:t>
      </w:r>
    </w:p>
    <w:p w14:paraId="68D64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bookmarkStart w:id="17" w:name="heading_20"/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施工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成本优化成效</w:t>
      </w:r>
      <w:bookmarkEnd w:id="17"/>
    </w:p>
    <w:p w14:paraId="58602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bookmarkStart w:id="18" w:name="heading_21"/>
      <w:r>
        <w:rPr>
          <w:rFonts w:hint="eastAsia" w:ascii="宋体" w:hAnsi="宋体" w:eastAsia="宋体" w:cs="宋体"/>
          <w:b w:val="0"/>
          <w:bCs/>
          <w:sz w:val="21"/>
          <w:szCs w:val="21"/>
        </w:rPr>
        <w:t>HMWHDPE管材重量轻，运输与吊装成本降低，无需大型吊装设备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施工工艺简单，大幅缩短工期，减少对化工厂区正常生产的干扰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现场切割便捷，适配复杂管网布局，减少材料损耗，施工综合成本低。</w:t>
      </w:r>
    </w:p>
    <w:p w14:paraId="47D908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应用总结</w:t>
      </w:r>
      <w:bookmarkEnd w:id="18"/>
    </w:p>
    <w:p w14:paraId="4E7FE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作为在地下管网工程中应用的高分子新型管材，HMWHDPE双波峰加筋增强缠绕管完全适配磷化工厂区特殊腐蚀工况，各项性能指标均满足雨水管网改造的技术要求，改造工程的实际成效与预期目标一致。该管材的成功应用，为企业后续其他管网升级改造提供了技术参考，也验证了高分子环保管材在化工企业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地下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管网场景的推广价值。</w:t>
      </w:r>
    </w:p>
    <w:p w14:paraId="5AE687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both"/>
        <w:rPr>
          <w:rFonts w:hint="eastAsia" w:ascii="宋体" w:hAnsi="宋体" w:eastAsia="宋体" w:cs="宋体"/>
          <w:b/>
          <w:bCs/>
          <w:sz w:val="21"/>
          <w:szCs w:val="21"/>
        </w:rPr>
      </w:pPr>
      <w:bookmarkStart w:id="19" w:name="heading_22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</w:t>
      </w:r>
      <w:bookmarkStart w:id="21" w:name="_GoBack"/>
      <w:bookmarkEnd w:id="21"/>
      <w:r>
        <w:rPr>
          <w:rFonts w:hint="eastAsia" w:ascii="宋体" w:hAnsi="宋体" w:eastAsia="宋体" w:cs="宋体"/>
          <w:b/>
          <w:bCs/>
          <w:sz w:val="21"/>
          <w:szCs w:val="21"/>
        </w:rPr>
        <w:t xml:space="preserve"> 结论</w:t>
      </w:r>
      <w:bookmarkEnd w:id="19"/>
    </w:p>
    <w:p w14:paraId="5134E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 w:firstLineChars="200"/>
        <w:jc w:val="both"/>
        <w:textAlignment w:val="auto"/>
        <w:outlineLvl w:val="0"/>
        <w:rPr>
          <w:rFonts w:hint="eastAsia" w:ascii="宋体" w:hAnsi="宋体" w:eastAsia="宋体" w:cs="宋体"/>
          <w:b w:val="0"/>
          <w:bCs/>
          <w:sz w:val="21"/>
          <w:szCs w:val="21"/>
        </w:rPr>
      </w:pPr>
      <w:bookmarkStart w:id="20" w:name="heading_23"/>
      <w:r>
        <w:rPr>
          <w:rFonts w:hint="eastAsia" w:ascii="宋体" w:hAnsi="宋体" w:eastAsia="宋体" w:cs="宋体"/>
          <w:b w:val="0"/>
          <w:bCs/>
          <w:sz w:val="21"/>
          <w:szCs w:val="21"/>
        </w:rPr>
        <w:t>高分子量高密度聚乙烯（HMWHDPE）双波峰加筋增强缠绕结构壁排水管，凭借优异的耐化学腐蚀性、高环刚度、强柔韧性、密封零渗漏、水力性能优良及施工便捷等核心优势，完美适配化工厂雨污分流工程的特殊工况，有效解决了传统排水管材耐腐蚀差、易渗漏、易变形、运维成本高等痛点问题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通过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实践表明，该管材在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化工厂区的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雨污分流工程中应用，兼具性能、施工、运维、环保多重效益，是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化工厂区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排水管网升级改造的理想管材。</w:t>
      </w:r>
    </w:p>
    <w:bookmarkEnd w:id="20"/>
    <w:p w14:paraId="6CAD3F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1BF37F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参考文献</w:t>
      </w:r>
    </w:p>
    <w:p w14:paraId="5883258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中华人民共和国长江保护法[S].2021.</w:t>
      </w:r>
    </w:p>
    <w:p w14:paraId="76B648A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生态环境部.长江“三磷”专项排查整治行动实施方案[Z].2021.</w:t>
      </w:r>
    </w:p>
    <w:p w14:paraId="789F91A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李刚.化工厂区混凝土排水管道腐蚀机理及修复技术[J].防腐保温技术,2022,30(2):45-48.</w:t>
      </w:r>
    </w:p>
    <w:p w14:paraId="7B5F1AF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李建军.埋地排水管道渗漏成因及新型管材应用研究[J].市政技术,2021,39(8):67-70.</w:t>
      </w:r>
    </w:p>
    <w:p w14:paraId="45F7E48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T/CECS 10143—2021,高分子量高密度聚乙烯(HMWHDPE)双波峰缠绕结构壁排水管[S].北京:中国工程建设标准化协会,2021.</w:t>
      </w:r>
    </w:p>
    <w:p w14:paraId="2171DAB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王志强.化工园区雨污分流管网管材选型对比分析[J].给水排水,2023,49(2):102-105.</w:t>
      </w:r>
    </w:p>
    <w:p w14:paraId="7C0B510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张晓明.双波峰加筋增强缠绕结构壁管力学性能及工程应用[J].塑料工业,2022,50(3):12-16.</w:t>
      </w:r>
    </w:p>
    <w:p w14:paraId="611FDF9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李丽.高分子量聚乙烯管材在酸性废水环境中的应用性能研究[J].中国给水排水,2022,38(10):112-116.</w:t>
      </w:r>
    </w:p>
    <w:p w14:paraId="2622BF2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GB50014-2021,室外排水设计标准[S].北京:中国计划出版社,2021.</w:t>
      </w:r>
    </w:p>
    <w:p w14:paraId="72CC518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李海涛.化工企业地下管网改造施工技术要点[J].化工设计通讯,2023,49(5):156-158.</w:t>
      </w:r>
    </w:p>
    <w:sectPr>
      <w:pgSz w:w="11906" w:h="16838"/>
      <w:pgMar w:top="1814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D531AD"/>
    <w:multiLevelType w:val="singleLevel"/>
    <w:tmpl w:val="A4D531AD"/>
    <w:lvl w:ilvl="0" w:tentative="0">
      <w:start w:val="1"/>
      <w:numFmt w:val="decimal"/>
      <w:lvlText w:val="[%1]"/>
      <w:lvlJc w:val="left"/>
      <w:pPr>
        <w:tabs>
          <w:tab w:val="left" w:pos="312"/>
        </w:tabs>
      </w:pPr>
    </w:lvl>
  </w:abstractNum>
  <w:abstractNum w:abstractNumId="1">
    <w:nsid w:val="0989E7C6"/>
    <w:multiLevelType w:val="singleLevel"/>
    <w:tmpl w:val="0989E7C6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5ZmMwZTNkY2FjMjU1Y2Y4ZTlkNzhjNmI4MDEyNjcifQ=="/>
  </w:docVars>
  <w:rsids>
    <w:rsidRoot w:val="00DD4CC1"/>
    <w:rsid w:val="00036B5E"/>
    <w:rsid w:val="00047FC0"/>
    <w:rsid w:val="00060599"/>
    <w:rsid w:val="0008730F"/>
    <w:rsid w:val="000A4D30"/>
    <w:rsid w:val="001570A5"/>
    <w:rsid w:val="001653DA"/>
    <w:rsid w:val="00170655"/>
    <w:rsid w:val="001F16B8"/>
    <w:rsid w:val="001F268C"/>
    <w:rsid w:val="00205F95"/>
    <w:rsid w:val="00223CAE"/>
    <w:rsid w:val="00252BF1"/>
    <w:rsid w:val="00264F57"/>
    <w:rsid w:val="002A2FE8"/>
    <w:rsid w:val="002A6E7F"/>
    <w:rsid w:val="002D3AD9"/>
    <w:rsid w:val="0032324D"/>
    <w:rsid w:val="00326DED"/>
    <w:rsid w:val="00452666"/>
    <w:rsid w:val="0046021A"/>
    <w:rsid w:val="00472F07"/>
    <w:rsid w:val="00495E28"/>
    <w:rsid w:val="004A7308"/>
    <w:rsid w:val="004B658B"/>
    <w:rsid w:val="004E5974"/>
    <w:rsid w:val="004E639D"/>
    <w:rsid w:val="0052555F"/>
    <w:rsid w:val="00550EFD"/>
    <w:rsid w:val="005A641B"/>
    <w:rsid w:val="005B2031"/>
    <w:rsid w:val="006054C1"/>
    <w:rsid w:val="006278D9"/>
    <w:rsid w:val="006525A5"/>
    <w:rsid w:val="006B4EF3"/>
    <w:rsid w:val="006B523C"/>
    <w:rsid w:val="006C7D50"/>
    <w:rsid w:val="00704818"/>
    <w:rsid w:val="00735E72"/>
    <w:rsid w:val="00756BF6"/>
    <w:rsid w:val="007958E0"/>
    <w:rsid w:val="007A04D9"/>
    <w:rsid w:val="007C2153"/>
    <w:rsid w:val="007D0764"/>
    <w:rsid w:val="007F00BC"/>
    <w:rsid w:val="00844F2C"/>
    <w:rsid w:val="00852987"/>
    <w:rsid w:val="0087425D"/>
    <w:rsid w:val="00874940"/>
    <w:rsid w:val="009168ED"/>
    <w:rsid w:val="0093495B"/>
    <w:rsid w:val="0094356F"/>
    <w:rsid w:val="009819FE"/>
    <w:rsid w:val="00987F1F"/>
    <w:rsid w:val="00A0752B"/>
    <w:rsid w:val="00A1502F"/>
    <w:rsid w:val="00A3470B"/>
    <w:rsid w:val="00A633AE"/>
    <w:rsid w:val="00A81B9E"/>
    <w:rsid w:val="00AA011A"/>
    <w:rsid w:val="00AD6D59"/>
    <w:rsid w:val="00B05911"/>
    <w:rsid w:val="00B226D2"/>
    <w:rsid w:val="00B86F3C"/>
    <w:rsid w:val="00BD25C3"/>
    <w:rsid w:val="00BF5402"/>
    <w:rsid w:val="00C31229"/>
    <w:rsid w:val="00C76433"/>
    <w:rsid w:val="00CF58F8"/>
    <w:rsid w:val="00D203A8"/>
    <w:rsid w:val="00D36A6E"/>
    <w:rsid w:val="00D829F0"/>
    <w:rsid w:val="00DD4CC1"/>
    <w:rsid w:val="00DE0390"/>
    <w:rsid w:val="00DF0139"/>
    <w:rsid w:val="00E52C97"/>
    <w:rsid w:val="00E67BF2"/>
    <w:rsid w:val="00EC1DD6"/>
    <w:rsid w:val="00ED67A0"/>
    <w:rsid w:val="00F153FF"/>
    <w:rsid w:val="00F22786"/>
    <w:rsid w:val="00F834FB"/>
    <w:rsid w:val="00F9257D"/>
    <w:rsid w:val="00FB3EEC"/>
    <w:rsid w:val="00FD2258"/>
    <w:rsid w:val="01520363"/>
    <w:rsid w:val="01C963F3"/>
    <w:rsid w:val="01DE1C5C"/>
    <w:rsid w:val="02203B3A"/>
    <w:rsid w:val="02B86B51"/>
    <w:rsid w:val="03304250"/>
    <w:rsid w:val="0374238F"/>
    <w:rsid w:val="03A5079A"/>
    <w:rsid w:val="03C50E3C"/>
    <w:rsid w:val="03C527A5"/>
    <w:rsid w:val="048748A1"/>
    <w:rsid w:val="04912ACD"/>
    <w:rsid w:val="04CC1D57"/>
    <w:rsid w:val="04DC643E"/>
    <w:rsid w:val="050414F1"/>
    <w:rsid w:val="056106F1"/>
    <w:rsid w:val="05AE130F"/>
    <w:rsid w:val="05FB3670"/>
    <w:rsid w:val="06112117"/>
    <w:rsid w:val="062077BC"/>
    <w:rsid w:val="065F10D4"/>
    <w:rsid w:val="0730481F"/>
    <w:rsid w:val="076E5F7E"/>
    <w:rsid w:val="07B471FE"/>
    <w:rsid w:val="07C05BA3"/>
    <w:rsid w:val="07E3246F"/>
    <w:rsid w:val="07F7358F"/>
    <w:rsid w:val="08564759"/>
    <w:rsid w:val="08BA0844"/>
    <w:rsid w:val="091A7E4E"/>
    <w:rsid w:val="09931095"/>
    <w:rsid w:val="09F00295"/>
    <w:rsid w:val="0A4B20AA"/>
    <w:rsid w:val="0AEE6ECB"/>
    <w:rsid w:val="0AFF2E86"/>
    <w:rsid w:val="0B664CB3"/>
    <w:rsid w:val="0C0E77A3"/>
    <w:rsid w:val="0C2B45A8"/>
    <w:rsid w:val="0C580AA0"/>
    <w:rsid w:val="0C8E44C1"/>
    <w:rsid w:val="0CDE6ACB"/>
    <w:rsid w:val="0CE82491"/>
    <w:rsid w:val="0CF56428"/>
    <w:rsid w:val="0D525F6F"/>
    <w:rsid w:val="0D731909"/>
    <w:rsid w:val="0DA11FD2"/>
    <w:rsid w:val="0E470192"/>
    <w:rsid w:val="0E5352AC"/>
    <w:rsid w:val="0E792F4F"/>
    <w:rsid w:val="0EC8358F"/>
    <w:rsid w:val="0F543075"/>
    <w:rsid w:val="0FEE51C5"/>
    <w:rsid w:val="0FEF171B"/>
    <w:rsid w:val="0FF00FEF"/>
    <w:rsid w:val="0FF705D0"/>
    <w:rsid w:val="102313C5"/>
    <w:rsid w:val="103C5A23"/>
    <w:rsid w:val="10507EB4"/>
    <w:rsid w:val="10523A58"/>
    <w:rsid w:val="10667503"/>
    <w:rsid w:val="108035FE"/>
    <w:rsid w:val="108F6A5A"/>
    <w:rsid w:val="10B85FB1"/>
    <w:rsid w:val="10BB15FD"/>
    <w:rsid w:val="10D34B99"/>
    <w:rsid w:val="111156C1"/>
    <w:rsid w:val="111B6540"/>
    <w:rsid w:val="113E3FDC"/>
    <w:rsid w:val="11407D54"/>
    <w:rsid w:val="123F1DBA"/>
    <w:rsid w:val="12CF1390"/>
    <w:rsid w:val="12DB7D35"/>
    <w:rsid w:val="12E60488"/>
    <w:rsid w:val="13001868"/>
    <w:rsid w:val="132A2A6A"/>
    <w:rsid w:val="13CB5FFB"/>
    <w:rsid w:val="145D3907"/>
    <w:rsid w:val="148A7C64"/>
    <w:rsid w:val="14B4083D"/>
    <w:rsid w:val="156C2EC6"/>
    <w:rsid w:val="15C56B00"/>
    <w:rsid w:val="16132CB9"/>
    <w:rsid w:val="16B20DAC"/>
    <w:rsid w:val="16B25250"/>
    <w:rsid w:val="16B8213B"/>
    <w:rsid w:val="16D2144F"/>
    <w:rsid w:val="17836BED"/>
    <w:rsid w:val="178C5AA1"/>
    <w:rsid w:val="17AD77C6"/>
    <w:rsid w:val="17C23271"/>
    <w:rsid w:val="180933FC"/>
    <w:rsid w:val="185C6006"/>
    <w:rsid w:val="18616F2E"/>
    <w:rsid w:val="189D783A"/>
    <w:rsid w:val="191221DB"/>
    <w:rsid w:val="19235F91"/>
    <w:rsid w:val="19800B64"/>
    <w:rsid w:val="19836A30"/>
    <w:rsid w:val="199944A6"/>
    <w:rsid w:val="19FD4A34"/>
    <w:rsid w:val="1A533F79"/>
    <w:rsid w:val="1A5A1E87"/>
    <w:rsid w:val="1A670100"/>
    <w:rsid w:val="1B2F179A"/>
    <w:rsid w:val="1B3A75C2"/>
    <w:rsid w:val="1B6F3710"/>
    <w:rsid w:val="1C250273"/>
    <w:rsid w:val="1D01483C"/>
    <w:rsid w:val="1D5D57EA"/>
    <w:rsid w:val="1D90796E"/>
    <w:rsid w:val="1E171E3D"/>
    <w:rsid w:val="1EBA2EF4"/>
    <w:rsid w:val="1EC41FC5"/>
    <w:rsid w:val="1EFE3E02"/>
    <w:rsid w:val="1F78690B"/>
    <w:rsid w:val="1FA40E26"/>
    <w:rsid w:val="20181E55"/>
    <w:rsid w:val="20200F8C"/>
    <w:rsid w:val="204B20BB"/>
    <w:rsid w:val="204F1D62"/>
    <w:rsid w:val="205C7FDB"/>
    <w:rsid w:val="20CA763A"/>
    <w:rsid w:val="21294361"/>
    <w:rsid w:val="21661758"/>
    <w:rsid w:val="21B87493"/>
    <w:rsid w:val="227635D6"/>
    <w:rsid w:val="22BA5BB9"/>
    <w:rsid w:val="230D784D"/>
    <w:rsid w:val="23B95F13"/>
    <w:rsid w:val="24174945"/>
    <w:rsid w:val="24212C83"/>
    <w:rsid w:val="244020ED"/>
    <w:rsid w:val="248B32E5"/>
    <w:rsid w:val="24B17D3C"/>
    <w:rsid w:val="24EE1B49"/>
    <w:rsid w:val="25867FD4"/>
    <w:rsid w:val="259C77F7"/>
    <w:rsid w:val="262A3A04"/>
    <w:rsid w:val="269C7383"/>
    <w:rsid w:val="26B66697"/>
    <w:rsid w:val="273D46C2"/>
    <w:rsid w:val="27435A51"/>
    <w:rsid w:val="27466F3A"/>
    <w:rsid w:val="276F4A98"/>
    <w:rsid w:val="283B6E9A"/>
    <w:rsid w:val="28414686"/>
    <w:rsid w:val="28425D08"/>
    <w:rsid w:val="28497097"/>
    <w:rsid w:val="287C746C"/>
    <w:rsid w:val="288D3427"/>
    <w:rsid w:val="28C3509B"/>
    <w:rsid w:val="28D44D60"/>
    <w:rsid w:val="29F55569"/>
    <w:rsid w:val="2A1060BE"/>
    <w:rsid w:val="2A6D1762"/>
    <w:rsid w:val="2A9C2048"/>
    <w:rsid w:val="2AF37C49"/>
    <w:rsid w:val="2C1A3224"/>
    <w:rsid w:val="2C5F332D"/>
    <w:rsid w:val="2CDC497D"/>
    <w:rsid w:val="2DA03BFD"/>
    <w:rsid w:val="2DA336ED"/>
    <w:rsid w:val="2DD45655"/>
    <w:rsid w:val="2E7221A8"/>
    <w:rsid w:val="2EC67693"/>
    <w:rsid w:val="2EE30245"/>
    <w:rsid w:val="2F087CAC"/>
    <w:rsid w:val="2F0E4B96"/>
    <w:rsid w:val="2F1A353B"/>
    <w:rsid w:val="2F1F6DA3"/>
    <w:rsid w:val="2F397E65"/>
    <w:rsid w:val="2F620882"/>
    <w:rsid w:val="2F633134"/>
    <w:rsid w:val="2F882B9B"/>
    <w:rsid w:val="2FA86D99"/>
    <w:rsid w:val="312F3756"/>
    <w:rsid w:val="31496359"/>
    <w:rsid w:val="315E0057"/>
    <w:rsid w:val="318D4498"/>
    <w:rsid w:val="3199108F"/>
    <w:rsid w:val="319F16AA"/>
    <w:rsid w:val="31CC4FC0"/>
    <w:rsid w:val="31F167D5"/>
    <w:rsid w:val="3216448E"/>
    <w:rsid w:val="321D581C"/>
    <w:rsid w:val="323963CE"/>
    <w:rsid w:val="3273368E"/>
    <w:rsid w:val="32963820"/>
    <w:rsid w:val="32E20814"/>
    <w:rsid w:val="337771AE"/>
    <w:rsid w:val="33F94067"/>
    <w:rsid w:val="34480B4A"/>
    <w:rsid w:val="34821AD6"/>
    <w:rsid w:val="35A52FD0"/>
    <w:rsid w:val="35D501BC"/>
    <w:rsid w:val="364041CF"/>
    <w:rsid w:val="36407D2B"/>
    <w:rsid w:val="36BE3BE8"/>
    <w:rsid w:val="36DA26A7"/>
    <w:rsid w:val="36DB5CA6"/>
    <w:rsid w:val="37227431"/>
    <w:rsid w:val="3756532C"/>
    <w:rsid w:val="379E6A42"/>
    <w:rsid w:val="37B01725"/>
    <w:rsid w:val="37F963E3"/>
    <w:rsid w:val="38061044"/>
    <w:rsid w:val="381C3783"/>
    <w:rsid w:val="389E342F"/>
    <w:rsid w:val="38C5276A"/>
    <w:rsid w:val="39783C80"/>
    <w:rsid w:val="399551B1"/>
    <w:rsid w:val="39D619B3"/>
    <w:rsid w:val="3A445910"/>
    <w:rsid w:val="3A461688"/>
    <w:rsid w:val="3A557B1D"/>
    <w:rsid w:val="3A726921"/>
    <w:rsid w:val="3A765FE2"/>
    <w:rsid w:val="3B195A0E"/>
    <w:rsid w:val="3B653D90"/>
    <w:rsid w:val="3B7D732B"/>
    <w:rsid w:val="3BAE3989"/>
    <w:rsid w:val="3BCC3E0F"/>
    <w:rsid w:val="3BD66A3C"/>
    <w:rsid w:val="3C424796"/>
    <w:rsid w:val="3C510C5D"/>
    <w:rsid w:val="3CC044ED"/>
    <w:rsid w:val="3CC25530"/>
    <w:rsid w:val="3CC52D38"/>
    <w:rsid w:val="3CD13DD3"/>
    <w:rsid w:val="3D0715A3"/>
    <w:rsid w:val="3D51281E"/>
    <w:rsid w:val="3DA212CB"/>
    <w:rsid w:val="3DBB238D"/>
    <w:rsid w:val="3DBD6105"/>
    <w:rsid w:val="3E4405D4"/>
    <w:rsid w:val="3E9C5D1B"/>
    <w:rsid w:val="3EFC4A0B"/>
    <w:rsid w:val="3F375A43"/>
    <w:rsid w:val="3FA4757D"/>
    <w:rsid w:val="3FB6105E"/>
    <w:rsid w:val="3FE444E6"/>
    <w:rsid w:val="40583EC3"/>
    <w:rsid w:val="40642868"/>
    <w:rsid w:val="407A652F"/>
    <w:rsid w:val="40923879"/>
    <w:rsid w:val="410F592B"/>
    <w:rsid w:val="410F6C78"/>
    <w:rsid w:val="411424E0"/>
    <w:rsid w:val="41641264"/>
    <w:rsid w:val="41700BEB"/>
    <w:rsid w:val="426C3C56"/>
    <w:rsid w:val="42786A9F"/>
    <w:rsid w:val="42BC1743"/>
    <w:rsid w:val="42EE53FF"/>
    <w:rsid w:val="43E4263E"/>
    <w:rsid w:val="45554E75"/>
    <w:rsid w:val="459D60E3"/>
    <w:rsid w:val="45B70627"/>
    <w:rsid w:val="45CA5863"/>
    <w:rsid w:val="45E5444B"/>
    <w:rsid w:val="46362EF9"/>
    <w:rsid w:val="465515D1"/>
    <w:rsid w:val="468E4AE3"/>
    <w:rsid w:val="46F54E2D"/>
    <w:rsid w:val="46FD57C4"/>
    <w:rsid w:val="47925F0D"/>
    <w:rsid w:val="47A143DA"/>
    <w:rsid w:val="47E81E53"/>
    <w:rsid w:val="48A028AB"/>
    <w:rsid w:val="48B545A9"/>
    <w:rsid w:val="495C0DBE"/>
    <w:rsid w:val="49CB1BAA"/>
    <w:rsid w:val="4A070E34"/>
    <w:rsid w:val="4A4554B8"/>
    <w:rsid w:val="4A4F4589"/>
    <w:rsid w:val="4AB60164"/>
    <w:rsid w:val="4B8E06C7"/>
    <w:rsid w:val="4C934BC0"/>
    <w:rsid w:val="4CFB09F8"/>
    <w:rsid w:val="4D057181"/>
    <w:rsid w:val="4D447CA9"/>
    <w:rsid w:val="4D5123C6"/>
    <w:rsid w:val="4D6B792C"/>
    <w:rsid w:val="4DA16EA9"/>
    <w:rsid w:val="4DDA060D"/>
    <w:rsid w:val="4DED1912"/>
    <w:rsid w:val="4E257ADB"/>
    <w:rsid w:val="4E353A96"/>
    <w:rsid w:val="4EAD187E"/>
    <w:rsid w:val="4EB175C0"/>
    <w:rsid w:val="4EB62E28"/>
    <w:rsid w:val="4F0911AA"/>
    <w:rsid w:val="4F78309C"/>
    <w:rsid w:val="4F7E394E"/>
    <w:rsid w:val="50A20D13"/>
    <w:rsid w:val="50AD3DB7"/>
    <w:rsid w:val="50AF7B2F"/>
    <w:rsid w:val="50B02F71"/>
    <w:rsid w:val="50C26CF2"/>
    <w:rsid w:val="50EC0D83"/>
    <w:rsid w:val="50FE0CB7"/>
    <w:rsid w:val="512D188F"/>
    <w:rsid w:val="51363DAD"/>
    <w:rsid w:val="513B5867"/>
    <w:rsid w:val="5144673C"/>
    <w:rsid w:val="51600E2A"/>
    <w:rsid w:val="519D207E"/>
    <w:rsid w:val="51EC090F"/>
    <w:rsid w:val="51FB00AC"/>
    <w:rsid w:val="52E57838"/>
    <w:rsid w:val="542B3971"/>
    <w:rsid w:val="54335EE7"/>
    <w:rsid w:val="5463310B"/>
    <w:rsid w:val="54AF45A2"/>
    <w:rsid w:val="54C142D5"/>
    <w:rsid w:val="54C811C0"/>
    <w:rsid w:val="55254864"/>
    <w:rsid w:val="553C395C"/>
    <w:rsid w:val="55BA1450"/>
    <w:rsid w:val="56037691"/>
    <w:rsid w:val="56083D8A"/>
    <w:rsid w:val="56135E24"/>
    <w:rsid w:val="564017AC"/>
    <w:rsid w:val="567B0721"/>
    <w:rsid w:val="56F97D56"/>
    <w:rsid w:val="57081D47"/>
    <w:rsid w:val="57E97DCB"/>
    <w:rsid w:val="57EF1159"/>
    <w:rsid w:val="583059FA"/>
    <w:rsid w:val="5847689F"/>
    <w:rsid w:val="58532B2C"/>
    <w:rsid w:val="58984204"/>
    <w:rsid w:val="58C47EF0"/>
    <w:rsid w:val="59285798"/>
    <w:rsid w:val="596F60AE"/>
    <w:rsid w:val="5A2A0227"/>
    <w:rsid w:val="5A7B0A82"/>
    <w:rsid w:val="5B0311A3"/>
    <w:rsid w:val="5BB5218E"/>
    <w:rsid w:val="5BFE5E0F"/>
    <w:rsid w:val="5CAA564F"/>
    <w:rsid w:val="5D7A3273"/>
    <w:rsid w:val="5D7D48AD"/>
    <w:rsid w:val="5E361890"/>
    <w:rsid w:val="5EDA046D"/>
    <w:rsid w:val="5EE237C6"/>
    <w:rsid w:val="5EFF7ED4"/>
    <w:rsid w:val="5F7679C4"/>
    <w:rsid w:val="5F7F2DC3"/>
    <w:rsid w:val="5FBF1411"/>
    <w:rsid w:val="601A09BC"/>
    <w:rsid w:val="60395667"/>
    <w:rsid w:val="60AA0313"/>
    <w:rsid w:val="60D96503"/>
    <w:rsid w:val="60DD5FF3"/>
    <w:rsid w:val="610D33E8"/>
    <w:rsid w:val="615E35D8"/>
    <w:rsid w:val="619568CD"/>
    <w:rsid w:val="61E67129"/>
    <w:rsid w:val="61E969EE"/>
    <w:rsid w:val="620D46B6"/>
    <w:rsid w:val="621A5025"/>
    <w:rsid w:val="625A6DD9"/>
    <w:rsid w:val="62CC27C3"/>
    <w:rsid w:val="635A7DCF"/>
    <w:rsid w:val="637D586B"/>
    <w:rsid w:val="63872EA4"/>
    <w:rsid w:val="63F26259"/>
    <w:rsid w:val="64061D04"/>
    <w:rsid w:val="640A365A"/>
    <w:rsid w:val="640E2967"/>
    <w:rsid w:val="64754794"/>
    <w:rsid w:val="64FD7B2B"/>
    <w:rsid w:val="657B402C"/>
    <w:rsid w:val="65C07C91"/>
    <w:rsid w:val="65E360EC"/>
    <w:rsid w:val="6692162D"/>
    <w:rsid w:val="66CA526B"/>
    <w:rsid w:val="67C12792"/>
    <w:rsid w:val="67DD0FCE"/>
    <w:rsid w:val="687436E1"/>
    <w:rsid w:val="687A681D"/>
    <w:rsid w:val="68A13DAA"/>
    <w:rsid w:val="68D73C6F"/>
    <w:rsid w:val="690B56C7"/>
    <w:rsid w:val="696A4D66"/>
    <w:rsid w:val="69867965"/>
    <w:rsid w:val="699456BD"/>
    <w:rsid w:val="6A4E3ABD"/>
    <w:rsid w:val="6A9A31A7"/>
    <w:rsid w:val="6AD06BC8"/>
    <w:rsid w:val="6B3929BF"/>
    <w:rsid w:val="6B3D425E"/>
    <w:rsid w:val="6B431148"/>
    <w:rsid w:val="6B56531F"/>
    <w:rsid w:val="6B575C91"/>
    <w:rsid w:val="6BB8040C"/>
    <w:rsid w:val="6C5C6966"/>
    <w:rsid w:val="6C6E5E1A"/>
    <w:rsid w:val="6C8E2897"/>
    <w:rsid w:val="6CDF30F3"/>
    <w:rsid w:val="6D282CEC"/>
    <w:rsid w:val="6D921E65"/>
    <w:rsid w:val="6DF606F4"/>
    <w:rsid w:val="6E267136"/>
    <w:rsid w:val="6E2D67FA"/>
    <w:rsid w:val="6E6E0BD2"/>
    <w:rsid w:val="6E91041D"/>
    <w:rsid w:val="6ECB392F"/>
    <w:rsid w:val="6F562B93"/>
    <w:rsid w:val="6FA348AB"/>
    <w:rsid w:val="6FBB39A3"/>
    <w:rsid w:val="6FD23894"/>
    <w:rsid w:val="6FE23626"/>
    <w:rsid w:val="70383246"/>
    <w:rsid w:val="703D260A"/>
    <w:rsid w:val="7060279C"/>
    <w:rsid w:val="70626FA0"/>
    <w:rsid w:val="70756EB2"/>
    <w:rsid w:val="71E73078"/>
    <w:rsid w:val="7258197D"/>
    <w:rsid w:val="72C60FDD"/>
    <w:rsid w:val="72EB27F1"/>
    <w:rsid w:val="730241B0"/>
    <w:rsid w:val="731A1328"/>
    <w:rsid w:val="731A6C33"/>
    <w:rsid w:val="73587D13"/>
    <w:rsid w:val="743B50B2"/>
    <w:rsid w:val="74BF5CE3"/>
    <w:rsid w:val="750977D2"/>
    <w:rsid w:val="75114065"/>
    <w:rsid w:val="75263FB5"/>
    <w:rsid w:val="75693EA1"/>
    <w:rsid w:val="75B25848"/>
    <w:rsid w:val="766528BB"/>
    <w:rsid w:val="768F268A"/>
    <w:rsid w:val="76C92E49"/>
    <w:rsid w:val="77617526"/>
    <w:rsid w:val="777A05E8"/>
    <w:rsid w:val="778B00FF"/>
    <w:rsid w:val="781A1483"/>
    <w:rsid w:val="781F0851"/>
    <w:rsid w:val="7820118F"/>
    <w:rsid w:val="782A7918"/>
    <w:rsid w:val="784F4642"/>
    <w:rsid w:val="78B00E0E"/>
    <w:rsid w:val="78C94F9D"/>
    <w:rsid w:val="78FD502C"/>
    <w:rsid w:val="796450AB"/>
    <w:rsid w:val="79EB30D7"/>
    <w:rsid w:val="7A293F0A"/>
    <w:rsid w:val="7A4D5B40"/>
    <w:rsid w:val="7A5E24AA"/>
    <w:rsid w:val="7ACB4CB6"/>
    <w:rsid w:val="7B02692A"/>
    <w:rsid w:val="7B486307"/>
    <w:rsid w:val="7B5B603A"/>
    <w:rsid w:val="7B5C744A"/>
    <w:rsid w:val="7BA55C3B"/>
    <w:rsid w:val="7BD858DD"/>
    <w:rsid w:val="7BE9361F"/>
    <w:rsid w:val="7C6B49A3"/>
    <w:rsid w:val="7C765821"/>
    <w:rsid w:val="7C856E44"/>
    <w:rsid w:val="7CD24A22"/>
    <w:rsid w:val="7D366D5F"/>
    <w:rsid w:val="7DD722F0"/>
    <w:rsid w:val="7E32210A"/>
    <w:rsid w:val="7E4519A4"/>
    <w:rsid w:val="7EB10D93"/>
    <w:rsid w:val="7EC87E8B"/>
    <w:rsid w:val="7EF70770"/>
    <w:rsid w:val="7F052E8D"/>
    <w:rsid w:val="7F270942"/>
    <w:rsid w:val="7F413799"/>
    <w:rsid w:val="7F480FCB"/>
    <w:rsid w:val="7F5D6825"/>
    <w:rsid w:val="7F671451"/>
    <w:rsid w:val="7F674918"/>
    <w:rsid w:val="7FB83A5B"/>
    <w:rsid w:val="7FBA3C77"/>
    <w:rsid w:val="7FEC7BA9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autoRedefine/>
    <w:unhideWhenUsed/>
    <w:qFormat/>
    <w:uiPriority w:val="9"/>
    <w:pPr>
      <w:keepNext/>
      <w:keepLines/>
      <w:widowControl/>
      <w:adjustRightInd w:val="0"/>
      <w:snapToGrid w:val="0"/>
      <w:spacing w:line="360" w:lineRule="auto"/>
      <w:jc w:val="left"/>
      <w:outlineLvl w:val="1"/>
    </w:pPr>
    <w:rPr>
      <w:rFonts w:ascii="宋体" w:hAnsi="宋体" w:eastAsia="宋体" w:cs="宋体"/>
      <w:b/>
      <w:bCs/>
      <w:kern w:val="0"/>
      <w:sz w:val="28"/>
      <w:szCs w:val="28"/>
    </w:rPr>
  </w:style>
  <w:style w:type="paragraph" w:styleId="4">
    <w:name w:val="heading 3"/>
    <w:basedOn w:val="1"/>
    <w:next w:val="1"/>
    <w:link w:val="25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7"/>
    <w:basedOn w:val="1"/>
    <w:next w:val="1"/>
    <w:unhideWhenUsed/>
    <w:qFormat/>
    <w:uiPriority w:val="0"/>
    <w:pPr>
      <w:keepNext/>
      <w:keepLines/>
      <w:spacing w:before="260" w:after="120" w:line="320" w:lineRule="auto"/>
      <w:outlineLvl w:val="6"/>
    </w:pPr>
    <w:rPr>
      <w:rFonts w:ascii="Times New Roman" w:hAnsi="Times New Roman" w:eastAsia="楷体" w:cstheme="minorBidi"/>
      <w:b/>
      <w:bCs/>
      <w:sz w:val="24"/>
      <w:szCs w:val="24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8">
    <w:name w:val="Body Text Indent"/>
    <w:basedOn w:val="1"/>
    <w:next w:val="9"/>
    <w:qFormat/>
    <w:uiPriority w:val="0"/>
    <w:pPr>
      <w:spacing w:after="120" w:afterLines="0" w:afterAutospacing="0"/>
      <w:ind w:left="420" w:leftChars="200"/>
    </w:pPr>
  </w:style>
  <w:style w:type="paragraph" w:customStyle="1" w:styleId="9">
    <w:name w:val="样式 正文文本缩进 + 行距: 1.5 倍行距"/>
    <w:basedOn w:val="1"/>
    <w:qFormat/>
    <w:uiPriority w:val="0"/>
    <w:pPr>
      <w:spacing w:after="120"/>
      <w:ind w:left="90" w:leftChars="32" w:firstLine="560"/>
    </w:pPr>
    <w:rPr>
      <w:rFonts w:cs="宋体"/>
    </w:rPr>
  </w:style>
  <w:style w:type="paragraph" w:styleId="10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link w:val="31"/>
    <w:autoRedefine/>
    <w:qFormat/>
    <w:uiPriority w:val="0"/>
    <w:pPr>
      <w:spacing w:line="400" w:lineRule="exact"/>
      <w:jc w:val="center"/>
    </w:pPr>
    <w:rPr>
      <w:rFonts w:ascii="Calibri" w:hAnsi="Calibri" w:eastAsia="楷体" w:cs="Times New Roman"/>
      <w:b/>
      <w:bCs/>
      <w:kern w:val="28"/>
      <w:szCs w:val="32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5"/>
    <w:next w:val="1"/>
    <w:link w:val="27"/>
    <w:qFormat/>
    <w:uiPriority w:val="10"/>
    <w:pPr>
      <w:adjustRightInd w:val="0"/>
      <w:snapToGrid w:val="0"/>
      <w:spacing w:before="0" w:after="0" w:line="360" w:lineRule="auto"/>
      <w:jc w:val="center"/>
    </w:pPr>
    <w:rPr>
      <w:rFonts w:ascii="黑体" w:hAnsi="黑体" w:eastAsia="黑体" w:cs="黑体"/>
      <w:sz w:val="24"/>
      <w:szCs w:val="24"/>
    </w:rPr>
  </w:style>
  <w:style w:type="paragraph" w:styleId="15">
    <w:name w:val="Body Text First Indent"/>
    <w:basedOn w:val="7"/>
    <w:autoRedefine/>
    <w:qFormat/>
    <w:uiPriority w:val="0"/>
    <w:pPr>
      <w:ind w:firstLine="420" w:firstLineChars="100"/>
    </w:pPr>
  </w:style>
  <w:style w:type="paragraph" w:styleId="16">
    <w:name w:val="Body Text First Indent 2"/>
    <w:basedOn w:val="8"/>
    <w:next w:val="1"/>
    <w:qFormat/>
    <w:uiPriority w:val="0"/>
    <w:pPr>
      <w:ind w:firstLine="420" w:firstLineChars="200"/>
    </w:pPr>
  </w:style>
  <w:style w:type="table" w:styleId="18">
    <w:name w:val="Table Grid"/>
    <w:basedOn w:val="17"/>
    <w:autoRedefine/>
    <w:qFormat/>
    <w:uiPriority w:val="59"/>
    <w:rPr>
      <w:rFonts w:ascii="Calibri" w:hAnsi="Calibri" w:eastAsia="微软雅黑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paragraph" w:customStyle="1" w:styleId="22">
    <w:name w:val="0正文"/>
    <w:basedOn w:val="1"/>
    <w:qFormat/>
    <w:uiPriority w:val="0"/>
    <w:pPr>
      <w:ind w:firstLine="480" w:firstLineChars="200"/>
    </w:pPr>
  </w:style>
  <w:style w:type="character" w:customStyle="1" w:styleId="23">
    <w:name w:val="标题 2 字符"/>
    <w:basedOn w:val="19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2 字符1"/>
    <w:link w:val="3"/>
    <w:autoRedefine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character" w:customStyle="1" w:styleId="25">
    <w:name w:val="标题 3 字符"/>
    <w:basedOn w:val="19"/>
    <w:link w:val="4"/>
    <w:autoRedefine/>
    <w:semiHidden/>
    <w:qFormat/>
    <w:uiPriority w:val="9"/>
    <w:rPr>
      <w:b/>
      <w:bCs/>
      <w:sz w:val="32"/>
      <w:szCs w:val="32"/>
    </w:rPr>
  </w:style>
  <w:style w:type="character" w:customStyle="1" w:styleId="26">
    <w:name w:val="标题 4 字符"/>
    <w:basedOn w:val="19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7">
    <w:name w:val="标题 字符"/>
    <w:basedOn w:val="19"/>
    <w:link w:val="14"/>
    <w:autoRedefine/>
    <w:qFormat/>
    <w:uiPriority w:val="10"/>
    <w:rPr>
      <w:rFonts w:ascii="黑体" w:hAnsi="黑体" w:eastAsia="黑体" w:cs="黑体"/>
      <w:b/>
      <w:bCs/>
      <w:sz w:val="24"/>
      <w:szCs w:val="24"/>
    </w:rPr>
  </w:style>
  <w:style w:type="character" w:customStyle="1" w:styleId="28">
    <w:name w:val="页眉 字符"/>
    <w:basedOn w:val="19"/>
    <w:link w:val="11"/>
    <w:autoRedefine/>
    <w:qFormat/>
    <w:uiPriority w:val="99"/>
    <w:rPr>
      <w:sz w:val="18"/>
      <w:szCs w:val="18"/>
    </w:rPr>
  </w:style>
  <w:style w:type="character" w:customStyle="1" w:styleId="29">
    <w:name w:val="页脚 字符"/>
    <w:basedOn w:val="19"/>
    <w:link w:val="10"/>
    <w:autoRedefine/>
    <w:qFormat/>
    <w:uiPriority w:val="99"/>
    <w:rPr>
      <w:sz w:val="18"/>
      <w:szCs w:val="18"/>
    </w:rPr>
  </w:style>
  <w:style w:type="character" w:customStyle="1" w:styleId="30">
    <w:name w:val="标题 1 字符"/>
    <w:basedOn w:val="19"/>
    <w:link w:val="2"/>
    <w:autoRedefine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1">
    <w:name w:val="副标题 字符"/>
    <w:basedOn w:val="19"/>
    <w:link w:val="12"/>
    <w:autoRedefine/>
    <w:qFormat/>
    <w:uiPriority w:val="0"/>
    <w:rPr>
      <w:rFonts w:ascii="Calibri" w:hAnsi="Calibri" w:eastAsia="楷体" w:cs="Times New Roman"/>
      <w:b/>
      <w:bCs/>
      <w:kern w:val="28"/>
      <w:szCs w:val="32"/>
    </w:rPr>
  </w:style>
  <w:style w:type="paragraph" w:styleId="3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3">
    <w:name w:val="普通(网站)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4">
    <w:name w:val="普通(网站) Char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5">
    <w:name w:val="+正文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 w:cs="Times New Roman"/>
      <w:sz w:val="24"/>
      <w:szCs w:val="24"/>
    </w:rPr>
  </w:style>
  <w:style w:type="paragraph" w:customStyle="1" w:styleId="36">
    <w:name w:val="表格内容"/>
    <w:basedOn w:val="1"/>
    <w:qFormat/>
    <w:uiPriority w:val="99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kern w:val="0"/>
    </w:rPr>
  </w:style>
  <w:style w:type="paragraph" w:customStyle="1" w:styleId="37">
    <w:name w:val="表格内容-居中"/>
    <w:basedOn w:val="1"/>
    <w:qFormat/>
    <w:uiPriority w:val="99"/>
    <w:pPr>
      <w:widowControl/>
      <w:overflowPunct w:val="0"/>
      <w:autoSpaceDE w:val="0"/>
      <w:autoSpaceDN w:val="0"/>
      <w:adjustRightInd w:val="0"/>
      <w:spacing w:before="40" w:after="40" w:line="300" w:lineRule="exact"/>
      <w:jc w:val="center"/>
      <w:textAlignment w:val="baseline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38">
    <w:name w:val="font3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bscript"/>
    </w:rPr>
  </w:style>
  <w:style w:type="character" w:customStyle="1" w:styleId="39">
    <w:name w:val="font2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character" w:customStyle="1" w:styleId="40">
    <w:name w:val="font4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perscript"/>
    </w:rPr>
  </w:style>
  <w:style w:type="character" w:customStyle="1" w:styleId="41">
    <w:name w:val="font1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paragraph" w:customStyle="1" w:styleId="42">
    <w:name w:val="EndNote Bibliography"/>
    <w:basedOn w:val="1"/>
    <w:autoRedefine/>
    <w:qFormat/>
    <w:uiPriority w:val="0"/>
    <w:pPr>
      <w:ind w:firstLine="200" w:firstLineChars="200"/>
      <w:jc w:val="left"/>
    </w:pPr>
    <w:rPr>
      <w:sz w:val="20"/>
    </w:rPr>
  </w:style>
  <w:style w:type="paragraph" w:customStyle="1" w:styleId="43">
    <w:name w:val="列出段落1"/>
    <w:basedOn w:val="1"/>
    <w:qFormat/>
    <w:uiPriority w:val="34"/>
    <w:pPr>
      <w:ind w:firstLine="420" w:firstLineChars="200"/>
    </w:pPr>
  </w:style>
  <w:style w:type="paragraph" w:customStyle="1" w:styleId="44">
    <w:name w:val="正文文本1"/>
    <w:basedOn w:val="1"/>
    <w:qFormat/>
    <w:uiPriority w:val="0"/>
    <w:pPr>
      <w:shd w:val="clear" w:color="auto" w:fill="FFFFFF"/>
      <w:spacing w:line="610" w:lineRule="exact"/>
      <w:jc w:val="center"/>
    </w:pPr>
    <w:rPr>
      <w:rFonts w:ascii="宋体" w:hAnsi="宋体" w:eastAsia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339</Words>
  <Characters>352</Characters>
  <Lines>35</Lines>
  <Paragraphs>9</Paragraphs>
  <TotalTime>1</TotalTime>
  <ScaleCrop>false</ScaleCrop>
  <LinksUpToDate>false</LinksUpToDate>
  <CharactersWithSpaces>358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2022-09-27T07:43:00Z</dcterms:created>
  <dc:creator>Liao KangCheng</dc:creator>
  <cp:lastModifiedBy>白海丹</cp:lastModifiedBy>
  <dcterms:modified xsi:type="dcterms:W3CDTF">2026-05-27T08:08:59Z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012170A0420347A89154D3512890171D_12</vt:lpwstr>
  </property>
  <property fmtid="{D5CDD505-2E9C-101B-9397-08002B2CF9AE}" pid="4" name="KSOTemplateDocerSaveRecord">
    <vt:lpwstr>eyJoZGlkIjoiMDc5ZmMwZTNkY2FjMjU1Y2Y4ZTlkNzhjNmI4MDEyNjciLCJ1c2VySWQiOiI0NDQ3MDkxMjgifQ==</vt:lpwstr>
  </property>
</Properties>
</file>