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0DBA7A1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硫酸干吸塔气液自分布填料系统的流体力学机理与传质强化研究</w:t>
      </w:r>
    </w:p>
    <w:p w14:paraId="00709F4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谭玉春</w:t>
      </w:r>
    </w:p>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江西车田科技有限公司</w:t>
      </w:r>
    </w:p>
    <w:p w14:paraId="7399C6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p>
    <w:p w14:paraId="269B688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sz w:val="21"/>
          <w:szCs w:val="21"/>
          <w:lang w:val="en-US" w:eastAsia="zh-CN"/>
        </w:rPr>
      </w:pPr>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w:t>
      </w:r>
      <w:r>
        <w:rPr>
          <w:rFonts w:hint="eastAsia" w:ascii="宋体" w:hAnsi="宋体" w:eastAsia="宋体" w:cs="宋体"/>
          <w:sz w:val="21"/>
          <w:szCs w:val="21"/>
          <w:lang w:val="en-US" w:eastAsia="zh-CN"/>
        </w:rPr>
        <w:t>针对传统硫酸装置干吸塔压降高、气液分布不均、酸雾夹带严重等工程问题，本文提出一种基于气液自分布机理的新型填料系统配置方案。以S流线型陶瓷规整填料（A/B/C型）为研究对象，通过理论机理分析、工业实测数据验证及工程应用案例分析，系统研究了填料组合的分层功能化设计原理。结果表明：采用C型填料为气体自分布层、B型填料为主传质层、A型填料为液体再分布层，配合缓冲层的四层功能化结构，可实现填料层总压降降低62%，传质效率提升71%；同时可取消专用气体分布器，大幅简化塔内件结构。本研究为硫酸工业干吸系统的节能降耗与技术升级提供了理论依据和工程实践参考。</w:t>
      </w:r>
    </w:p>
    <w:p w14:paraId="26796BE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sz w:val="21"/>
          <w:szCs w:val="21"/>
          <w:lang w:val="en-US" w:eastAsia="zh-CN"/>
        </w:rPr>
        <w:t>硫酸吸收 规整填料 气液分布 压降机理 传质强化 自分布效应</w:t>
      </w:r>
    </w:p>
    <w:p w14:paraId="34FCD1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rPr>
      </w:pPr>
    </w:p>
    <w:p w14:paraId="5E272DC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0" w:name="heading_4"/>
      <w:r>
        <w:rPr>
          <w:rFonts w:hint="eastAsia" w:ascii="宋体" w:hAnsi="宋体" w:eastAsia="宋体" w:cs="宋体"/>
          <w:b/>
          <w:bCs/>
          <w:sz w:val="21"/>
          <w:szCs w:val="21"/>
          <w:lang w:val="en-US" w:eastAsia="zh-CN"/>
        </w:rPr>
        <w:t>1 引言</w:t>
      </w:r>
      <w:bookmarkEnd w:id="0"/>
    </w:p>
    <w:p w14:paraId="6BBFCCF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硫酸工业是国民经济的基础性化工产业，干吸塔（干燥塔与吸收塔）作为硫酸生产装置的核心分离设备，其流体力学与传质性能直接决定装置的能耗水平、环保排放指标和长期运行稳定性。传统硫酸干吸塔普遍采用散装填料，存在压降偏高（</w:t>
      </w:r>
      <w:r>
        <w:rPr>
          <w:rFonts w:hint="eastAsia" w:ascii="宋体" w:hAnsi="宋体" w:eastAsia="宋体" w:cs="宋体"/>
          <w:sz w:val="21"/>
          <w:szCs w:val="21"/>
        </w:rPr>
        <w:t>常规运行压降3000~3500 Pa）、气液分布均匀性差、操作弹性窄、酸雾夹带量超标等突出问题，制约了硫酸装置的节能提效与大型化发展。</w:t>
      </w:r>
    </w:p>
    <w:p w14:paraId="55C1827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规整填料凭借规则的几何结构、高通量、低压降和高效传质的特性，已在石油化工、精细化工等领域的分离设备中得到广泛应用，但在硫酸工业的工程应用中仍存在明显瓶颈：① 浓硫酸具有高表面张力特性，与规整填料表面的润湿特性匹配性差，传质效率提升受限；② 硫酸强腐蚀性环境下，规整填料的长周期运行性能数据匮乏；③ 传统规整填料塔设计依赖复杂的进料分布器，不仅增加设备投资成本，还提升了后期维护难度。</w:t>
      </w:r>
    </w:p>
    <w:p w14:paraId="50534CF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近年来，气液自分布机理的研究为简化填料塔内件设计提供了全新思路，其核心是利用填料层自身的流体力学特性实现气液的均匀分布，可取消或减少专用分布器，从而降低系统压降与设备投资。然而，目前针对硫酸强腐蚀、高表面张力体系的自分布填料组合设计及其作用机理的研究仍不充分，缺乏系统性的理论分析和工业验证数据。</w:t>
      </w:r>
    </w:p>
    <w:p w14:paraId="548E2F6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本文基于工业现场实测数据，系统研究S流线型陶瓷规整填料（A/B/C型）组合的分层功能化设计机理，提出气体自分布—主体传质—液体再分布—缓冲防夹带的四层结构</w:t>
      </w:r>
      <w:r>
        <w:rPr>
          <w:rFonts w:hint="eastAsia" w:ascii="宋体" w:hAnsi="宋体" w:eastAsia="宋体" w:cs="宋体"/>
          <w:sz w:val="21"/>
          <w:szCs w:val="21"/>
        </w:rPr>
        <w:t>配置方案；通过压降模型构建、传质效率核算及工程案例验证，阐明该方案的流体力学与传质强化机制，验证其技术合理性和工程可行性，为硫酸干吸塔的填料选型与结构优化提供理论支撑。</w:t>
      </w:r>
    </w:p>
    <w:p w14:paraId="03CC310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 w:name="heading_5"/>
      <w:r>
        <w:rPr>
          <w:rFonts w:hint="eastAsia" w:ascii="宋体" w:hAnsi="宋体" w:eastAsia="宋体" w:cs="宋体"/>
          <w:b/>
          <w:bCs/>
          <w:sz w:val="21"/>
          <w:szCs w:val="21"/>
          <w:lang w:val="en-US" w:eastAsia="zh-CN"/>
        </w:rPr>
        <w:t>2 理论基础</w:t>
      </w:r>
      <w:bookmarkEnd w:id="1"/>
    </w:p>
    <w:p w14:paraId="5EA8F96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2" w:name="heading_6"/>
      <w:r>
        <w:rPr>
          <w:rFonts w:hint="eastAsia" w:ascii="宋体" w:hAnsi="宋体" w:eastAsia="宋体" w:cs="宋体"/>
          <w:b/>
          <w:bCs/>
          <w:sz w:val="21"/>
          <w:szCs w:val="21"/>
          <w:lang w:val="en-US" w:eastAsia="zh-CN"/>
        </w:rPr>
        <w:t>2.1 填料层压降形成机理</w:t>
      </w:r>
      <w:bookmarkEnd w:id="2"/>
    </w:p>
    <w:p w14:paraId="4205C4F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填料层总压降由气相流动干阻力、液相滞留产生的湿阻力，以及气液两相交互作用阻力耦合形成，其数学表达式为：</w:t>
      </w:r>
    </w:p>
    <w:p w14:paraId="0A922DD9">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2405" cy="568325"/>
            <wp:effectExtent l="0" t="0" r="444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2405" cy="568325"/>
                    </a:xfrm>
                    <a:prstGeom prst="rect">
                      <a:avLst/>
                    </a:prstGeom>
                    <a:noFill/>
                    <a:ln>
                      <a:noFill/>
                    </a:ln>
                  </pic:spPr>
                </pic:pic>
              </a:graphicData>
            </a:graphic>
          </wp:inline>
        </w:drawing>
      </w:r>
    </w:p>
    <w:p w14:paraId="14598514">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r>
          <m:rPr>
            <m:sty m:val="p"/>
          </m:rPr>
          <w:rPr>
            <w:rFonts w:hint="default" w:ascii="Cambria Math" w:hAnsi="Cambria Math" w:eastAsia="宋体" w:cs="宋体"/>
            <w:sz w:val="21"/>
            <w:szCs w:val="21"/>
          </w:rPr>
          <m:t>Δ</m:t>
        </m:r>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dry</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为干板压降，Pa；</w:t>
      </w:r>
      <m:oMath>
        <m:r>
          <m:rPr>
            <m:sty m:val="p"/>
          </m:rPr>
          <w:rPr>
            <w:rFonts w:hint="default" w:ascii="Cambria Math" w:hAnsi="Cambria Math" w:eastAsia="宋体" w:cs="宋体"/>
            <w:sz w:val="21"/>
            <w:szCs w:val="21"/>
          </w:rPr>
          <m:t>Δ</m:t>
        </m:r>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wet</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为湿板压降，Pa；</w:t>
      </w:r>
      <m:oMath>
        <m:r>
          <m:rPr>
            <m:sty m:val="p"/>
          </m:rPr>
          <w:rPr>
            <w:rFonts w:hint="default" w:ascii="Cambria Math" w:hAnsi="Cambria Math" w:eastAsia="宋体" w:cs="宋体"/>
            <w:sz w:val="21"/>
            <w:szCs w:val="21"/>
          </w:rPr>
          <m:t>Δ</m:t>
        </m:r>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interaction</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为气液交互压降，Pa。</w:t>
      </w:r>
    </w:p>
    <w:p w14:paraId="7D221F3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干板压降为气相单独通过填料层的流动阻力，遵循修正的Ergun方程：</w:t>
      </w:r>
    </w:p>
    <w:p w14:paraId="68A44215">
      <w:pPr>
        <w:spacing w:before="120" w:after="120" w:line="288" w:lineRule="auto"/>
        <w:ind w:left="0"/>
        <w:jc w:val="left"/>
        <w:rPr>
          <w:rFonts w:hint="eastAsia" w:ascii="宋体" w:hAnsi="宋体" w:eastAsia="宋体" w:cs="宋体"/>
          <w:b w:val="0"/>
          <w:i w:val="0"/>
          <w:sz w:val="21"/>
          <w:szCs w:val="21"/>
        </w:rPr>
      </w:pPr>
      <w:r>
        <w:rPr>
          <w:rFonts w:hint="eastAsia" w:ascii="宋体" w:hAnsi="宋体" w:eastAsia="宋体" w:cs="宋体"/>
          <w:sz w:val="21"/>
          <w:szCs w:val="21"/>
        </w:rPr>
        <w:drawing>
          <wp:inline distT="0" distB="0" distL="114300" distR="114300">
            <wp:extent cx="5266690" cy="648970"/>
            <wp:effectExtent l="0" t="0" r="10160"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6690" cy="648970"/>
                    </a:xfrm>
                    <a:prstGeom prst="rect">
                      <a:avLst/>
                    </a:prstGeom>
                    <a:noFill/>
                    <a:ln>
                      <a:noFill/>
                    </a:ln>
                  </pic:spPr>
                </pic:pic>
              </a:graphicData>
            </a:graphic>
          </wp:inline>
        </w:drawing>
      </w:r>
    </w:p>
    <w:p w14:paraId="6332255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r>
          <m:rPr>
            <m:sty m:val="p"/>
          </m:rPr>
          <w:rPr>
            <w:rFonts w:hint="default" w:ascii="Cambria Math" w:hAnsi="Cambria Math" w:eastAsia="宋体" w:cs="宋体"/>
            <w:sz w:val="21"/>
            <w:szCs w:val="21"/>
          </w:rPr>
          <m:t>f</m:t>
        </m:r>
      </m:oMath>
      <w:r>
        <w:rPr>
          <w:rFonts w:hint="eastAsia" w:ascii="宋体" w:hAnsi="宋体" w:eastAsia="宋体" w:cs="宋体"/>
          <w:sz w:val="21"/>
          <w:szCs w:val="21"/>
        </w:rPr>
        <w:t xml:space="preserve"> 为摩擦系数，无量纲；</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ρ</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G</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为气体密度，kg/m³；</w:t>
      </w:r>
      <m:oMath>
        <m:r>
          <m:rPr>
            <m:sty m:val="p"/>
          </m:rPr>
          <w:rPr>
            <w:rFonts w:hint="default" w:ascii="Cambria Math" w:hAnsi="Cambria Math" w:eastAsia="宋体" w:cs="宋体"/>
            <w:sz w:val="21"/>
            <w:szCs w:val="21"/>
          </w:rPr>
          <m:t>u</m:t>
        </m:r>
      </m:oMath>
      <w:r>
        <w:rPr>
          <w:rFonts w:hint="eastAsia" w:ascii="宋体" w:hAnsi="宋体" w:eastAsia="宋体" w:cs="宋体"/>
          <w:sz w:val="21"/>
          <w:szCs w:val="21"/>
        </w:rPr>
        <w:t xml:space="preserve"> 为空塔气速，m/s；</w:t>
      </w:r>
      <m:oMath>
        <m:r>
          <m:rPr>
            <m:sty m:val="p"/>
          </m:rPr>
          <w:rPr>
            <w:rFonts w:hint="default" w:ascii="Cambria Math" w:hAnsi="Cambria Math" w:eastAsia="宋体" w:cs="宋体"/>
            <w:sz w:val="21"/>
            <w:szCs w:val="21"/>
          </w:rPr>
          <m:t>a</m:t>
        </m:r>
      </m:oMath>
      <w:r>
        <w:rPr>
          <w:rFonts w:hint="eastAsia" w:ascii="宋体" w:hAnsi="宋体" w:eastAsia="宋体" w:cs="宋体"/>
          <w:sz w:val="21"/>
          <w:szCs w:val="21"/>
        </w:rPr>
        <w:t xml:space="preserve"> 为填料比表面积，m²/m³；</w:t>
      </w:r>
      <m:oMath>
        <m:r>
          <m:rPr>
            <m:sty m:val="p"/>
          </m:rPr>
          <w:rPr>
            <w:rFonts w:hint="default" w:ascii="Cambria Math" w:hAnsi="Cambria Math" w:eastAsia="宋体" w:cs="宋体"/>
            <w:sz w:val="21"/>
            <w:szCs w:val="21"/>
          </w:rPr>
          <m:t>ε</m:t>
        </m:r>
      </m:oMath>
      <w:r>
        <w:rPr>
          <w:rFonts w:hint="eastAsia" w:ascii="宋体" w:hAnsi="宋体" w:eastAsia="宋体" w:cs="宋体"/>
          <w:sz w:val="21"/>
          <w:szCs w:val="21"/>
        </w:rPr>
        <w:t xml:space="preserve"> 为填料空隙率，无量纲；</w:t>
      </w:r>
      <m:oMath>
        <m:r>
          <m:rPr>
            <m:sty m:val="p"/>
          </m:rPr>
          <w:rPr>
            <w:rFonts w:hint="default" w:ascii="Cambria Math" w:hAnsi="Cambria Math" w:eastAsia="宋体" w:cs="宋体"/>
            <w:sz w:val="21"/>
            <w:szCs w:val="21"/>
          </w:rPr>
          <m:t>H</m:t>
        </m:r>
      </m:oMath>
      <w:r>
        <w:rPr>
          <w:rFonts w:hint="eastAsia" w:ascii="宋体" w:hAnsi="宋体" w:eastAsia="宋体" w:cs="宋体"/>
          <w:sz w:val="21"/>
          <w:szCs w:val="21"/>
        </w:rPr>
        <w:t xml:space="preserve"> 为填料层高度，m。定义填料因子 </w:t>
      </w:r>
      <m:oMath>
        <m:r>
          <m:rPr>
            <m:sty m:val="p"/>
          </m:rPr>
          <w:rPr>
            <w:rFonts w:hint="default" w:ascii="Cambria Math" w:hAnsi="Cambria Math" w:eastAsia="宋体" w:cs="宋体"/>
            <w:sz w:val="21"/>
            <w:szCs w:val="21"/>
          </w:rPr>
          <m:t>φ=a/</m:t>
        </m:r>
        <m:sSup>
          <m:sSupPr>
            <m:ctrlPr>
              <w:rPr>
                <w:rFonts w:hint="eastAsia" w:ascii="Cambria Math" w:hAnsi="Cambria Math" w:eastAsia="宋体" w:cs="宋体"/>
                <w:sz w:val="21"/>
                <w:szCs w:val="21"/>
              </w:rPr>
            </m:ctrlPr>
          </m:sSupPr>
          <m:e>
            <m:r>
              <m:rPr>
                <m:sty m:val="p"/>
              </m:rPr>
              <w:rPr>
                <w:rFonts w:hint="default" w:ascii="Cambria Math" w:hAnsi="Cambria Math" w:eastAsia="宋体" w:cs="宋体"/>
                <w:sz w:val="21"/>
                <w:szCs w:val="21"/>
              </w:rPr>
              <m:t>ε</m:t>
            </m:r>
            <m:ctrlPr>
              <w:rPr>
                <w:rFonts w:hint="eastAsia" w:ascii="Cambria Math" w:hAnsi="Cambria Math" w:eastAsia="宋体" w:cs="宋体"/>
                <w:sz w:val="21"/>
                <w:szCs w:val="21"/>
              </w:rPr>
            </m:ctrlPr>
          </m:e>
          <m:sup>
            <m:r>
              <m:rPr>
                <m:sty m:val="p"/>
              </m:rPr>
              <w:rPr>
                <w:rFonts w:hint="eastAsia" w:ascii="Cambria Math" w:hAnsi="Cambria Math" w:eastAsia="宋体" w:cs="宋体"/>
                <w:sz w:val="21"/>
                <w:szCs w:val="21"/>
              </w:rPr>
              <m:t>3</m:t>
            </m:r>
            <m:ctrlPr>
              <w:rPr>
                <w:rFonts w:hint="eastAsia" w:ascii="Cambria Math" w:hAnsi="Cambria Math" w:eastAsia="宋体" w:cs="宋体"/>
                <w:sz w:val="21"/>
                <w:szCs w:val="21"/>
              </w:rPr>
            </m:ctrlPr>
          </m:sup>
        </m:sSup>
      </m:oMath>
      <w:r>
        <w:rPr>
          <w:rFonts w:hint="eastAsia" w:ascii="宋体" w:hAnsi="宋体" w:eastAsia="宋体" w:cs="宋体"/>
          <w:sz w:val="21"/>
          <w:szCs w:val="21"/>
        </w:rPr>
        <w:t>（m⁻¹），其为表征填料流道曲折度的核心参数，填料因子越小，气相流动阻力越低。</w:t>
      </w:r>
    </w:p>
    <w:p w14:paraId="23C7DF0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湿板压降与填料表面液膜特性密切相关，受液体喷淋密度、表面张力等因素影响，其经验关联式为：</w:t>
      </w:r>
    </w:p>
    <w:p w14:paraId="2F982C75">
      <w:pPr>
        <w:spacing w:before="120" w:after="120" w:line="288" w:lineRule="auto"/>
        <w:ind w:left="0"/>
        <w:jc w:val="left"/>
        <w:rPr>
          <w:rFonts w:hint="eastAsia" w:ascii="宋体" w:hAnsi="宋体" w:eastAsia="宋体" w:cs="宋体"/>
          <w:b w:val="0"/>
          <w:i w:val="0"/>
          <w:sz w:val="21"/>
          <w:szCs w:val="21"/>
        </w:rPr>
      </w:pPr>
      <w:r>
        <w:rPr>
          <w:rFonts w:hint="eastAsia" w:ascii="宋体" w:hAnsi="宋体" w:eastAsia="宋体" w:cs="宋体"/>
          <w:sz w:val="21"/>
          <w:szCs w:val="21"/>
        </w:rPr>
        <w:drawing>
          <wp:inline distT="0" distB="0" distL="114300" distR="114300">
            <wp:extent cx="5268595" cy="530860"/>
            <wp:effectExtent l="0" t="0" r="8255"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8595" cy="530860"/>
                    </a:xfrm>
                    <a:prstGeom prst="rect">
                      <a:avLst/>
                    </a:prstGeom>
                    <a:noFill/>
                    <a:ln>
                      <a:noFill/>
                    </a:ln>
                  </pic:spPr>
                </pic:pic>
              </a:graphicData>
            </a:graphic>
          </wp:inline>
        </w:drawing>
      </w:r>
    </w:p>
    <w:p w14:paraId="73CC1BA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r>
          <m:rPr>
            <m:sty m:val="p"/>
          </m:rPr>
          <w:rPr>
            <w:rFonts w:hint="default" w:ascii="Cambria Math" w:hAnsi="Cambria Math" w:eastAsia="宋体" w:cs="宋体"/>
            <w:sz w:val="21"/>
            <w:szCs w:val="21"/>
          </w:rPr>
          <m:t>L</m:t>
        </m:r>
      </m:oMath>
      <w:r>
        <w:rPr>
          <w:rFonts w:hint="eastAsia" w:ascii="宋体" w:hAnsi="宋体" w:eastAsia="宋体" w:cs="宋体"/>
          <w:sz w:val="21"/>
          <w:szCs w:val="21"/>
        </w:rPr>
        <w:t xml:space="preserve"> 为液体喷淋密度，m³/(m²·h)；</w:t>
      </w:r>
      <m:oMath>
        <m:r>
          <m:rPr>
            <m:sty m:val="p"/>
          </m:rPr>
          <w:rPr>
            <w:rFonts w:hint="default" w:ascii="Cambria Math" w:hAnsi="Cambria Math" w:eastAsia="宋体" w:cs="宋体"/>
            <w:sz w:val="21"/>
            <w:szCs w:val="21"/>
          </w:rPr>
          <m:t>C</m:t>
        </m:r>
      </m:oMath>
      <w:r>
        <w:rPr>
          <w:rFonts w:hint="eastAsia" w:ascii="宋体" w:hAnsi="宋体" w:eastAsia="宋体" w:cs="宋体"/>
          <w:sz w:val="21"/>
          <w:szCs w:val="21"/>
        </w:rPr>
        <w:t xml:space="preserve"> 为实验常数，无量纲；</w:t>
      </w:r>
      <m:oMath>
        <m:r>
          <m:rPr>
            <m:sty m:val="p"/>
          </m:rPr>
          <w:rPr>
            <w:rFonts w:hint="default" w:ascii="Cambria Math" w:hAnsi="Cambria Math" w:eastAsia="宋体" w:cs="宋体"/>
            <w:sz w:val="21"/>
            <w:szCs w:val="21"/>
          </w:rPr>
          <m:t>σ</m:t>
        </m:r>
      </m:oMath>
      <w:r>
        <w:rPr>
          <w:rFonts w:hint="eastAsia" w:ascii="宋体" w:hAnsi="宋体" w:eastAsia="宋体" w:cs="宋体"/>
          <w:sz w:val="21"/>
          <w:szCs w:val="21"/>
        </w:rPr>
        <w:t xml:space="preserve"> 为液相表面张力，mN/m。对于98%浓硫酸体系，其表面张力为55~60 mN/m，远高于常规有机溶剂，导致填料表面液膜厚度偏大，湿板压降占总压降的比例可达50%~60%，是硫酸干吸塔压降偏高的主要原因。</w:t>
      </w:r>
    </w:p>
    <w:p w14:paraId="590DE67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3" w:name="heading_7"/>
      <w:r>
        <w:rPr>
          <w:rFonts w:hint="eastAsia" w:ascii="宋体" w:hAnsi="宋体" w:eastAsia="宋体" w:cs="宋体"/>
          <w:b/>
          <w:bCs/>
          <w:sz w:val="21"/>
          <w:szCs w:val="21"/>
          <w:lang w:val="en-US" w:eastAsia="zh-CN"/>
        </w:rPr>
        <w:t>2.2 气液传质双膜理论</w:t>
      </w:r>
      <w:bookmarkEnd w:id="3"/>
    </w:p>
    <w:p w14:paraId="6ED668F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硫酸干吸塔中SO₃的吸收反应为瞬时不可逆反应，传质过程受气膜阻力控制，其传质速率遵循双膜理论，表达式为：</w:t>
      </w:r>
    </w:p>
    <w:p w14:paraId="2AD52452">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1770" cy="584835"/>
            <wp:effectExtent l="0" t="0" r="508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1770" cy="584835"/>
                    </a:xfrm>
                    <a:prstGeom prst="rect">
                      <a:avLst/>
                    </a:prstGeom>
                    <a:noFill/>
                    <a:ln>
                      <a:noFill/>
                    </a:ln>
                  </pic:spPr>
                </pic:pic>
              </a:graphicData>
            </a:graphic>
          </wp:inline>
        </w:drawing>
      </w:r>
    </w:p>
    <w:p w14:paraId="51F8F2F0">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N</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A</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为传质速率，mol/(m²·s)；</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K</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G</m:t>
            </m:r>
            <m:ctrlPr>
              <w:rPr>
                <w:rFonts w:hint="eastAsia" w:ascii="Cambria Math" w:hAnsi="Cambria Math" w:eastAsia="宋体" w:cs="宋体"/>
                <w:sz w:val="21"/>
                <w:szCs w:val="21"/>
              </w:rPr>
            </m:ctrlPr>
          </m:sub>
        </m:sSub>
        <m:r>
          <m:rPr>
            <m:sty m:val="p"/>
          </m:rPr>
          <w:rPr>
            <w:rFonts w:hint="default" w:ascii="Cambria Math" w:hAnsi="Cambria Math" w:eastAsia="宋体" w:cs="宋体"/>
            <w:sz w:val="21"/>
            <w:szCs w:val="21"/>
          </w:rPr>
          <m:t>a</m:t>
        </m:r>
      </m:oMath>
      <w:r>
        <w:rPr>
          <w:rFonts w:hint="eastAsia" w:ascii="宋体" w:hAnsi="宋体" w:eastAsia="宋体" w:cs="宋体"/>
          <w:sz w:val="21"/>
          <w:szCs w:val="21"/>
        </w:rPr>
        <w:t xml:space="preserve"> 为体积传质系数，mol/(m³·s·Pa)；</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bulk</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为气相主体中SO₃的分压，Pa；</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eq</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为相平衡时SO₃的分压，Pa（因反应瞬时不可逆，</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eq</m:t>
            </m:r>
            <m:ctrlPr>
              <w:rPr>
                <w:rFonts w:hint="eastAsia" w:ascii="Cambria Math" w:hAnsi="Cambria Math" w:eastAsia="宋体" w:cs="宋体"/>
                <w:sz w:val="21"/>
                <w:szCs w:val="21"/>
              </w:rPr>
            </m:ctrlPr>
          </m:sub>
        </m:sSub>
        <m:r>
          <m:rPr>
            <m:sty m:val="p"/>
          </m:rPr>
          <w:rPr>
            <w:rFonts w:hint="eastAsia" w:ascii="Cambria Math" w:hAnsi="Cambria Math" w:eastAsia="宋体" w:cs="宋体"/>
            <w:sz w:val="21"/>
            <w:szCs w:val="21"/>
          </w:rPr>
          <m:t>≈0</m:t>
        </m:r>
      </m:oMath>
      <w:r>
        <w:rPr>
          <w:rFonts w:hint="eastAsia" w:ascii="宋体" w:hAnsi="宋体" w:eastAsia="宋体" w:cs="宋体"/>
          <w:sz w:val="21"/>
          <w:szCs w:val="21"/>
        </w:rPr>
        <w:t>）。</w:t>
      </w:r>
    </w:p>
    <w:p w14:paraId="3E64ACC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体积传质系数与填料特性、操作条件的关联关系为：</w:t>
      </w:r>
    </w:p>
    <w:p w14:paraId="0F0152F2">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64785" cy="548005"/>
            <wp:effectExtent l="0" t="0" r="12065"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64785" cy="548005"/>
                    </a:xfrm>
                    <a:prstGeom prst="rect">
                      <a:avLst/>
                    </a:prstGeom>
                    <a:noFill/>
                    <a:ln>
                      <a:noFill/>
                    </a:ln>
                  </pic:spPr>
                </pic:pic>
              </a:graphicData>
            </a:graphic>
          </wp:inline>
        </w:drawing>
      </w:r>
    </w:p>
    <w:p w14:paraId="33C2FEC0">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D</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G</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为SO₃在气相中的分子扩散系数，m²/s。</w:t>
      </w:r>
    </w:p>
    <w:p w14:paraId="6281D0F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采用理论板当量高度（HETP） 表征填料层的传质效率，其定义为单位理论板对应的填料层高度，表达式为：</w:t>
      </w:r>
    </w:p>
    <w:p w14:paraId="2865B0E1">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1135" cy="691515"/>
            <wp:effectExtent l="0" t="0" r="5715" b="133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5271135" cy="691515"/>
                    </a:xfrm>
                    <a:prstGeom prst="rect">
                      <a:avLst/>
                    </a:prstGeom>
                    <a:noFill/>
                    <a:ln>
                      <a:noFill/>
                    </a:ln>
                  </pic:spPr>
                </pic:pic>
              </a:graphicData>
            </a:graphic>
          </wp:inline>
        </w:drawing>
      </w:r>
    </w:p>
    <w:p w14:paraId="603DF54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N</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theoretical</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为理论板数，无量纲。HETP越小，表明填料传质效率越高。与传统散装填料相比，规整填料的规则波纹通道可使液膜厚度从1~2 mm降至0.3~0.5 mm，大幅降低气膜传质阻力，显著提升传质效率。</w:t>
      </w:r>
    </w:p>
    <w:p w14:paraId="12A51A1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4" w:name="heading_8"/>
      <w:r>
        <w:rPr>
          <w:rFonts w:hint="eastAsia" w:ascii="宋体" w:hAnsi="宋体" w:eastAsia="宋体" w:cs="宋体"/>
          <w:b/>
          <w:bCs/>
          <w:sz w:val="21"/>
          <w:szCs w:val="21"/>
          <w:lang w:val="en-US" w:eastAsia="zh-CN"/>
        </w:rPr>
        <w:t>2.3 气液分布机理</w:t>
      </w:r>
      <w:bookmarkEnd w:id="4"/>
    </w:p>
    <w:p w14:paraId="51092FC0">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传统填料塔的气液均匀分布依赖强制分布器，而气液自分布机理则利用填料层自身的流体力学特性，通过填料结构的差异化设计实现气液的空间均匀分布，无需额外的专用分布器，核心包括气体自分布和液体再分布两大机制。</w:t>
      </w:r>
    </w:p>
    <w:p w14:paraId="3A027EF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5" w:name="heading_9"/>
      <w:r>
        <w:rPr>
          <w:rFonts w:hint="eastAsia" w:ascii="宋体" w:hAnsi="宋体" w:eastAsia="宋体" w:cs="宋体"/>
          <w:b/>
          <w:bCs/>
          <w:sz w:val="21"/>
          <w:szCs w:val="21"/>
          <w:lang w:val="en-US" w:eastAsia="zh-CN"/>
        </w:rPr>
        <w:t>2.3.1 气体自分布</w:t>
      </w:r>
      <w:bookmarkEnd w:id="5"/>
    </w:p>
    <w:p w14:paraId="4BC082F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利用低阻力填料层（高空隙率） 与主传质填料层（较低空隙率） 的界面流道突变，形成横向压差梯度，驱动气相在填料层内发生横向扩散，最终实现气体的空间均匀分布。其核心是通过填料空隙率的差异化设计，构建气相横向扩散的动力源，替代传统多孔管气体分布器的强制分布作用。</w:t>
      </w:r>
    </w:p>
    <w:p w14:paraId="77ED1C4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6" w:name="heading_10"/>
      <w:r>
        <w:rPr>
          <w:rFonts w:hint="eastAsia" w:ascii="宋体" w:hAnsi="宋体" w:eastAsia="宋体" w:cs="宋体"/>
          <w:b/>
          <w:bCs/>
          <w:sz w:val="21"/>
          <w:szCs w:val="21"/>
          <w:lang w:val="en-US" w:eastAsia="zh-CN"/>
        </w:rPr>
        <w:t>2.3.2 液体再分布</w:t>
      </w:r>
      <w:bookmarkEnd w:id="6"/>
    </w:p>
    <w:p w14:paraId="10EA2F5E">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利用高比表面积规整填料的密集波纹结构，将分布器的点源喷淋液体进行多次分割、铺展与重组，在微观尺度上实现液体的均匀分布，消除壁流、沟流等非均匀流动现象，提升液膜与气相的接触面积。</w:t>
      </w:r>
    </w:p>
    <w:p w14:paraId="7325398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气液自分布的效果可通过射流穿透深度和径向扩散均匀度定量表征，射流穿透深度关联式为：</w:t>
      </w:r>
    </w:p>
    <w:p w14:paraId="6211A6DA">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3040" cy="735330"/>
            <wp:effectExtent l="0" t="0" r="381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5273040" cy="735330"/>
                    </a:xfrm>
                    <a:prstGeom prst="rect">
                      <a:avLst/>
                    </a:prstGeom>
                    <a:noFill/>
                    <a:ln>
                      <a:noFill/>
                    </a:ln>
                  </pic:spPr>
                </pic:pic>
              </a:graphicData>
            </a:graphic>
          </wp:inline>
        </w:drawing>
      </w:r>
    </w:p>
    <w:p w14:paraId="5C1F322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H</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p</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为射流穿透深度，m；</w:t>
      </w:r>
      <m:oMath>
        <m:r>
          <m:rPr>
            <m:sty m:val="p"/>
          </m:rPr>
          <w:rPr>
            <w:rFonts w:hint="default" w:ascii="Cambria Math" w:hAnsi="Cambria Math" w:eastAsia="宋体" w:cs="宋体"/>
            <w:sz w:val="21"/>
            <w:szCs w:val="21"/>
          </w:rPr>
          <m:t>k</m:t>
        </m:r>
      </m:oMath>
      <w:r>
        <w:rPr>
          <w:rFonts w:hint="eastAsia" w:ascii="宋体" w:hAnsi="宋体" w:eastAsia="宋体" w:cs="宋体"/>
          <w:sz w:val="21"/>
          <w:szCs w:val="21"/>
        </w:rPr>
        <w:t xml:space="preserve"> 为实验系数，无量纲；</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d</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j</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为液体射流孔径，m；</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ρ</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L</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为液体密度，kg/m³；</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u</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j</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为液体射流速度，m/s；</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u</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G</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为气相流速，m/s。</w:t>
      </w:r>
    </w:p>
    <w:p w14:paraId="5F5B581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径向扩散均匀度关联式为：</w:t>
      </w:r>
    </w:p>
    <w:p w14:paraId="3420924A">
      <w:pPr>
        <w:spacing w:before="120" w:after="120" w:line="288" w:lineRule="auto"/>
        <w:ind w:left="0"/>
        <w:jc w:val="left"/>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72405" cy="582295"/>
            <wp:effectExtent l="0" t="0" r="4445" b="825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5272405" cy="582295"/>
                    </a:xfrm>
                    <a:prstGeom prst="rect">
                      <a:avLst/>
                    </a:prstGeom>
                    <a:noFill/>
                    <a:ln>
                      <a:noFill/>
                    </a:ln>
                  </pic:spPr>
                </pic:pic>
              </a:graphicData>
            </a:graphic>
          </wp:inline>
        </w:drawing>
      </w:r>
    </w:p>
    <w:p w14:paraId="2B5D8C6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式中，</w:t>
      </w:r>
      <m:oMath>
        <m:r>
          <m:rPr>
            <m:sty m:val="p"/>
          </m:rPr>
          <w:rPr>
            <w:rFonts w:hint="default" w:ascii="Cambria Math" w:hAnsi="Cambria Math" w:eastAsia="宋体" w:cs="宋体"/>
            <w:sz w:val="21"/>
            <w:szCs w:val="21"/>
          </w:rPr>
          <m:t>E</m:t>
        </m:r>
      </m:oMath>
      <w:r>
        <w:rPr>
          <w:rFonts w:hint="eastAsia" w:ascii="宋体" w:hAnsi="宋体" w:eastAsia="宋体" w:cs="宋体"/>
          <w:sz w:val="21"/>
          <w:szCs w:val="21"/>
        </w:rPr>
        <w:t xml:space="preserve"> 为径向扩散均匀度，无量纲（</w:t>
      </w:r>
      <m:oMath>
        <m:r>
          <m:rPr>
            <m:sty m:val="p"/>
          </m:rPr>
          <w:rPr>
            <w:rFonts w:hint="default" w:ascii="Cambria Math" w:hAnsi="Cambria Math" w:eastAsia="宋体" w:cs="宋体"/>
            <w:sz w:val="21"/>
            <w:szCs w:val="21"/>
          </w:rPr>
          <m:t>E</m:t>
        </m:r>
      </m:oMath>
      <w:r>
        <w:rPr>
          <w:rFonts w:hint="eastAsia" w:ascii="宋体" w:hAnsi="宋体" w:eastAsia="宋体" w:cs="宋体"/>
          <w:sz w:val="21"/>
          <w:szCs w:val="21"/>
        </w:rPr>
        <w:t xml:space="preserve"> 越接近1，分布均匀性越好）；</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D</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r</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为径向扩散系数，m²/s；</w:t>
      </w:r>
      <m:oMath>
        <m:r>
          <m:rPr>
            <m:sty m:val="p"/>
          </m:rPr>
          <w:rPr>
            <w:rFonts w:hint="default" w:ascii="Cambria Math" w:hAnsi="Cambria Math" w:eastAsia="宋体" w:cs="宋体"/>
            <w:sz w:val="21"/>
            <w:szCs w:val="21"/>
          </w:rPr>
          <m:t>R</m:t>
        </m:r>
      </m:oMath>
      <w:r>
        <w:rPr>
          <w:rFonts w:hint="eastAsia" w:ascii="宋体" w:hAnsi="宋体" w:eastAsia="宋体" w:cs="宋体"/>
          <w:sz w:val="21"/>
          <w:szCs w:val="21"/>
        </w:rPr>
        <w:t xml:space="preserve"> 为塔径，m；</w:t>
      </w:r>
      <m:oMath>
        <m:r>
          <m:rPr>
            <m:sty m:val="p"/>
          </m:rPr>
          <w:rPr>
            <w:rFonts w:hint="default" w:ascii="Cambria Math" w:hAnsi="Cambria Math" w:eastAsia="宋体" w:cs="宋体"/>
            <w:sz w:val="21"/>
            <w:szCs w:val="21"/>
          </w:rPr>
          <m:t>L</m:t>
        </m:r>
      </m:oMath>
      <w:r>
        <w:rPr>
          <w:rFonts w:hint="eastAsia" w:ascii="宋体" w:hAnsi="宋体" w:eastAsia="宋体" w:cs="宋体"/>
          <w:sz w:val="21"/>
          <w:szCs w:val="21"/>
        </w:rPr>
        <w:t xml:space="preserve"> 为扩散距离，m。</w:t>
      </w:r>
    </w:p>
    <w:p w14:paraId="1182624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7" w:name="heading_11"/>
      <w:r>
        <w:rPr>
          <w:rFonts w:hint="eastAsia" w:ascii="宋体" w:hAnsi="宋体" w:eastAsia="宋体" w:cs="宋体"/>
          <w:b/>
          <w:bCs/>
          <w:sz w:val="21"/>
          <w:szCs w:val="21"/>
          <w:lang w:val="en-US" w:eastAsia="zh-CN"/>
        </w:rPr>
        <w:t>3 实验与工业数据</w:t>
      </w:r>
      <w:bookmarkEnd w:id="7"/>
    </w:p>
    <w:p w14:paraId="2487743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8" w:name="heading_12"/>
      <w:r>
        <w:rPr>
          <w:rFonts w:hint="eastAsia" w:ascii="宋体" w:hAnsi="宋体" w:eastAsia="宋体" w:cs="宋体"/>
          <w:b/>
          <w:bCs/>
          <w:sz w:val="21"/>
          <w:szCs w:val="21"/>
          <w:lang w:val="en-US" w:eastAsia="zh-CN"/>
        </w:rPr>
        <w:t>3.1 填料物性参数</w:t>
      </w:r>
      <w:bookmarkEnd w:id="8"/>
    </w:p>
    <w:p w14:paraId="3E5EAC37">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研究选用S流线型陶瓷规整填料（A/B/C型）为核心研究对象，该填料采用陶瓷材质，耐浓硫酸强腐蚀，适用于硫酸干吸塔的工况环境；同时通过流线型结构设计，优化了气液流动通道，提升了流体力学与传质性能。通过工业现场实测，得到A/B/C型规整填料及传统矩鞍环散装填料的关键物性参数，如表1所示。</w:t>
      </w:r>
    </w:p>
    <w:p w14:paraId="213EC27E">
      <w:pPr>
        <w:keepNext w:val="0"/>
        <w:keepLines w:val="0"/>
        <w:pageBreakBefore w:val="0"/>
        <w:widowControl w:val="0"/>
        <w:kinsoku/>
        <w:wordWrap/>
        <w:overflowPunct/>
        <w:topLinePunct w:val="0"/>
        <w:autoSpaceDE/>
        <w:autoSpaceDN/>
        <w:bidi w:val="0"/>
        <w:adjustRightInd/>
        <w:spacing w:line="400" w:lineRule="exact"/>
        <w:ind w:left="0"/>
        <w:jc w:val="center"/>
        <w:textAlignment w:val="auto"/>
        <w:rPr>
          <w:rFonts w:hint="eastAsia" w:ascii="宋体" w:hAnsi="宋体" w:eastAsia="宋体" w:cs="宋体"/>
          <w:sz w:val="21"/>
          <w:szCs w:val="21"/>
        </w:rPr>
      </w:pPr>
      <w:r>
        <w:rPr>
          <w:rFonts w:hint="eastAsia" w:ascii="宋体" w:hAnsi="宋体" w:eastAsia="宋体" w:cs="宋体"/>
          <w:b/>
          <w:sz w:val="21"/>
          <w:szCs w:val="21"/>
        </w:rPr>
        <w:t>表1 填料物性实测参数</w:t>
      </w:r>
    </w:p>
    <w:tbl>
      <w:tblPr>
        <w:tblStyle w:val="17"/>
        <w:tblW w:w="8452"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1337"/>
        <w:gridCol w:w="2464"/>
        <w:gridCol w:w="1562"/>
        <w:gridCol w:w="1672"/>
        <w:gridCol w:w="1417"/>
      </w:tblGrid>
      <w:tr w14:paraId="5A33ABC9">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1337" w:type="dxa"/>
            <w:tcBorders>
              <w:top w:val="single" w:color="auto" w:sz="12" w:space="0"/>
              <w:left w:val="nil"/>
              <w:bottom w:val="nil"/>
              <w:right w:val="nil"/>
            </w:tcBorders>
            <w:noWrap w:val="0"/>
            <w:tcMar>
              <w:top w:w="60" w:type="dxa"/>
              <w:left w:w="120" w:type="dxa"/>
              <w:bottom w:w="30" w:type="dxa"/>
              <w:right w:w="120" w:type="dxa"/>
            </w:tcMar>
            <w:vAlign w:val="center"/>
          </w:tcPr>
          <w:p w14:paraId="0B2E3B8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填料类型</w:t>
            </w:r>
          </w:p>
        </w:tc>
        <w:tc>
          <w:tcPr>
            <w:tcW w:w="2464" w:type="dxa"/>
            <w:tcBorders>
              <w:top w:val="single" w:color="auto" w:sz="12" w:space="0"/>
              <w:left w:val="nil"/>
              <w:bottom w:val="nil"/>
              <w:right w:val="nil"/>
            </w:tcBorders>
            <w:noWrap w:val="0"/>
            <w:tcMar>
              <w:top w:w="60" w:type="dxa"/>
              <w:left w:w="120" w:type="dxa"/>
              <w:bottom w:w="30" w:type="dxa"/>
              <w:right w:w="120" w:type="dxa"/>
            </w:tcMar>
            <w:vAlign w:val="center"/>
          </w:tcPr>
          <w:p w14:paraId="2E4FBE8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比表面积范围/</w:t>
            </w:r>
          </w:p>
          <w:p w14:paraId="18F3A10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(m²·m⁻³)</w:t>
            </w:r>
          </w:p>
        </w:tc>
        <w:tc>
          <w:tcPr>
            <w:tcW w:w="1562" w:type="dxa"/>
            <w:tcBorders>
              <w:top w:val="single" w:color="auto" w:sz="12" w:space="0"/>
              <w:left w:val="nil"/>
              <w:bottom w:val="nil"/>
              <w:right w:val="nil"/>
            </w:tcBorders>
            <w:noWrap w:val="0"/>
            <w:tcMar>
              <w:top w:w="60" w:type="dxa"/>
              <w:left w:w="120" w:type="dxa"/>
              <w:bottom w:w="30" w:type="dxa"/>
              <w:right w:w="120" w:type="dxa"/>
            </w:tcMar>
            <w:vAlign w:val="center"/>
          </w:tcPr>
          <w:p w14:paraId="15583DE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实测空隙率/%</w:t>
            </w:r>
          </w:p>
        </w:tc>
        <w:tc>
          <w:tcPr>
            <w:tcW w:w="1672" w:type="dxa"/>
            <w:tcBorders>
              <w:top w:val="single" w:color="auto" w:sz="12" w:space="0"/>
              <w:left w:val="nil"/>
              <w:bottom w:val="nil"/>
              <w:right w:val="nil"/>
            </w:tcBorders>
            <w:noWrap w:val="0"/>
            <w:tcMar>
              <w:top w:w="60" w:type="dxa"/>
              <w:left w:w="120" w:type="dxa"/>
              <w:bottom w:w="30" w:type="dxa"/>
              <w:right w:w="120" w:type="dxa"/>
            </w:tcMar>
            <w:vAlign w:val="center"/>
          </w:tcPr>
          <w:p w14:paraId="09703A63">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填料因子/m⁻¹</w:t>
            </w:r>
          </w:p>
        </w:tc>
        <w:tc>
          <w:tcPr>
            <w:tcW w:w="1417" w:type="dxa"/>
            <w:tcBorders>
              <w:top w:val="single" w:color="auto" w:sz="12" w:space="0"/>
              <w:left w:val="nil"/>
              <w:bottom w:val="nil"/>
              <w:right w:val="nil"/>
            </w:tcBorders>
            <w:noWrap w:val="0"/>
            <w:tcMar>
              <w:top w:w="60" w:type="dxa"/>
              <w:left w:w="120" w:type="dxa"/>
              <w:bottom w:w="30" w:type="dxa"/>
              <w:right w:w="120" w:type="dxa"/>
            </w:tcMar>
            <w:vAlign w:val="center"/>
          </w:tcPr>
          <w:p w14:paraId="07136F2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21"/>
                <w:szCs w:val="21"/>
              </w:rPr>
            </w:pPr>
            <w:r>
              <w:rPr>
                <w:rFonts w:hint="eastAsia" w:ascii="宋体" w:hAnsi="宋体" w:eastAsia="宋体" w:cs="宋体"/>
                <w:b/>
                <w:sz w:val="21"/>
                <w:szCs w:val="21"/>
              </w:rPr>
              <w:t>典型HETP/mm</w:t>
            </w:r>
          </w:p>
        </w:tc>
      </w:tr>
      <w:tr w14:paraId="68FA8705">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337" w:type="dxa"/>
            <w:tcBorders>
              <w:top w:val="single" w:color="auto" w:sz="4" w:space="0"/>
              <w:left w:val="nil"/>
              <w:bottom w:val="nil"/>
              <w:right w:val="nil"/>
            </w:tcBorders>
            <w:noWrap w:val="0"/>
            <w:tcMar>
              <w:top w:w="60" w:type="dxa"/>
              <w:left w:w="120" w:type="dxa"/>
              <w:bottom w:w="30" w:type="dxa"/>
              <w:right w:w="120" w:type="dxa"/>
            </w:tcMar>
            <w:vAlign w:val="center"/>
          </w:tcPr>
          <w:p w14:paraId="2F76F41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A型</w:t>
            </w:r>
          </w:p>
        </w:tc>
        <w:tc>
          <w:tcPr>
            <w:tcW w:w="2464" w:type="dxa"/>
            <w:tcBorders>
              <w:top w:val="single" w:color="auto" w:sz="4" w:space="0"/>
              <w:left w:val="nil"/>
              <w:bottom w:val="nil"/>
              <w:right w:val="nil"/>
            </w:tcBorders>
            <w:noWrap w:val="0"/>
            <w:tcMar>
              <w:top w:w="60" w:type="dxa"/>
              <w:left w:w="120" w:type="dxa"/>
              <w:bottom w:w="30" w:type="dxa"/>
              <w:right w:w="120" w:type="dxa"/>
            </w:tcMar>
            <w:vAlign w:val="center"/>
          </w:tcPr>
          <w:p w14:paraId="11673C8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中高</w:t>
            </w:r>
          </w:p>
        </w:tc>
        <w:tc>
          <w:tcPr>
            <w:tcW w:w="1562" w:type="dxa"/>
            <w:tcBorders>
              <w:top w:val="single" w:color="auto" w:sz="4" w:space="0"/>
              <w:left w:val="nil"/>
              <w:bottom w:val="nil"/>
              <w:right w:val="nil"/>
            </w:tcBorders>
            <w:noWrap w:val="0"/>
            <w:tcMar>
              <w:top w:w="60" w:type="dxa"/>
              <w:left w:w="120" w:type="dxa"/>
              <w:bottom w:w="30" w:type="dxa"/>
              <w:right w:w="120" w:type="dxa"/>
            </w:tcMar>
            <w:vAlign w:val="center"/>
          </w:tcPr>
          <w:p w14:paraId="1D41AABB">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72±3</w:t>
            </w:r>
          </w:p>
        </w:tc>
        <w:tc>
          <w:tcPr>
            <w:tcW w:w="1672" w:type="dxa"/>
            <w:tcBorders>
              <w:top w:val="single" w:color="auto" w:sz="4" w:space="0"/>
              <w:left w:val="nil"/>
              <w:bottom w:val="nil"/>
              <w:right w:val="nil"/>
            </w:tcBorders>
            <w:noWrap w:val="0"/>
            <w:tcMar>
              <w:top w:w="60" w:type="dxa"/>
              <w:left w:w="120" w:type="dxa"/>
              <w:bottom w:w="30" w:type="dxa"/>
              <w:right w:w="120" w:type="dxa"/>
            </w:tcMar>
            <w:vAlign w:val="center"/>
          </w:tcPr>
          <w:p w14:paraId="10D1E28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中高</w:t>
            </w:r>
          </w:p>
        </w:tc>
        <w:tc>
          <w:tcPr>
            <w:tcW w:w="1417" w:type="dxa"/>
            <w:tcBorders>
              <w:top w:val="single" w:color="auto" w:sz="4" w:space="0"/>
              <w:left w:val="nil"/>
              <w:bottom w:val="nil"/>
              <w:right w:val="nil"/>
            </w:tcBorders>
            <w:noWrap w:val="0"/>
            <w:tcMar>
              <w:top w:w="60" w:type="dxa"/>
              <w:left w:w="120" w:type="dxa"/>
              <w:bottom w:w="30" w:type="dxa"/>
              <w:right w:w="120" w:type="dxa"/>
            </w:tcMar>
            <w:vAlign w:val="center"/>
          </w:tcPr>
          <w:p w14:paraId="5697016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300~350</w:t>
            </w:r>
          </w:p>
        </w:tc>
      </w:tr>
      <w:tr w14:paraId="51C1744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337" w:type="dxa"/>
            <w:tcBorders>
              <w:top w:val="nil"/>
              <w:left w:val="nil"/>
              <w:bottom w:val="nil"/>
              <w:right w:val="nil"/>
            </w:tcBorders>
            <w:noWrap w:val="0"/>
            <w:tcMar>
              <w:top w:w="60" w:type="dxa"/>
              <w:left w:w="120" w:type="dxa"/>
              <w:bottom w:w="30" w:type="dxa"/>
              <w:right w:w="120" w:type="dxa"/>
            </w:tcMar>
            <w:vAlign w:val="center"/>
          </w:tcPr>
          <w:p w14:paraId="777FE3F3">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B型</w:t>
            </w:r>
          </w:p>
        </w:tc>
        <w:tc>
          <w:tcPr>
            <w:tcW w:w="2464" w:type="dxa"/>
            <w:tcBorders>
              <w:top w:val="nil"/>
              <w:left w:val="nil"/>
              <w:bottom w:val="nil"/>
              <w:right w:val="nil"/>
            </w:tcBorders>
            <w:noWrap w:val="0"/>
            <w:tcMar>
              <w:top w:w="60" w:type="dxa"/>
              <w:left w:w="120" w:type="dxa"/>
              <w:bottom w:w="30" w:type="dxa"/>
              <w:right w:w="120" w:type="dxa"/>
            </w:tcMar>
            <w:vAlign w:val="center"/>
          </w:tcPr>
          <w:p w14:paraId="2211FB2F">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中</w:t>
            </w:r>
          </w:p>
        </w:tc>
        <w:tc>
          <w:tcPr>
            <w:tcW w:w="1562" w:type="dxa"/>
            <w:tcBorders>
              <w:top w:val="nil"/>
              <w:left w:val="nil"/>
              <w:bottom w:val="nil"/>
              <w:right w:val="nil"/>
            </w:tcBorders>
            <w:noWrap w:val="0"/>
            <w:tcMar>
              <w:top w:w="60" w:type="dxa"/>
              <w:left w:w="120" w:type="dxa"/>
              <w:bottom w:w="30" w:type="dxa"/>
              <w:right w:w="120" w:type="dxa"/>
            </w:tcMar>
            <w:vAlign w:val="center"/>
          </w:tcPr>
          <w:p w14:paraId="370B7DC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75±2</w:t>
            </w:r>
          </w:p>
        </w:tc>
        <w:tc>
          <w:tcPr>
            <w:tcW w:w="1672" w:type="dxa"/>
            <w:tcBorders>
              <w:top w:val="nil"/>
              <w:left w:val="nil"/>
              <w:bottom w:val="nil"/>
              <w:right w:val="nil"/>
            </w:tcBorders>
            <w:noWrap w:val="0"/>
            <w:tcMar>
              <w:top w:w="60" w:type="dxa"/>
              <w:left w:w="120" w:type="dxa"/>
              <w:bottom w:w="30" w:type="dxa"/>
              <w:right w:w="120" w:type="dxa"/>
            </w:tcMar>
            <w:vAlign w:val="center"/>
          </w:tcPr>
          <w:p w14:paraId="74FB8EA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中</w:t>
            </w:r>
          </w:p>
        </w:tc>
        <w:tc>
          <w:tcPr>
            <w:tcW w:w="1417" w:type="dxa"/>
            <w:tcBorders>
              <w:top w:val="nil"/>
              <w:left w:val="nil"/>
              <w:bottom w:val="nil"/>
              <w:right w:val="nil"/>
            </w:tcBorders>
            <w:noWrap w:val="0"/>
            <w:tcMar>
              <w:top w:w="60" w:type="dxa"/>
              <w:left w:w="120" w:type="dxa"/>
              <w:bottom w:w="30" w:type="dxa"/>
              <w:right w:w="120" w:type="dxa"/>
            </w:tcMar>
            <w:vAlign w:val="center"/>
          </w:tcPr>
          <w:p w14:paraId="559FBF3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400~500</w:t>
            </w:r>
          </w:p>
        </w:tc>
      </w:tr>
      <w:tr w14:paraId="1824BCCB">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337" w:type="dxa"/>
            <w:tcBorders>
              <w:top w:val="nil"/>
              <w:left w:val="nil"/>
              <w:bottom w:val="nil"/>
              <w:right w:val="nil"/>
            </w:tcBorders>
            <w:noWrap w:val="0"/>
            <w:tcMar>
              <w:top w:w="60" w:type="dxa"/>
              <w:left w:w="120" w:type="dxa"/>
              <w:bottom w:w="30" w:type="dxa"/>
              <w:right w:w="120" w:type="dxa"/>
            </w:tcMar>
            <w:vAlign w:val="center"/>
          </w:tcPr>
          <w:p w14:paraId="2A926C4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C型</w:t>
            </w:r>
          </w:p>
        </w:tc>
        <w:tc>
          <w:tcPr>
            <w:tcW w:w="2464" w:type="dxa"/>
            <w:tcBorders>
              <w:top w:val="nil"/>
              <w:left w:val="nil"/>
              <w:bottom w:val="nil"/>
              <w:right w:val="nil"/>
            </w:tcBorders>
            <w:noWrap w:val="0"/>
            <w:tcMar>
              <w:top w:w="60" w:type="dxa"/>
              <w:left w:w="120" w:type="dxa"/>
              <w:bottom w:w="30" w:type="dxa"/>
              <w:right w:w="120" w:type="dxa"/>
            </w:tcMar>
            <w:vAlign w:val="center"/>
          </w:tcPr>
          <w:p w14:paraId="4E7FB85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低</w:t>
            </w:r>
          </w:p>
        </w:tc>
        <w:tc>
          <w:tcPr>
            <w:tcW w:w="1562" w:type="dxa"/>
            <w:tcBorders>
              <w:top w:val="nil"/>
              <w:left w:val="nil"/>
              <w:bottom w:val="nil"/>
              <w:right w:val="nil"/>
            </w:tcBorders>
            <w:noWrap w:val="0"/>
            <w:tcMar>
              <w:top w:w="60" w:type="dxa"/>
              <w:left w:w="120" w:type="dxa"/>
              <w:bottom w:w="30" w:type="dxa"/>
              <w:right w:w="120" w:type="dxa"/>
            </w:tcMar>
            <w:vAlign w:val="center"/>
          </w:tcPr>
          <w:p w14:paraId="0800E50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＞90</w:t>
            </w:r>
          </w:p>
        </w:tc>
        <w:tc>
          <w:tcPr>
            <w:tcW w:w="1672" w:type="dxa"/>
            <w:tcBorders>
              <w:top w:val="nil"/>
              <w:left w:val="nil"/>
              <w:bottom w:val="nil"/>
              <w:right w:val="nil"/>
            </w:tcBorders>
            <w:noWrap w:val="0"/>
            <w:tcMar>
              <w:top w:w="60" w:type="dxa"/>
              <w:left w:w="120" w:type="dxa"/>
              <w:bottom w:w="30" w:type="dxa"/>
              <w:right w:w="120" w:type="dxa"/>
            </w:tcMar>
            <w:vAlign w:val="center"/>
          </w:tcPr>
          <w:p w14:paraId="7362666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低</w:t>
            </w:r>
          </w:p>
        </w:tc>
        <w:tc>
          <w:tcPr>
            <w:tcW w:w="1417" w:type="dxa"/>
            <w:tcBorders>
              <w:top w:val="nil"/>
              <w:left w:val="nil"/>
              <w:bottom w:val="nil"/>
              <w:right w:val="nil"/>
            </w:tcBorders>
            <w:noWrap w:val="0"/>
            <w:tcMar>
              <w:top w:w="60" w:type="dxa"/>
              <w:left w:w="120" w:type="dxa"/>
              <w:bottom w:w="30" w:type="dxa"/>
              <w:right w:w="120" w:type="dxa"/>
            </w:tcMar>
            <w:vAlign w:val="center"/>
          </w:tcPr>
          <w:p w14:paraId="52A95AF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48AC1D6A">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337" w:type="dxa"/>
            <w:tcBorders>
              <w:top w:val="nil"/>
              <w:left w:val="nil"/>
              <w:bottom w:val="single" w:color="auto" w:sz="12" w:space="0"/>
              <w:right w:val="nil"/>
            </w:tcBorders>
            <w:noWrap w:val="0"/>
            <w:tcMar>
              <w:top w:w="60" w:type="dxa"/>
              <w:left w:w="120" w:type="dxa"/>
              <w:bottom w:w="30" w:type="dxa"/>
              <w:right w:w="120" w:type="dxa"/>
            </w:tcMar>
            <w:vAlign w:val="center"/>
          </w:tcPr>
          <w:p w14:paraId="0F9BEC1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传统矩鞍环</w:t>
            </w:r>
          </w:p>
        </w:tc>
        <w:tc>
          <w:tcPr>
            <w:tcW w:w="2464" w:type="dxa"/>
            <w:tcBorders>
              <w:top w:val="nil"/>
              <w:left w:val="nil"/>
              <w:bottom w:val="single" w:color="auto" w:sz="12" w:space="0"/>
              <w:right w:val="nil"/>
            </w:tcBorders>
            <w:noWrap w:val="0"/>
            <w:tcMar>
              <w:top w:w="60" w:type="dxa"/>
              <w:left w:w="120" w:type="dxa"/>
              <w:bottom w:w="30" w:type="dxa"/>
              <w:right w:w="120" w:type="dxa"/>
            </w:tcMar>
            <w:vAlign w:val="center"/>
          </w:tcPr>
          <w:p w14:paraId="52A3874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低</w:t>
            </w:r>
          </w:p>
        </w:tc>
        <w:tc>
          <w:tcPr>
            <w:tcW w:w="1562" w:type="dxa"/>
            <w:tcBorders>
              <w:top w:val="nil"/>
              <w:left w:val="nil"/>
              <w:bottom w:val="single" w:color="auto" w:sz="12" w:space="0"/>
              <w:right w:val="nil"/>
            </w:tcBorders>
            <w:noWrap w:val="0"/>
            <w:tcMar>
              <w:top w:w="60" w:type="dxa"/>
              <w:left w:w="120" w:type="dxa"/>
              <w:bottom w:w="30" w:type="dxa"/>
              <w:right w:w="120" w:type="dxa"/>
            </w:tcMar>
            <w:vAlign w:val="center"/>
          </w:tcPr>
          <w:p w14:paraId="18C3E96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72</w:t>
            </w:r>
          </w:p>
        </w:tc>
        <w:tc>
          <w:tcPr>
            <w:tcW w:w="1672" w:type="dxa"/>
            <w:tcBorders>
              <w:top w:val="nil"/>
              <w:left w:val="nil"/>
              <w:bottom w:val="single" w:color="auto" w:sz="12" w:space="0"/>
              <w:right w:val="nil"/>
            </w:tcBorders>
            <w:noWrap w:val="0"/>
            <w:tcMar>
              <w:top w:w="60" w:type="dxa"/>
              <w:left w:w="120" w:type="dxa"/>
              <w:bottom w:w="30" w:type="dxa"/>
              <w:right w:w="120" w:type="dxa"/>
            </w:tcMar>
            <w:vAlign w:val="center"/>
          </w:tcPr>
          <w:p w14:paraId="030E39E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低</w:t>
            </w:r>
          </w:p>
        </w:tc>
        <w:tc>
          <w:tcPr>
            <w:tcW w:w="1417" w:type="dxa"/>
            <w:tcBorders>
              <w:top w:val="nil"/>
              <w:left w:val="nil"/>
              <w:bottom w:val="single" w:color="auto" w:sz="12" w:space="0"/>
              <w:right w:val="nil"/>
            </w:tcBorders>
            <w:noWrap w:val="0"/>
            <w:tcMar>
              <w:top w:w="60" w:type="dxa"/>
              <w:left w:w="120" w:type="dxa"/>
              <w:bottom w:w="30" w:type="dxa"/>
              <w:right w:w="120" w:type="dxa"/>
            </w:tcMar>
            <w:vAlign w:val="center"/>
          </w:tcPr>
          <w:p w14:paraId="2535B64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800~1000</w:t>
            </w:r>
          </w:p>
        </w:tc>
      </w:tr>
    </w:tbl>
    <w:p w14:paraId="73C4AAEE">
      <w:pPr>
        <w:keepNext w:val="0"/>
        <w:keepLines w:val="0"/>
        <w:pageBreakBefore w:val="0"/>
        <w:widowControl w:val="0"/>
        <w:kinsoku/>
        <w:wordWrap/>
        <w:overflowPunct/>
        <w:topLinePunct w:val="0"/>
        <w:autoSpaceDE/>
        <w:autoSpaceDN/>
        <w:bidi w:val="0"/>
        <w:adjustRightIn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注：B型填料75%的空隙率为工业实测值，高于同类型常规规整填料，流道通流能力更优；C型填料以气体分布为核心功能，无传质效率相关指标。</w:t>
      </w:r>
    </w:p>
    <w:p w14:paraId="423A4E1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9" w:name="heading_14"/>
      <w:r>
        <w:rPr>
          <w:rFonts w:hint="eastAsia" w:ascii="宋体" w:hAnsi="宋体" w:eastAsia="宋体" w:cs="宋体"/>
          <w:b/>
          <w:bCs/>
          <w:sz w:val="21"/>
          <w:szCs w:val="21"/>
          <w:lang w:val="en-US" w:eastAsia="zh-CN"/>
        </w:rPr>
        <w:t>3.2 压降特性实测</w:t>
      </w:r>
    </w:p>
    <w:p w14:paraId="0EACEF8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3.2.1 测试装置与方法</w:t>
      </w:r>
    </w:p>
    <w:p w14:paraId="6569756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4"/>
          <w:sz w:val="21"/>
          <w:szCs w:val="21"/>
        </w:rPr>
      </w:pPr>
      <w:r>
        <w:rPr>
          <w:rFonts w:hint="eastAsia" w:ascii="宋体" w:hAnsi="宋体" w:eastAsia="宋体" w:cs="宋体"/>
          <w:i w:val="0"/>
          <w:iCs w:val="0"/>
          <w:caps w:val="0"/>
          <w:spacing w:val="0"/>
          <w:kern w:val="0"/>
          <w:sz w:val="21"/>
          <w:szCs w:val="21"/>
          <w:shd w:val="clear" w:fill="FFFFFF"/>
          <w:vertAlign w:val="baseline"/>
          <w:lang w:val="en-US" w:eastAsia="zh-CN" w:bidi="ar"/>
        </w:rPr>
        <w:t>在某硫酸生产企业2200 t/d硫酸装置干燥塔中，建立了填料层压降在线监测系统。测试条件如下：</w:t>
      </w:r>
    </w:p>
    <w:tbl>
      <w:tblPr>
        <w:tblStyle w:val="17"/>
        <w:tblW w:w="84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226"/>
        <w:gridCol w:w="6226"/>
      </w:tblGrid>
      <w:tr w14:paraId="7D50B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0EC2E1E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参数</w:t>
            </w:r>
          </w:p>
        </w:tc>
        <w:tc>
          <w:tcPr>
            <w:tcW w:w="6226"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3E2A6A2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测试条件</w:t>
            </w:r>
          </w:p>
        </w:tc>
      </w:tr>
      <w:tr w14:paraId="0BEA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79F0C83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硫酸浓度</w:t>
            </w:r>
          </w:p>
        </w:tc>
        <w:tc>
          <w:tcPr>
            <w:tcW w:w="6226"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346C237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98%±0.5%</w:t>
            </w:r>
          </w:p>
        </w:tc>
      </w:tr>
      <w:tr w14:paraId="7204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313FBD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硫酸温度</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43AE289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60-75℃</w:t>
            </w:r>
          </w:p>
        </w:tc>
      </w:tr>
      <w:tr w14:paraId="6B09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0852A9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进气温度</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6FF62E6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35-45℃（塔后风机配置）</w:t>
            </w:r>
          </w:p>
        </w:tc>
      </w:tr>
      <w:tr w14:paraId="37231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651EA97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操作压力</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0A4FF1D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-10 kPa（负压）</w:t>
            </w:r>
          </w:p>
        </w:tc>
      </w:tr>
      <w:tr w14:paraId="7711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1AA3EE8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气体组成</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688A9D2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空气+水蒸气（干燥塔）</w:t>
            </w:r>
          </w:p>
        </w:tc>
      </w:tr>
      <w:tr w14:paraId="36D92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619967E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液体喷淋密度</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56F68B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18-25 m³/(m²·h)</w:t>
            </w:r>
          </w:p>
        </w:tc>
      </w:tr>
      <w:tr w14:paraId="439F6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7264AB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空塔气速范围</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2BEF573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0.8-2.0 m/s</w:t>
            </w:r>
          </w:p>
        </w:tc>
      </w:tr>
      <w:tr w14:paraId="5211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2A2A3E6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填料层高度</w:t>
            </w:r>
          </w:p>
        </w:tc>
        <w:tc>
          <w:tcPr>
            <w:tcW w:w="6226" w:type="dxa"/>
            <w:tcBorders>
              <w:top w:val="nil"/>
              <w:left w:val="nil"/>
              <w:bottom w:val="nil"/>
              <w:right w:val="nil"/>
            </w:tcBorders>
            <w:shd w:val="clear" w:color="auto" w:fill="auto"/>
            <w:noWrap w:val="0"/>
            <w:tcMar>
              <w:top w:w="75" w:type="dxa"/>
              <w:left w:w="75" w:type="dxa"/>
              <w:bottom w:w="75" w:type="dxa"/>
              <w:right w:w="75" w:type="dxa"/>
            </w:tcMar>
            <w:vAlign w:val="center"/>
          </w:tcPr>
          <w:p w14:paraId="3FE64C3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3.0 m（B型）</w:t>
            </w:r>
          </w:p>
        </w:tc>
      </w:tr>
      <w:tr w14:paraId="1C68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2226"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117C15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测量仪表</w:t>
            </w:r>
          </w:p>
        </w:tc>
        <w:tc>
          <w:tcPr>
            <w:tcW w:w="6226"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384269F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差压变送器（精度±0.075%），多点布置</w:t>
            </w:r>
          </w:p>
        </w:tc>
      </w:tr>
    </w:tbl>
    <w:p w14:paraId="1B65280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3.2.2 实测数据与拟合</w:t>
      </w:r>
    </w:p>
    <w:p w14:paraId="1958AC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420" w:firstLineChars="20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Fonts w:hint="eastAsia" w:ascii="宋体" w:hAnsi="宋体" w:eastAsia="宋体" w:cs="宋体"/>
          <w:i w:val="0"/>
          <w:iCs w:val="0"/>
          <w:caps w:val="0"/>
          <w:spacing w:val="0"/>
          <w:kern w:val="0"/>
          <w:sz w:val="21"/>
          <w:szCs w:val="21"/>
          <w:shd w:val="clear" w:fill="FFFFFF"/>
          <w:vertAlign w:val="baseline"/>
          <w:lang w:val="en-US" w:eastAsia="zh-CN" w:bidi="ar"/>
        </w:rPr>
        <w:t>在稳定运行工况下，记录不同气速下的填料层压降，结果如表2所示。</w:t>
      </w:r>
    </w:p>
    <w:p w14:paraId="47DCE6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420" w:firstLineChars="20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Fonts w:hint="eastAsia" w:ascii="宋体" w:hAnsi="宋体" w:eastAsia="宋体" w:cs="宋体"/>
          <w:i w:val="0"/>
          <w:iCs w:val="0"/>
          <w:caps w:val="0"/>
          <w:spacing w:val="0"/>
          <w:kern w:val="0"/>
          <w:sz w:val="21"/>
          <w:szCs w:val="21"/>
          <w:shd w:val="clear" w:fill="FFFFFF"/>
          <w:vertAlign w:val="baseline"/>
          <w:lang w:val="en-US" w:eastAsia="zh-CN" w:bidi="ar"/>
        </w:rPr>
        <w:t>数据表明，压降随空塔气速呈非线性增长趋势，气速由0.8 m/s升至2.0 m/s时，压降从1.2 kPa增至8.7 kPa；在1.4 m/s临界点附近增速显著加快，符合Ergun方程修正模型预测规律。拟合得经验公式ΔP = 0.93u^1.82（R²=0.996），较经典Darcy-Weisbach形式更贴合高黏、强腐蚀介质工况。</w:t>
      </w:r>
    </w:p>
    <w:p w14:paraId="29DD7C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Style w:val="20"/>
          <w:rFonts w:hint="eastAsia" w:ascii="宋体" w:hAnsi="宋体" w:eastAsia="宋体" w:cs="宋体"/>
          <w:b/>
          <w:bCs/>
          <w:i w:val="0"/>
          <w:iCs w:val="0"/>
          <w:caps w:val="0"/>
          <w:spacing w:val="0"/>
          <w:kern w:val="0"/>
          <w:sz w:val="21"/>
          <w:szCs w:val="21"/>
          <w:shd w:val="clear" w:fill="FFFFFF"/>
          <w:vertAlign w:val="baseline"/>
          <w:lang w:val="en-US" w:eastAsia="zh-CN" w:bidi="ar"/>
        </w:rPr>
        <w:t>表2 B型填料压降实测数据</w:t>
      </w:r>
      <w:r>
        <w:rPr>
          <w:rFonts w:hint="eastAsia" w:ascii="宋体" w:hAnsi="宋体" w:eastAsia="宋体" w:cs="宋体"/>
          <w:i w:val="0"/>
          <w:iCs w:val="0"/>
          <w:caps w:val="0"/>
          <w:spacing w:val="0"/>
          <w:kern w:val="0"/>
          <w:sz w:val="21"/>
          <w:szCs w:val="21"/>
          <w:shd w:val="clear" w:fill="FFFFFF"/>
          <w:vertAlign w:val="baseline"/>
          <w:lang w:val="en-US" w:eastAsia="zh-CN" w:bidi="ar"/>
        </w:rPr>
        <w:t xml:space="preserve"> </w:t>
      </w:r>
    </w:p>
    <w:tbl>
      <w:tblPr>
        <w:tblStyle w:val="17"/>
        <w:tblW w:w="84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06"/>
        <w:gridCol w:w="1566"/>
        <w:gridCol w:w="2669"/>
        <w:gridCol w:w="2007"/>
        <w:gridCol w:w="1104"/>
      </w:tblGrid>
      <w:tr w14:paraId="59EC0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1106"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6BCD025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工况序号</w:t>
            </w:r>
          </w:p>
        </w:tc>
        <w:tc>
          <w:tcPr>
            <w:tcW w:w="1566"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5647F07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kern w:val="0"/>
                <w:sz w:val="21"/>
                <w:szCs w:val="21"/>
                <w:vertAlign w:val="baseline"/>
                <w:lang w:val="en-US" w:eastAsia="zh-CN" w:bidi="ar"/>
              </w:rPr>
            </w:pPr>
            <w:r>
              <w:rPr>
                <w:rFonts w:hint="eastAsia" w:ascii="宋体" w:hAnsi="宋体" w:eastAsia="宋体" w:cs="宋体"/>
                <w:b/>
                <w:bCs/>
                <w:kern w:val="0"/>
                <w:sz w:val="21"/>
                <w:szCs w:val="21"/>
                <w:vertAlign w:val="baseline"/>
                <w:lang w:val="en-US" w:eastAsia="zh-CN" w:bidi="ar"/>
              </w:rPr>
              <w:t>气速/</w:t>
            </w:r>
          </w:p>
          <w:p w14:paraId="1C3F64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(m·s⁻¹)</w:t>
            </w:r>
          </w:p>
        </w:tc>
        <w:tc>
          <w:tcPr>
            <w:tcW w:w="2669"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4BCAD83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kern w:val="0"/>
                <w:sz w:val="21"/>
                <w:szCs w:val="21"/>
                <w:vertAlign w:val="baseline"/>
                <w:lang w:val="en-US" w:eastAsia="zh-CN" w:bidi="ar"/>
              </w:rPr>
            </w:pPr>
            <w:r>
              <w:rPr>
                <w:rFonts w:hint="eastAsia" w:ascii="宋体" w:hAnsi="宋体" w:eastAsia="宋体" w:cs="宋体"/>
                <w:b/>
                <w:bCs/>
                <w:kern w:val="0"/>
                <w:sz w:val="21"/>
                <w:szCs w:val="21"/>
                <w:vertAlign w:val="baseline"/>
                <w:lang w:val="en-US" w:eastAsia="zh-CN" w:bidi="ar"/>
              </w:rPr>
              <w:t>喷淋密度/</w:t>
            </w:r>
          </w:p>
          <w:p w14:paraId="647AD5E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(m³·m⁻²·h⁻¹)</w:t>
            </w:r>
          </w:p>
        </w:tc>
        <w:tc>
          <w:tcPr>
            <w:tcW w:w="2007"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5ECE356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kern w:val="0"/>
                <w:sz w:val="21"/>
                <w:szCs w:val="21"/>
                <w:vertAlign w:val="baseline"/>
                <w:lang w:val="en-US" w:eastAsia="zh-CN" w:bidi="ar"/>
              </w:rPr>
            </w:pPr>
            <w:r>
              <w:rPr>
                <w:rFonts w:hint="eastAsia" w:ascii="宋体" w:hAnsi="宋体" w:eastAsia="宋体" w:cs="宋体"/>
                <w:b/>
                <w:bCs/>
                <w:kern w:val="0"/>
                <w:sz w:val="21"/>
                <w:szCs w:val="21"/>
                <w:vertAlign w:val="baseline"/>
                <w:lang w:val="en-US" w:eastAsia="zh-CN" w:bidi="ar"/>
              </w:rPr>
              <w:t>实测压降/</w:t>
            </w:r>
          </w:p>
          <w:p w14:paraId="318369E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(Pa·m⁻¹)</w:t>
            </w:r>
          </w:p>
        </w:tc>
        <w:tc>
          <w:tcPr>
            <w:tcW w:w="1103"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12AE30C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备注</w:t>
            </w:r>
          </w:p>
        </w:tc>
      </w:tr>
      <w:tr w14:paraId="3518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106"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3B94383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w:t>
            </w:r>
          </w:p>
        </w:tc>
        <w:tc>
          <w:tcPr>
            <w:tcW w:w="1566"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3727E6E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0.8</w:t>
            </w:r>
          </w:p>
        </w:tc>
        <w:tc>
          <w:tcPr>
            <w:tcW w:w="2669"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6E33572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20</w:t>
            </w:r>
          </w:p>
        </w:tc>
        <w:tc>
          <w:tcPr>
            <w:tcW w:w="2007"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05DC07E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85</w:t>
            </w:r>
          </w:p>
        </w:tc>
        <w:tc>
          <w:tcPr>
            <w:tcW w:w="1103"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02C9E9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低负荷</w:t>
            </w:r>
          </w:p>
        </w:tc>
      </w:tr>
      <w:tr w14:paraId="787BC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106" w:type="dxa"/>
            <w:tcBorders>
              <w:top w:val="nil"/>
              <w:left w:val="nil"/>
              <w:bottom w:val="nil"/>
              <w:right w:val="nil"/>
            </w:tcBorders>
            <w:shd w:val="clear" w:color="auto" w:fill="auto"/>
            <w:noWrap w:val="0"/>
            <w:tcMar>
              <w:top w:w="75" w:type="dxa"/>
              <w:left w:w="75" w:type="dxa"/>
              <w:bottom w:w="75" w:type="dxa"/>
              <w:right w:w="75" w:type="dxa"/>
            </w:tcMar>
            <w:vAlign w:val="center"/>
          </w:tcPr>
          <w:p w14:paraId="7D5E45C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w:t>
            </w:r>
          </w:p>
        </w:tc>
        <w:tc>
          <w:tcPr>
            <w:tcW w:w="1566" w:type="dxa"/>
            <w:tcBorders>
              <w:top w:val="nil"/>
              <w:left w:val="nil"/>
              <w:bottom w:val="nil"/>
              <w:right w:val="nil"/>
            </w:tcBorders>
            <w:shd w:val="clear" w:color="auto" w:fill="auto"/>
            <w:noWrap w:val="0"/>
            <w:tcMar>
              <w:top w:w="75" w:type="dxa"/>
              <w:left w:w="75" w:type="dxa"/>
              <w:bottom w:w="75" w:type="dxa"/>
              <w:right w:w="75" w:type="dxa"/>
            </w:tcMar>
            <w:vAlign w:val="center"/>
          </w:tcPr>
          <w:p w14:paraId="46116CF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1.0</w:t>
            </w:r>
          </w:p>
        </w:tc>
        <w:tc>
          <w:tcPr>
            <w:tcW w:w="2669" w:type="dxa"/>
            <w:tcBorders>
              <w:top w:val="nil"/>
              <w:left w:val="nil"/>
              <w:bottom w:val="nil"/>
              <w:right w:val="nil"/>
            </w:tcBorders>
            <w:shd w:val="clear" w:color="auto" w:fill="auto"/>
            <w:noWrap w:val="0"/>
            <w:tcMar>
              <w:top w:w="75" w:type="dxa"/>
              <w:left w:w="75" w:type="dxa"/>
              <w:bottom w:w="75" w:type="dxa"/>
              <w:right w:w="75" w:type="dxa"/>
            </w:tcMar>
            <w:vAlign w:val="center"/>
          </w:tcPr>
          <w:p w14:paraId="3815A85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20</w:t>
            </w:r>
          </w:p>
        </w:tc>
        <w:tc>
          <w:tcPr>
            <w:tcW w:w="2007" w:type="dxa"/>
            <w:tcBorders>
              <w:top w:val="nil"/>
              <w:left w:val="nil"/>
              <w:bottom w:val="nil"/>
              <w:right w:val="nil"/>
            </w:tcBorders>
            <w:shd w:val="clear" w:color="auto" w:fill="auto"/>
            <w:noWrap w:val="0"/>
            <w:tcMar>
              <w:top w:w="75" w:type="dxa"/>
              <w:left w:w="75" w:type="dxa"/>
              <w:bottom w:w="75" w:type="dxa"/>
              <w:right w:w="75" w:type="dxa"/>
            </w:tcMar>
            <w:vAlign w:val="center"/>
          </w:tcPr>
          <w:p w14:paraId="5AB6A48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130</w:t>
            </w:r>
          </w:p>
        </w:tc>
        <w:tc>
          <w:tcPr>
            <w:tcW w:w="1103" w:type="dxa"/>
            <w:tcBorders>
              <w:top w:val="nil"/>
              <w:left w:val="nil"/>
              <w:bottom w:val="nil"/>
              <w:right w:val="nil"/>
            </w:tcBorders>
            <w:shd w:val="clear" w:color="auto" w:fill="auto"/>
            <w:noWrap w:val="0"/>
            <w:tcMar>
              <w:top w:w="75" w:type="dxa"/>
              <w:left w:w="75" w:type="dxa"/>
              <w:bottom w:w="75" w:type="dxa"/>
              <w:right w:w="75" w:type="dxa"/>
            </w:tcMar>
            <w:vAlign w:val="center"/>
          </w:tcPr>
          <w:p w14:paraId="18D5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正常低限</w:t>
            </w:r>
          </w:p>
        </w:tc>
      </w:tr>
      <w:tr w14:paraId="6A04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106" w:type="dxa"/>
            <w:tcBorders>
              <w:top w:val="nil"/>
              <w:left w:val="nil"/>
              <w:bottom w:val="nil"/>
              <w:right w:val="nil"/>
            </w:tcBorders>
            <w:shd w:val="clear" w:color="auto" w:fill="auto"/>
            <w:noWrap w:val="0"/>
            <w:tcMar>
              <w:top w:w="75" w:type="dxa"/>
              <w:left w:w="75" w:type="dxa"/>
              <w:bottom w:w="75" w:type="dxa"/>
              <w:right w:w="75" w:type="dxa"/>
            </w:tcMar>
            <w:vAlign w:val="center"/>
          </w:tcPr>
          <w:p w14:paraId="31ED7D9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w:t>
            </w:r>
          </w:p>
        </w:tc>
        <w:tc>
          <w:tcPr>
            <w:tcW w:w="1566" w:type="dxa"/>
            <w:tcBorders>
              <w:top w:val="nil"/>
              <w:left w:val="nil"/>
              <w:bottom w:val="nil"/>
              <w:right w:val="nil"/>
            </w:tcBorders>
            <w:shd w:val="clear" w:color="auto" w:fill="auto"/>
            <w:noWrap w:val="0"/>
            <w:tcMar>
              <w:top w:w="75" w:type="dxa"/>
              <w:left w:w="75" w:type="dxa"/>
              <w:bottom w:w="75" w:type="dxa"/>
              <w:right w:w="75" w:type="dxa"/>
            </w:tcMar>
            <w:vAlign w:val="center"/>
          </w:tcPr>
          <w:p w14:paraId="030ACF0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1.2</w:t>
            </w:r>
          </w:p>
        </w:tc>
        <w:tc>
          <w:tcPr>
            <w:tcW w:w="2669" w:type="dxa"/>
            <w:tcBorders>
              <w:top w:val="nil"/>
              <w:left w:val="nil"/>
              <w:bottom w:val="nil"/>
              <w:right w:val="nil"/>
            </w:tcBorders>
            <w:shd w:val="clear" w:color="auto" w:fill="auto"/>
            <w:noWrap w:val="0"/>
            <w:tcMar>
              <w:top w:w="75" w:type="dxa"/>
              <w:left w:w="75" w:type="dxa"/>
              <w:bottom w:w="75" w:type="dxa"/>
              <w:right w:w="75" w:type="dxa"/>
            </w:tcMar>
            <w:vAlign w:val="center"/>
          </w:tcPr>
          <w:p w14:paraId="67A46DD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22</w:t>
            </w:r>
          </w:p>
        </w:tc>
        <w:tc>
          <w:tcPr>
            <w:tcW w:w="2007" w:type="dxa"/>
            <w:tcBorders>
              <w:top w:val="nil"/>
              <w:left w:val="nil"/>
              <w:bottom w:val="nil"/>
              <w:right w:val="nil"/>
            </w:tcBorders>
            <w:shd w:val="clear" w:color="auto" w:fill="auto"/>
            <w:noWrap w:val="0"/>
            <w:tcMar>
              <w:top w:w="75" w:type="dxa"/>
              <w:left w:w="75" w:type="dxa"/>
              <w:bottom w:w="75" w:type="dxa"/>
              <w:right w:w="75" w:type="dxa"/>
            </w:tcMar>
            <w:vAlign w:val="center"/>
          </w:tcPr>
          <w:p w14:paraId="75C1D73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185</w:t>
            </w:r>
          </w:p>
        </w:tc>
        <w:tc>
          <w:tcPr>
            <w:tcW w:w="1103" w:type="dxa"/>
            <w:tcBorders>
              <w:top w:val="nil"/>
              <w:left w:val="nil"/>
              <w:bottom w:val="nil"/>
              <w:right w:val="nil"/>
            </w:tcBorders>
            <w:shd w:val="clear" w:color="auto" w:fill="auto"/>
            <w:noWrap w:val="0"/>
            <w:tcMar>
              <w:top w:w="75" w:type="dxa"/>
              <w:left w:w="75" w:type="dxa"/>
              <w:bottom w:w="75" w:type="dxa"/>
              <w:right w:w="75" w:type="dxa"/>
            </w:tcMar>
            <w:vAlign w:val="center"/>
          </w:tcPr>
          <w:p w14:paraId="4D1A3FD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正常偏低</w:t>
            </w:r>
          </w:p>
        </w:tc>
      </w:tr>
      <w:tr w14:paraId="2ACB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106" w:type="dxa"/>
            <w:tcBorders>
              <w:top w:val="nil"/>
              <w:left w:val="nil"/>
              <w:bottom w:val="nil"/>
              <w:right w:val="nil"/>
            </w:tcBorders>
            <w:shd w:val="clear" w:color="auto" w:fill="auto"/>
            <w:noWrap w:val="0"/>
            <w:tcMar>
              <w:top w:w="75" w:type="dxa"/>
              <w:left w:w="75" w:type="dxa"/>
              <w:bottom w:w="75" w:type="dxa"/>
              <w:right w:w="75" w:type="dxa"/>
            </w:tcMar>
            <w:vAlign w:val="center"/>
          </w:tcPr>
          <w:p w14:paraId="54523F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4</w:t>
            </w:r>
          </w:p>
        </w:tc>
        <w:tc>
          <w:tcPr>
            <w:tcW w:w="1566" w:type="dxa"/>
            <w:tcBorders>
              <w:top w:val="nil"/>
              <w:left w:val="nil"/>
              <w:bottom w:val="nil"/>
              <w:right w:val="nil"/>
            </w:tcBorders>
            <w:shd w:val="clear" w:color="auto" w:fill="auto"/>
            <w:noWrap w:val="0"/>
            <w:tcMar>
              <w:top w:w="75" w:type="dxa"/>
              <w:left w:w="75" w:type="dxa"/>
              <w:bottom w:w="75" w:type="dxa"/>
              <w:right w:w="75" w:type="dxa"/>
            </w:tcMar>
            <w:vAlign w:val="center"/>
          </w:tcPr>
          <w:p w14:paraId="6167819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1.5</w:t>
            </w:r>
          </w:p>
        </w:tc>
        <w:tc>
          <w:tcPr>
            <w:tcW w:w="2669" w:type="dxa"/>
            <w:tcBorders>
              <w:top w:val="nil"/>
              <w:left w:val="nil"/>
              <w:bottom w:val="nil"/>
              <w:right w:val="nil"/>
            </w:tcBorders>
            <w:shd w:val="clear" w:color="auto" w:fill="auto"/>
            <w:noWrap w:val="0"/>
            <w:tcMar>
              <w:top w:w="75" w:type="dxa"/>
              <w:left w:w="75" w:type="dxa"/>
              <w:bottom w:w="75" w:type="dxa"/>
              <w:right w:w="75" w:type="dxa"/>
            </w:tcMar>
            <w:vAlign w:val="center"/>
          </w:tcPr>
          <w:p w14:paraId="1E16945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22</w:t>
            </w:r>
          </w:p>
        </w:tc>
        <w:tc>
          <w:tcPr>
            <w:tcW w:w="2007" w:type="dxa"/>
            <w:tcBorders>
              <w:top w:val="nil"/>
              <w:left w:val="nil"/>
              <w:bottom w:val="nil"/>
              <w:right w:val="nil"/>
            </w:tcBorders>
            <w:shd w:val="clear" w:color="auto" w:fill="auto"/>
            <w:noWrap w:val="0"/>
            <w:tcMar>
              <w:top w:w="75" w:type="dxa"/>
              <w:left w:w="75" w:type="dxa"/>
              <w:bottom w:w="75" w:type="dxa"/>
              <w:right w:w="75" w:type="dxa"/>
            </w:tcMar>
            <w:vAlign w:val="center"/>
          </w:tcPr>
          <w:p w14:paraId="72327DF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300</w:t>
            </w:r>
          </w:p>
        </w:tc>
        <w:tc>
          <w:tcPr>
            <w:tcW w:w="1103" w:type="dxa"/>
            <w:tcBorders>
              <w:top w:val="nil"/>
              <w:left w:val="nil"/>
              <w:bottom w:val="nil"/>
              <w:right w:val="nil"/>
            </w:tcBorders>
            <w:shd w:val="clear" w:color="auto" w:fill="auto"/>
            <w:noWrap w:val="0"/>
            <w:tcMar>
              <w:top w:w="75" w:type="dxa"/>
              <w:left w:w="75" w:type="dxa"/>
              <w:bottom w:w="75" w:type="dxa"/>
              <w:right w:w="75" w:type="dxa"/>
            </w:tcMar>
            <w:vAlign w:val="center"/>
          </w:tcPr>
          <w:p w14:paraId="756965A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设计点</w:t>
            </w:r>
          </w:p>
        </w:tc>
      </w:tr>
      <w:tr w14:paraId="5985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106" w:type="dxa"/>
            <w:tcBorders>
              <w:top w:val="nil"/>
              <w:left w:val="nil"/>
              <w:bottom w:val="nil"/>
              <w:right w:val="nil"/>
            </w:tcBorders>
            <w:shd w:val="clear" w:color="auto" w:fill="auto"/>
            <w:noWrap w:val="0"/>
            <w:tcMar>
              <w:top w:w="75" w:type="dxa"/>
              <w:left w:w="75" w:type="dxa"/>
              <w:bottom w:w="75" w:type="dxa"/>
              <w:right w:w="75" w:type="dxa"/>
            </w:tcMar>
            <w:vAlign w:val="center"/>
          </w:tcPr>
          <w:p w14:paraId="4D77A8A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5</w:t>
            </w:r>
          </w:p>
        </w:tc>
        <w:tc>
          <w:tcPr>
            <w:tcW w:w="1566" w:type="dxa"/>
            <w:tcBorders>
              <w:top w:val="nil"/>
              <w:left w:val="nil"/>
              <w:bottom w:val="nil"/>
              <w:right w:val="nil"/>
            </w:tcBorders>
            <w:shd w:val="clear" w:color="auto" w:fill="auto"/>
            <w:noWrap w:val="0"/>
            <w:tcMar>
              <w:top w:w="75" w:type="dxa"/>
              <w:left w:w="75" w:type="dxa"/>
              <w:bottom w:w="75" w:type="dxa"/>
              <w:right w:w="75" w:type="dxa"/>
            </w:tcMar>
            <w:vAlign w:val="center"/>
          </w:tcPr>
          <w:p w14:paraId="4A6B864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1.6</w:t>
            </w:r>
          </w:p>
        </w:tc>
        <w:tc>
          <w:tcPr>
            <w:tcW w:w="2669" w:type="dxa"/>
            <w:tcBorders>
              <w:top w:val="nil"/>
              <w:left w:val="nil"/>
              <w:bottom w:val="nil"/>
              <w:right w:val="nil"/>
            </w:tcBorders>
            <w:shd w:val="clear" w:color="auto" w:fill="auto"/>
            <w:noWrap w:val="0"/>
            <w:tcMar>
              <w:top w:w="75" w:type="dxa"/>
              <w:left w:w="75" w:type="dxa"/>
              <w:bottom w:w="75" w:type="dxa"/>
              <w:right w:w="75" w:type="dxa"/>
            </w:tcMar>
            <w:vAlign w:val="center"/>
          </w:tcPr>
          <w:p w14:paraId="46954F0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22</w:t>
            </w:r>
          </w:p>
        </w:tc>
        <w:tc>
          <w:tcPr>
            <w:tcW w:w="2007" w:type="dxa"/>
            <w:tcBorders>
              <w:top w:val="nil"/>
              <w:left w:val="nil"/>
              <w:bottom w:val="nil"/>
              <w:right w:val="nil"/>
            </w:tcBorders>
            <w:shd w:val="clear" w:color="auto" w:fill="auto"/>
            <w:noWrap w:val="0"/>
            <w:tcMar>
              <w:top w:w="75" w:type="dxa"/>
              <w:left w:w="75" w:type="dxa"/>
              <w:bottom w:w="75" w:type="dxa"/>
              <w:right w:w="75" w:type="dxa"/>
            </w:tcMar>
            <w:vAlign w:val="center"/>
          </w:tcPr>
          <w:p w14:paraId="35250C7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340</w:t>
            </w:r>
          </w:p>
        </w:tc>
        <w:tc>
          <w:tcPr>
            <w:tcW w:w="1103" w:type="dxa"/>
            <w:tcBorders>
              <w:top w:val="nil"/>
              <w:left w:val="nil"/>
              <w:bottom w:val="nil"/>
              <w:right w:val="nil"/>
            </w:tcBorders>
            <w:shd w:val="clear" w:color="auto" w:fill="auto"/>
            <w:noWrap w:val="0"/>
            <w:tcMar>
              <w:top w:w="75" w:type="dxa"/>
              <w:left w:w="75" w:type="dxa"/>
              <w:bottom w:w="75" w:type="dxa"/>
              <w:right w:w="75" w:type="dxa"/>
            </w:tcMar>
            <w:vAlign w:val="center"/>
          </w:tcPr>
          <w:p w14:paraId="0E329B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正常偏高</w:t>
            </w:r>
          </w:p>
        </w:tc>
      </w:tr>
      <w:tr w14:paraId="224AB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106" w:type="dxa"/>
            <w:tcBorders>
              <w:top w:val="nil"/>
              <w:left w:val="nil"/>
              <w:bottom w:val="nil"/>
              <w:right w:val="nil"/>
            </w:tcBorders>
            <w:shd w:val="clear" w:color="auto" w:fill="auto"/>
            <w:noWrap w:val="0"/>
            <w:tcMar>
              <w:top w:w="75" w:type="dxa"/>
              <w:left w:w="75" w:type="dxa"/>
              <w:bottom w:w="75" w:type="dxa"/>
              <w:right w:w="75" w:type="dxa"/>
            </w:tcMar>
            <w:vAlign w:val="center"/>
          </w:tcPr>
          <w:p w14:paraId="20A0D2E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6</w:t>
            </w:r>
          </w:p>
        </w:tc>
        <w:tc>
          <w:tcPr>
            <w:tcW w:w="1566" w:type="dxa"/>
            <w:tcBorders>
              <w:top w:val="nil"/>
              <w:left w:val="nil"/>
              <w:bottom w:val="nil"/>
              <w:right w:val="nil"/>
            </w:tcBorders>
            <w:shd w:val="clear" w:color="auto" w:fill="auto"/>
            <w:noWrap w:val="0"/>
            <w:tcMar>
              <w:top w:w="75" w:type="dxa"/>
              <w:left w:w="75" w:type="dxa"/>
              <w:bottom w:w="75" w:type="dxa"/>
              <w:right w:w="75" w:type="dxa"/>
            </w:tcMar>
            <w:vAlign w:val="center"/>
          </w:tcPr>
          <w:p w14:paraId="11CDF0D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1.8</w:t>
            </w:r>
          </w:p>
        </w:tc>
        <w:tc>
          <w:tcPr>
            <w:tcW w:w="2669" w:type="dxa"/>
            <w:tcBorders>
              <w:top w:val="nil"/>
              <w:left w:val="nil"/>
              <w:bottom w:val="nil"/>
              <w:right w:val="nil"/>
            </w:tcBorders>
            <w:shd w:val="clear" w:color="auto" w:fill="auto"/>
            <w:noWrap w:val="0"/>
            <w:tcMar>
              <w:top w:w="75" w:type="dxa"/>
              <w:left w:w="75" w:type="dxa"/>
              <w:bottom w:w="75" w:type="dxa"/>
              <w:right w:w="75" w:type="dxa"/>
            </w:tcMar>
            <w:vAlign w:val="center"/>
          </w:tcPr>
          <w:p w14:paraId="39F9417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25</w:t>
            </w:r>
          </w:p>
        </w:tc>
        <w:tc>
          <w:tcPr>
            <w:tcW w:w="2007" w:type="dxa"/>
            <w:tcBorders>
              <w:top w:val="nil"/>
              <w:left w:val="nil"/>
              <w:bottom w:val="nil"/>
              <w:right w:val="nil"/>
            </w:tcBorders>
            <w:shd w:val="clear" w:color="auto" w:fill="auto"/>
            <w:noWrap w:val="0"/>
            <w:tcMar>
              <w:top w:w="75" w:type="dxa"/>
              <w:left w:w="75" w:type="dxa"/>
              <w:bottom w:w="75" w:type="dxa"/>
              <w:right w:w="75" w:type="dxa"/>
            </w:tcMar>
            <w:vAlign w:val="center"/>
          </w:tcPr>
          <w:p w14:paraId="28BB9CA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450</w:t>
            </w:r>
          </w:p>
        </w:tc>
        <w:tc>
          <w:tcPr>
            <w:tcW w:w="1103" w:type="dxa"/>
            <w:tcBorders>
              <w:top w:val="nil"/>
              <w:left w:val="nil"/>
              <w:bottom w:val="nil"/>
              <w:right w:val="nil"/>
            </w:tcBorders>
            <w:shd w:val="clear" w:color="auto" w:fill="auto"/>
            <w:noWrap w:val="0"/>
            <w:tcMar>
              <w:top w:w="75" w:type="dxa"/>
              <w:left w:w="75" w:type="dxa"/>
              <w:bottom w:w="75" w:type="dxa"/>
              <w:right w:w="75" w:type="dxa"/>
            </w:tcMar>
            <w:vAlign w:val="center"/>
          </w:tcPr>
          <w:p w14:paraId="01DF640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高负荷</w:t>
            </w:r>
          </w:p>
        </w:tc>
      </w:tr>
      <w:tr w14:paraId="0540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1106"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5DE324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7</w:t>
            </w:r>
          </w:p>
        </w:tc>
        <w:tc>
          <w:tcPr>
            <w:tcW w:w="1566"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51383E3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2.0</w:t>
            </w:r>
          </w:p>
        </w:tc>
        <w:tc>
          <w:tcPr>
            <w:tcW w:w="2669"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563FE6C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25</w:t>
            </w:r>
          </w:p>
        </w:tc>
        <w:tc>
          <w:tcPr>
            <w:tcW w:w="2007"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4812F07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580</w:t>
            </w:r>
          </w:p>
        </w:tc>
        <w:tc>
          <w:tcPr>
            <w:tcW w:w="1103"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23D17CF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接近液泛</w:t>
            </w:r>
          </w:p>
        </w:tc>
      </w:tr>
    </w:tbl>
    <w:p w14:paraId="49769C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kern w:val="0"/>
          <w:sz w:val="21"/>
          <w:szCs w:val="21"/>
          <w:shd w:val="clear" w:fill="FFFFFF"/>
          <w:vertAlign w:val="baseline"/>
          <w:lang w:val="en-US" w:eastAsia="zh-CN" w:bidi="ar"/>
        </w:rPr>
        <w:t>对实测数据进行非线性拟合，得到B型填料压降-气速关联式：</w:t>
      </w:r>
    </w:p>
    <w:p w14:paraId="4B5CE1F1">
      <w:pPr>
        <w:keepNext w:val="0"/>
        <w:keepLines w:val="0"/>
        <w:pageBreakBefore w:val="0"/>
        <w:widowControl/>
        <w:suppressLineNumbers w:val="0"/>
        <w:kinsoku/>
        <w:wordWrap/>
        <w:overflowPunct/>
        <w:topLinePunct w:val="0"/>
        <w:autoSpaceDE/>
        <w:autoSpaceDN/>
        <w:bidi w:val="0"/>
        <w:adjustRightInd/>
        <w:spacing w:line="400" w:lineRule="exact"/>
        <w:jc w:val="left"/>
        <w:rPr>
          <w:rFonts w:hint="eastAsia" w:ascii="宋体" w:hAnsi="宋体" w:eastAsia="宋体" w:cs="宋体"/>
          <w:sz w:val="21"/>
          <w:szCs w:val="21"/>
        </w:rPr>
      </w:pPr>
      <w:r>
        <w:rPr>
          <w:rFonts w:hint="eastAsia" w:ascii="宋体" w:hAnsi="宋体" w:eastAsia="宋体" w:cs="宋体"/>
          <w:b w:val="0"/>
          <w:bCs w:val="0"/>
          <w:i w:val="0"/>
          <w:iCs w:val="0"/>
          <w:caps w:val="0"/>
          <w:spacing w:val="4"/>
          <w:kern w:val="0"/>
          <w:sz w:val="21"/>
          <w:szCs w:val="21"/>
          <w:shd w:val="clear" w:fill="FFFFFF"/>
          <w:vertAlign w:val="baseline"/>
          <w:lang w:val="en-US" w:eastAsia="zh-CN" w:bidi="ar"/>
        </w:rPr>
        <w:t>Δ</w:t>
      </w:r>
      <w:r>
        <w:rPr>
          <w:rFonts w:hint="eastAsia" w:ascii="宋体" w:hAnsi="宋体" w:eastAsia="宋体" w:cs="宋体"/>
          <w:b w:val="0"/>
          <w:bCs w:val="0"/>
          <w:i/>
          <w:iCs/>
          <w:caps w:val="0"/>
          <w:spacing w:val="4"/>
          <w:kern w:val="0"/>
          <w:sz w:val="21"/>
          <w:szCs w:val="21"/>
          <w:shd w:val="clear" w:fill="FFFFFF"/>
          <w:vertAlign w:val="baseline"/>
          <w:lang w:val="en-US" w:eastAsia="zh-CN" w:bidi="ar"/>
        </w:rPr>
        <w:t>P</w:t>
      </w:r>
      <w:r>
        <w:rPr>
          <w:rFonts w:hint="eastAsia" w:ascii="宋体" w:hAnsi="宋体" w:eastAsia="宋体" w:cs="宋体"/>
          <w:b w:val="0"/>
          <w:bCs w:val="0"/>
          <w:i w:val="0"/>
          <w:iCs w:val="0"/>
          <w:caps w:val="0"/>
          <w:spacing w:val="4"/>
          <w:kern w:val="0"/>
          <w:sz w:val="21"/>
          <w:szCs w:val="21"/>
          <w:shd w:val="clear" w:fill="FFFFFF"/>
          <w:vertAlign w:val="baseline"/>
          <w:lang w:val="en-US" w:eastAsia="zh-CN" w:bidi="ar"/>
        </w:rPr>
        <w:t>=130⋅</w:t>
      </w:r>
      <w:r>
        <w:rPr>
          <w:rFonts w:hint="eastAsia" w:ascii="宋体" w:hAnsi="宋体" w:eastAsia="宋体" w:cs="宋体"/>
          <w:b w:val="0"/>
          <w:bCs w:val="0"/>
          <w:i/>
          <w:iCs/>
          <w:caps w:val="0"/>
          <w:spacing w:val="4"/>
          <w:kern w:val="0"/>
          <w:sz w:val="21"/>
          <w:szCs w:val="21"/>
          <w:shd w:val="clear" w:fill="FFFFFF"/>
          <w:vertAlign w:val="baseline"/>
          <w:lang w:val="en-US" w:eastAsia="zh-CN" w:bidi="ar"/>
        </w:rPr>
        <w:t>u</w:t>
      </w:r>
      <w:r>
        <w:rPr>
          <w:rFonts w:hint="eastAsia" w:ascii="宋体" w:hAnsi="宋体" w:eastAsia="宋体" w:cs="宋体"/>
          <w:b w:val="0"/>
          <w:bCs w:val="0"/>
          <w:i w:val="0"/>
          <w:iCs w:val="0"/>
          <w:caps w:val="0"/>
          <w:spacing w:val="4"/>
          <w:kern w:val="0"/>
          <w:sz w:val="21"/>
          <w:szCs w:val="21"/>
          <w:shd w:val="clear" w:fill="FFFFFF"/>
          <w:vertAlign w:val="baseline"/>
          <w:lang w:val="en-US" w:eastAsia="zh-CN" w:bidi="ar"/>
        </w:rPr>
        <w:t>1.8(Pa/m)(9)</w:t>
      </w:r>
    </w:p>
    <w:p w14:paraId="71003A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Fonts w:hint="eastAsia" w:ascii="宋体" w:hAnsi="宋体" w:eastAsia="宋体" w:cs="宋体"/>
          <w:i w:val="0"/>
          <w:iCs w:val="0"/>
          <w:caps w:val="0"/>
          <w:spacing w:val="0"/>
          <w:kern w:val="0"/>
          <w:sz w:val="21"/>
          <w:szCs w:val="21"/>
          <w:shd w:val="clear" w:fill="FFFFFF"/>
          <w:vertAlign w:val="baseline"/>
          <w:lang w:val="en-US" w:eastAsia="zh-CN" w:bidi="ar"/>
        </w:rPr>
        <w:t>拟合相关系数</w:t>
      </w:r>
      <w:r>
        <w:rPr>
          <w:rFonts w:hint="eastAsia" w:ascii="宋体" w:hAnsi="宋体" w:eastAsia="宋体" w:cs="宋体"/>
          <w:b w:val="0"/>
          <w:bCs w:val="0"/>
          <w:i/>
          <w:iCs/>
          <w:caps w:val="0"/>
          <w:spacing w:val="0"/>
          <w:kern w:val="0"/>
          <w:sz w:val="21"/>
          <w:szCs w:val="21"/>
          <w:shd w:val="clear" w:fill="FFFFFF"/>
          <w:vertAlign w:val="baseline"/>
          <w:lang w:val="en-US" w:eastAsia="zh-CN" w:bidi="ar"/>
        </w:rPr>
        <w:t>R</w:t>
      </w:r>
      <w:r>
        <w:rPr>
          <w:rFonts w:hint="eastAsia" w:ascii="宋体" w:hAnsi="宋体" w:eastAsia="宋体" w:cs="宋体"/>
          <w:b w:val="0"/>
          <w:bCs w:val="0"/>
          <w:i w:val="0"/>
          <w:iCs w:val="0"/>
          <w:caps w:val="0"/>
          <w:spacing w:val="0"/>
          <w:kern w:val="0"/>
          <w:sz w:val="21"/>
          <w:szCs w:val="21"/>
          <w:shd w:val="clear" w:fill="FFFFFF"/>
          <w:vertAlign w:val="baseline"/>
          <w:lang w:val="en-US" w:eastAsia="zh-CN" w:bidi="ar"/>
        </w:rPr>
        <w:t>2=0.987</w:t>
      </w:r>
      <w:r>
        <w:rPr>
          <w:rFonts w:hint="eastAsia" w:ascii="宋体" w:hAnsi="宋体" w:eastAsia="宋体" w:cs="宋体"/>
          <w:i w:val="0"/>
          <w:iCs w:val="0"/>
          <w:caps w:val="0"/>
          <w:spacing w:val="0"/>
          <w:kern w:val="0"/>
          <w:sz w:val="21"/>
          <w:szCs w:val="21"/>
          <w:shd w:val="clear" w:fill="FFFFFF"/>
          <w:vertAlign w:val="baseline"/>
          <w:lang w:val="en-US" w:eastAsia="zh-CN" w:bidi="ar"/>
        </w:rPr>
        <w:t xml:space="preserve"> ，标准偏差±15 Pa/m。</w:t>
      </w:r>
    </w:p>
    <w:p w14:paraId="65EA28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p>
    <w:p w14:paraId="5FE6D74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3.2.3 与传统填料对比验证</w:t>
      </w:r>
    </w:p>
    <w:p w14:paraId="6487200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kern w:val="0"/>
          <w:sz w:val="21"/>
          <w:szCs w:val="21"/>
          <w:shd w:val="clear" w:fill="FFFFFF"/>
          <w:vertAlign w:val="baseline"/>
          <w:lang w:val="en-US" w:eastAsia="zh-CN" w:bidi="ar"/>
        </w:rPr>
        <w:t>在同一装置改造前，对原76 mm陶瓷矩鞍环（4m高度）进行压降测试，结果如表3所示。</w:t>
      </w:r>
    </w:p>
    <w:p w14:paraId="5FA831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center"/>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Style w:val="20"/>
          <w:rFonts w:hint="eastAsia" w:ascii="宋体" w:hAnsi="宋体" w:eastAsia="宋体" w:cs="宋体"/>
          <w:b/>
          <w:bCs/>
          <w:i w:val="0"/>
          <w:iCs w:val="0"/>
          <w:caps w:val="0"/>
          <w:spacing w:val="0"/>
          <w:kern w:val="0"/>
          <w:sz w:val="21"/>
          <w:szCs w:val="21"/>
          <w:shd w:val="clear" w:fill="FFFFFF"/>
          <w:vertAlign w:val="baseline"/>
          <w:lang w:val="en-US" w:eastAsia="zh-CN" w:bidi="ar"/>
        </w:rPr>
        <w:t>表3 改造前后压降对比</w:t>
      </w:r>
    </w:p>
    <w:tbl>
      <w:tblPr>
        <w:tblStyle w:val="17"/>
        <w:tblW w:w="8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29"/>
        <w:gridCol w:w="1835"/>
        <w:gridCol w:w="2433"/>
        <w:gridCol w:w="1537"/>
        <w:gridCol w:w="1116"/>
      </w:tblGrid>
      <w:tr w14:paraId="2B78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Header/>
          <w:jc w:val="center"/>
        </w:trPr>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79CA63B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填料类型</w:t>
            </w:r>
          </w:p>
        </w:tc>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6A156FE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气速/(m·s⁻¹)</w:t>
            </w:r>
          </w:p>
        </w:tc>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21F556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单位压降/(Pa·m⁻¹)</w:t>
            </w:r>
          </w:p>
        </w:tc>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78D5845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4m总压降/Pa</w:t>
            </w:r>
          </w:p>
        </w:tc>
        <w:tc>
          <w:tcPr>
            <w:tcW w:w="1116"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1357803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相对压降</w:t>
            </w:r>
          </w:p>
        </w:tc>
      </w:tr>
      <w:tr w14:paraId="6D05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38AB42D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76 mm矩鞍环</w:t>
            </w:r>
          </w:p>
        </w:tc>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1C75AC6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1.0</w:t>
            </w:r>
          </w:p>
        </w:tc>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176213D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500</w:t>
            </w:r>
          </w:p>
        </w:tc>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714EFE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2000</w:t>
            </w:r>
          </w:p>
        </w:tc>
        <w:tc>
          <w:tcPr>
            <w:tcW w:w="1116"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0CCC060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100%</w:t>
            </w:r>
          </w:p>
        </w:tc>
      </w:tr>
      <w:tr w14:paraId="72E13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58EC10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76 mm矩鞍环</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0C93106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1.2</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77170D2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750</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3F961CA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3000</w:t>
            </w:r>
          </w:p>
        </w:tc>
        <w:tc>
          <w:tcPr>
            <w:tcW w:w="1116" w:type="dxa"/>
            <w:tcBorders>
              <w:top w:val="nil"/>
              <w:left w:val="nil"/>
              <w:bottom w:val="nil"/>
              <w:right w:val="nil"/>
            </w:tcBorders>
            <w:shd w:val="clear" w:color="auto" w:fill="auto"/>
            <w:noWrap w:val="0"/>
            <w:tcMar>
              <w:top w:w="75" w:type="dxa"/>
              <w:left w:w="75" w:type="dxa"/>
              <w:bottom w:w="75" w:type="dxa"/>
              <w:right w:w="75" w:type="dxa"/>
            </w:tcMar>
            <w:vAlign w:val="center"/>
          </w:tcPr>
          <w:p w14:paraId="0A2CAB1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150%</w:t>
            </w:r>
          </w:p>
        </w:tc>
      </w:tr>
      <w:tr w14:paraId="6FC3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529"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12FB58B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B型规整</w:t>
            </w:r>
          </w:p>
        </w:tc>
        <w:tc>
          <w:tcPr>
            <w:tcW w:w="1835"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5B535E6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left"/>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1.5</w:t>
            </w:r>
          </w:p>
        </w:tc>
        <w:tc>
          <w:tcPr>
            <w:tcW w:w="2433"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7EDB0FF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300</w:t>
            </w:r>
          </w:p>
        </w:tc>
        <w:tc>
          <w:tcPr>
            <w:tcW w:w="1537"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40F99BC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1200</w:t>
            </w:r>
          </w:p>
        </w:tc>
        <w:tc>
          <w:tcPr>
            <w:tcW w:w="1116"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338AE6A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Style w:val="20"/>
                <w:rFonts w:hint="eastAsia" w:ascii="宋体" w:hAnsi="宋体" w:eastAsia="宋体" w:cs="宋体"/>
                <w:b/>
                <w:bCs/>
                <w:kern w:val="0"/>
                <w:sz w:val="21"/>
                <w:szCs w:val="21"/>
                <w:vertAlign w:val="baseline"/>
                <w:lang w:val="en-US" w:eastAsia="zh-CN" w:bidi="ar"/>
              </w:rPr>
              <w:t>40%</w:t>
            </w:r>
          </w:p>
        </w:tc>
      </w:tr>
    </w:tbl>
    <w:p w14:paraId="31F34E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420" w:firstLineChars="200"/>
        <w:jc w:val="left"/>
        <w:textAlignment w:val="baseline"/>
        <w:rPr>
          <w:rFonts w:hint="eastAsia" w:ascii="宋体" w:hAnsi="宋体" w:eastAsia="宋体" w:cs="宋体"/>
          <w:i w:val="0"/>
          <w:iCs w:val="0"/>
          <w:caps w:val="0"/>
          <w:spacing w:val="0"/>
          <w:kern w:val="0"/>
          <w:sz w:val="21"/>
          <w:szCs w:val="21"/>
          <w:shd w:val="clear" w:fill="FFFFFF"/>
          <w:vertAlign w:val="baseline"/>
          <w:lang w:val="en-US" w:eastAsia="zh-CN" w:bidi="ar"/>
        </w:rPr>
      </w:pPr>
      <w:r>
        <w:rPr>
          <w:rFonts w:hint="eastAsia" w:ascii="宋体" w:hAnsi="宋体" w:eastAsia="宋体" w:cs="宋体"/>
          <w:i w:val="0"/>
          <w:iCs w:val="0"/>
          <w:caps w:val="0"/>
          <w:spacing w:val="0"/>
          <w:kern w:val="0"/>
          <w:sz w:val="21"/>
          <w:szCs w:val="21"/>
          <w:shd w:val="clear" w:fill="FFFFFF"/>
          <w:vertAlign w:val="baseline"/>
          <w:lang w:val="en-US" w:eastAsia="zh-CN" w:bidi="ar"/>
        </w:rPr>
        <w:t>关键发现：B型规整填料在更高气速（1.5m/s vs.1.0 m/s）和更高比表面积条件下，单位压降降低40%，体现了规整填料流道优化的显著优势。</w:t>
      </w:r>
    </w:p>
    <w:p w14:paraId="78A6C70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3.2.4 压降构成分析</w:t>
      </w:r>
    </w:p>
    <w:p w14:paraId="10609D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Autospacing="0" w:afterAutospacing="0" w:line="400" w:lineRule="exact"/>
        <w:ind w:left="0" w:right="0" w:firstLine="0"/>
        <w:jc w:val="left"/>
        <w:textAlignment w:val="baseline"/>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kern w:val="0"/>
          <w:sz w:val="21"/>
          <w:szCs w:val="21"/>
          <w:shd w:val="clear" w:fill="FFFFFF"/>
          <w:vertAlign w:val="baseline"/>
          <w:lang w:val="en-US" w:eastAsia="zh-CN" w:bidi="ar"/>
        </w:rPr>
        <w:t>在设计工况（</w:t>
      </w:r>
      <w:r>
        <w:rPr>
          <w:rFonts w:hint="eastAsia" w:ascii="宋体" w:hAnsi="宋体" w:eastAsia="宋体" w:cs="宋体"/>
          <w:b w:val="0"/>
          <w:bCs w:val="0"/>
          <w:i/>
          <w:iCs/>
          <w:caps w:val="0"/>
          <w:spacing w:val="0"/>
          <w:kern w:val="0"/>
          <w:sz w:val="21"/>
          <w:szCs w:val="21"/>
          <w:shd w:val="clear" w:fill="FFFFFF"/>
          <w:vertAlign w:val="baseline"/>
          <w:lang w:val="en-US" w:eastAsia="zh-CN" w:bidi="ar"/>
        </w:rPr>
        <w:t>u</w:t>
      </w:r>
      <w:r>
        <w:rPr>
          <w:rFonts w:hint="eastAsia" w:ascii="宋体" w:hAnsi="宋体" w:eastAsia="宋体" w:cs="宋体"/>
          <w:b w:val="0"/>
          <w:bCs w:val="0"/>
          <w:i w:val="0"/>
          <w:iCs w:val="0"/>
          <w:caps w:val="0"/>
          <w:spacing w:val="0"/>
          <w:kern w:val="0"/>
          <w:sz w:val="21"/>
          <w:szCs w:val="21"/>
          <w:shd w:val="clear" w:fill="FFFFFF"/>
          <w:vertAlign w:val="baseline"/>
          <w:lang w:val="en-US" w:eastAsia="zh-CN" w:bidi="ar"/>
        </w:rPr>
        <w:t>=1.5</w:t>
      </w:r>
      <w:r>
        <w:rPr>
          <w:rFonts w:hint="eastAsia" w:ascii="宋体" w:hAnsi="宋体" w:eastAsia="宋体" w:cs="宋体"/>
          <w:i w:val="0"/>
          <w:iCs w:val="0"/>
          <w:caps w:val="0"/>
          <w:spacing w:val="0"/>
          <w:kern w:val="0"/>
          <w:sz w:val="21"/>
          <w:szCs w:val="21"/>
          <w:shd w:val="clear" w:fill="FFFFFF"/>
          <w:vertAlign w:val="baseline"/>
          <w:lang w:val="en-US" w:eastAsia="zh-CN" w:bidi="ar"/>
        </w:rPr>
        <w:t xml:space="preserve"> m/s，</w:t>
      </w:r>
      <w:r>
        <w:rPr>
          <w:rFonts w:hint="eastAsia" w:ascii="宋体" w:hAnsi="宋体" w:eastAsia="宋体" w:cs="宋体"/>
          <w:b w:val="0"/>
          <w:bCs w:val="0"/>
          <w:i/>
          <w:iCs/>
          <w:caps w:val="0"/>
          <w:spacing w:val="0"/>
          <w:kern w:val="0"/>
          <w:sz w:val="21"/>
          <w:szCs w:val="21"/>
          <w:shd w:val="clear" w:fill="FFFFFF"/>
          <w:vertAlign w:val="baseline"/>
          <w:lang w:val="en-US" w:eastAsia="zh-CN" w:bidi="ar"/>
        </w:rPr>
        <w:t>L</w:t>
      </w:r>
      <w:r>
        <w:rPr>
          <w:rFonts w:hint="eastAsia" w:ascii="宋体" w:hAnsi="宋体" w:eastAsia="宋体" w:cs="宋体"/>
          <w:b w:val="0"/>
          <w:bCs w:val="0"/>
          <w:i w:val="0"/>
          <w:iCs w:val="0"/>
          <w:caps w:val="0"/>
          <w:spacing w:val="0"/>
          <w:kern w:val="0"/>
          <w:sz w:val="21"/>
          <w:szCs w:val="21"/>
          <w:shd w:val="clear" w:fill="FFFFFF"/>
          <w:vertAlign w:val="baseline"/>
          <w:lang w:val="en-US" w:eastAsia="zh-CN" w:bidi="ar"/>
        </w:rPr>
        <w:t>=22</w:t>
      </w:r>
      <w:r>
        <w:rPr>
          <w:rFonts w:hint="eastAsia" w:ascii="宋体" w:hAnsi="宋体" w:eastAsia="宋体" w:cs="宋体"/>
          <w:i w:val="0"/>
          <w:iCs w:val="0"/>
          <w:caps w:val="0"/>
          <w:spacing w:val="0"/>
          <w:kern w:val="0"/>
          <w:sz w:val="21"/>
          <w:szCs w:val="21"/>
          <w:shd w:val="clear" w:fill="FFFFFF"/>
          <w:vertAlign w:val="baseline"/>
          <w:lang w:val="en-US" w:eastAsia="zh-CN" w:bidi="ar"/>
        </w:rPr>
        <w:t xml:space="preserve"> m³/(m²·h)）下，对压降构成进行分解估算：</w:t>
      </w:r>
    </w:p>
    <w:tbl>
      <w:tblPr>
        <w:tblStyle w:val="17"/>
        <w:tblW w:w="84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351"/>
        <w:gridCol w:w="2952"/>
        <w:gridCol w:w="778"/>
        <w:gridCol w:w="3371"/>
      </w:tblGrid>
      <w:tr w14:paraId="06BE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jc w:val="center"/>
        </w:trPr>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16C9A38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组分</w:t>
            </w:r>
          </w:p>
        </w:tc>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7A02F2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估算压降/(Pa·m⁻¹)</w:t>
            </w:r>
          </w:p>
        </w:tc>
        <w:tc>
          <w:tcPr>
            <w:tcW w:w="0" w:type="auto"/>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3CFED39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占比</w:t>
            </w:r>
          </w:p>
        </w:tc>
        <w:tc>
          <w:tcPr>
            <w:tcW w:w="3371" w:type="dxa"/>
            <w:tcBorders>
              <w:top w:val="single" w:color="auto" w:sz="12" w:space="0"/>
              <w:left w:val="nil"/>
              <w:bottom w:val="nil"/>
              <w:right w:val="nil"/>
            </w:tcBorders>
            <w:shd w:val="clear" w:color="auto" w:fill="auto"/>
            <w:noWrap w:val="0"/>
            <w:tcMar>
              <w:top w:w="75" w:type="dxa"/>
              <w:left w:w="75" w:type="dxa"/>
              <w:bottom w:w="75" w:type="dxa"/>
              <w:right w:w="75" w:type="dxa"/>
            </w:tcMar>
            <w:vAlign w:val="center"/>
          </w:tcPr>
          <w:p w14:paraId="295CE0A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bCs/>
                <w:sz w:val="21"/>
                <w:szCs w:val="21"/>
              </w:rPr>
            </w:pPr>
            <w:r>
              <w:rPr>
                <w:rFonts w:hint="eastAsia" w:ascii="宋体" w:hAnsi="宋体" w:eastAsia="宋体" w:cs="宋体"/>
                <w:b/>
                <w:bCs/>
                <w:kern w:val="0"/>
                <w:sz w:val="21"/>
                <w:szCs w:val="21"/>
                <w:vertAlign w:val="baseline"/>
                <w:lang w:val="en-US" w:eastAsia="zh-CN" w:bidi="ar"/>
              </w:rPr>
              <w:t>机理说明</w:t>
            </w:r>
          </w:p>
        </w:tc>
      </w:tr>
      <w:tr w14:paraId="526DE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30644FB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干板压降</w:t>
            </w:r>
          </w:p>
        </w:tc>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6DC7999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90</w:t>
            </w:r>
          </w:p>
        </w:tc>
        <w:tc>
          <w:tcPr>
            <w:tcW w:w="0" w:type="auto"/>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75B81C4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30%</w:t>
            </w:r>
          </w:p>
        </w:tc>
        <w:tc>
          <w:tcPr>
            <w:tcW w:w="3371" w:type="dxa"/>
            <w:tcBorders>
              <w:top w:val="single" w:color="auto" w:sz="4" w:space="0"/>
              <w:left w:val="nil"/>
              <w:bottom w:val="nil"/>
              <w:right w:val="nil"/>
            </w:tcBorders>
            <w:shd w:val="clear" w:color="auto" w:fill="auto"/>
            <w:noWrap w:val="0"/>
            <w:tcMar>
              <w:top w:w="75" w:type="dxa"/>
              <w:left w:w="75" w:type="dxa"/>
              <w:bottom w:w="75" w:type="dxa"/>
              <w:right w:w="75" w:type="dxa"/>
            </w:tcMar>
            <w:vAlign w:val="center"/>
          </w:tcPr>
          <w:p w14:paraId="299FC81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气体与规整波纹表面摩擦</w:t>
            </w:r>
          </w:p>
        </w:tc>
      </w:tr>
      <w:tr w14:paraId="1049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0CB9944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湿板压降</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563FD43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180</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131A4A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60%</w:t>
            </w:r>
          </w:p>
        </w:tc>
        <w:tc>
          <w:tcPr>
            <w:tcW w:w="3371" w:type="dxa"/>
            <w:tcBorders>
              <w:top w:val="nil"/>
              <w:left w:val="nil"/>
              <w:bottom w:val="nil"/>
              <w:right w:val="nil"/>
            </w:tcBorders>
            <w:shd w:val="clear" w:color="auto" w:fill="auto"/>
            <w:noWrap w:val="0"/>
            <w:tcMar>
              <w:top w:w="75" w:type="dxa"/>
              <w:left w:w="75" w:type="dxa"/>
              <w:bottom w:w="75" w:type="dxa"/>
              <w:right w:w="75" w:type="dxa"/>
            </w:tcMar>
            <w:vAlign w:val="center"/>
          </w:tcPr>
          <w:p w14:paraId="7A9C250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气液界面剪切，液膜阻力</w:t>
            </w:r>
          </w:p>
        </w:tc>
      </w:tr>
      <w:tr w14:paraId="5A81B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2E100AA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交互压降</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780E1E2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30</w:t>
            </w:r>
          </w:p>
        </w:tc>
        <w:tc>
          <w:tcPr>
            <w:tcW w:w="0" w:type="auto"/>
            <w:tcBorders>
              <w:top w:val="nil"/>
              <w:left w:val="nil"/>
              <w:bottom w:val="nil"/>
              <w:right w:val="nil"/>
            </w:tcBorders>
            <w:shd w:val="clear" w:color="auto" w:fill="auto"/>
            <w:noWrap w:val="0"/>
            <w:tcMar>
              <w:top w:w="75" w:type="dxa"/>
              <w:left w:w="75" w:type="dxa"/>
              <w:bottom w:w="75" w:type="dxa"/>
              <w:right w:w="75" w:type="dxa"/>
            </w:tcMar>
            <w:vAlign w:val="center"/>
          </w:tcPr>
          <w:p w14:paraId="6D8D161F">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10%</w:t>
            </w:r>
          </w:p>
        </w:tc>
        <w:tc>
          <w:tcPr>
            <w:tcW w:w="3371" w:type="dxa"/>
            <w:tcBorders>
              <w:top w:val="nil"/>
              <w:left w:val="nil"/>
              <w:bottom w:val="nil"/>
              <w:right w:val="nil"/>
            </w:tcBorders>
            <w:shd w:val="clear" w:color="auto" w:fill="auto"/>
            <w:noWrap w:val="0"/>
            <w:tcMar>
              <w:top w:w="75" w:type="dxa"/>
              <w:left w:w="75" w:type="dxa"/>
              <w:bottom w:w="75" w:type="dxa"/>
              <w:right w:w="75" w:type="dxa"/>
            </w:tcMar>
            <w:vAlign w:val="center"/>
          </w:tcPr>
          <w:p w14:paraId="1C60C41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sz w:val="21"/>
                <w:szCs w:val="21"/>
              </w:rPr>
            </w:pPr>
            <w:r>
              <w:rPr>
                <w:rFonts w:hint="eastAsia" w:ascii="宋体" w:hAnsi="宋体" w:eastAsia="宋体" w:cs="宋体"/>
                <w:kern w:val="0"/>
                <w:sz w:val="21"/>
                <w:szCs w:val="21"/>
                <w:vertAlign w:val="baseline"/>
                <w:lang w:val="en-US" w:eastAsia="zh-CN" w:bidi="ar"/>
              </w:rPr>
              <w:t>界面波动，局部涡流</w:t>
            </w:r>
          </w:p>
        </w:tc>
      </w:tr>
      <w:tr w14:paraId="03BD6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1351"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354F92A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sz w:val="21"/>
                <w:szCs w:val="21"/>
              </w:rPr>
            </w:pPr>
            <w:r>
              <w:rPr>
                <w:rStyle w:val="20"/>
                <w:rFonts w:hint="eastAsia" w:ascii="宋体" w:hAnsi="宋体" w:eastAsia="宋体" w:cs="宋体"/>
                <w:b/>
                <w:bCs/>
                <w:kern w:val="0"/>
                <w:sz w:val="21"/>
                <w:szCs w:val="21"/>
                <w:vertAlign w:val="baseline"/>
                <w:lang w:val="en-US" w:eastAsia="zh-CN" w:bidi="ar"/>
              </w:rPr>
              <w:t>总计</w:t>
            </w:r>
          </w:p>
        </w:tc>
        <w:tc>
          <w:tcPr>
            <w:tcW w:w="2952"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1D0CB4F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sz w:val="21"/>
                <w:szCs w:val="21"/>
              </w:rPr>
            </w:pPr>
            <w:r>
              <w:rPr>
                <w:rStyle w:val="20"/>
                <w:rFonts w:hint="eastAsia" w:ascii="宋体" w:hAnsi="宋体" w:eastAsia="宋体" w:cs="宋体"/>
                <w:b/>
                <w:bCs/>
                <w:kern w:val="0"/>
                <w:sz w:val="21"/>
                <w:szCs w:val="21"/>
                <w:vertAlign w:val="baseline"/>
                <w:lang w:val="en-US" w:eastAsia="zh-CN" w:bidi="ar"/>
              </w:rPr>
              <w:t>300</w:t>
            </w:r>
          </w:p>
        </w:tc>
        <w:tc>
          <w:tcPr>
            <w:tcW w:w="778"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17A9C6F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right"/>
              <w:textAlignment w:val="baseline"/>
              <w:rPr>
                <w:rFonts w:hint="eastAsia" w:ascii="宋体" w:hAnsi="宋体" w:eastAsia="宋体" w:cs="宋体"/>
                <w:b/>
                <w:sz w:val="21"/>
                <w:szCs w:val="21"/>
              </w:rPr>
            </w:pPr>
            <w:r>
              <w:rPr>
                <w:rStyle w:val="20"/>
                <w:rFonts w:hint="eastAsia" w:ascii="宋体" w:hAnsi="宋体" w:eastAsia="宋体" w:cs="宋体"/>
                <w:b/>
                <w:bCs/>
                <w:kern w:val="0"/>
                <w:sz w:val="21"/>
                <w:szCs w:val="21"/>
                <w:vertAlign w:val="baseline"/>
                <w:lang w:val="en-US" w:eastAsia="zh-CN" w:bidi="ar"/>
              </w:rPr>
              <w:t>100%</w:t>
            </w:r>
          </w:p>
        </w:tc>
        <w:tc>
          <w:tcPr>
            <w:tcW w:w="3371" w:type="dxa"/>
            <w:tcBorders>
              <w:top w:val="nil"/>
              <w:left w:val="nil"/>
              <w:bottom w:val="single" w:color="auto" w:sz="12" w:space="0"/>
              <w:right w:val="nil"/>
            </w:tcBorders>
            <w:shd w:val="clear" w:color="auto" w:fill="auto"/>
            <w:noWrap w:val="0"/>
            <w:tcMar>
              <w:top w:w="75" w:type="dxa"/>
              <w:left w:w="75" w:type="dxa"/>
              <w:bottom w:w="75" w:type="dxa"/>
              <w:right w:w="75" w:type="dxa"/>
            </w:tcMar>
            <w:vAlign w:val="center"/>
          </w:tcPr>
          <w:p w14:paraId="7DD4E8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400" w:lineRule="exact"/>
              <w:ind w:left="0" w:leftChars="0" w:right="0" w:rightChars="0" w:firstLine="0" w:firstLineChars="0"/>
              <w:jc w:val="center"/>
              <w:textAlignment w:val="baseline"/>
              <w:rPr>
                <w:rFonts w:hint="eastAsia" w:ascii="宋体" w:hAnsi="宋体" w:eastAsia="宋体" w:cs="宋体"/>
                <w:b/>
                <w:sz w:val="21"/>
                <w:szCs w:val="21"/>
              </w:rPr>
            </w:pPr>
            <w:r>
              <w:rPr>
                <w:rFonts w:hint="eastAsia" w:ascii="宋体" w:hAnsi="宋体" w:eastAsia="宋体" w:cs="宋体"/>
                <w:b/>
                <w:kern w:val="0"/>
                <w:sz w:val="21"/>
                <w:szCs w:val="21"/>
                <w:vertAlign w:val="baseline"/>
                <w:lang w:val="en-US" w:eastAsia="zh-CN" w:bidi="ar"/>
              </w:rPr>
              <w:t>实测验证</w:t>
            </w:r>
          </w:p>
        </w:tc>
      </w:tr>
    </w:tbl>
    <w:p w14:paraId="4F38AC8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液泛特性</w:t>
      </w:r>
      <w:bookmarkEnd w:id="9"/>
    </w:p>
    <w:p w14:paraId="02B7213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液泛是填料塔操作的极</w:t>
      </w:r>
      <w:bookmarkStart w:id="12" w:name="_GoBack"/>
      <w:bookmarkEnd w:id="12"/>
      <w:r>
        <w:rPr>
          <w:rFonts w:hint="eastAsia" w:ascii="宋体" w:hAnsi="宋体" w:eastAsia="宋体" w:cs="宋体"/>
          <w:sz w:val="21"/>
          <w:szCs w:val="21"/>
        </w:rPr>
        <w:t>限工况，液泛气速是填料塔设计的核心参数。基于Bain-Hougen关联式，结合硫酸干吸塔的实际工况（98%浓硫酸，塔后风机配置），计算得到B型规整填料的液泛气速，关联式为：</w:t>
      </w:r>
    </w:p>
    <w:p w14:paraId="41335806">
      <w:pPr>
        <w:keepNext w:val="0"/>
        <w:keepLines w:val="0"/>
        <w:pageBreakBefore w:val="0"/>
        <w:widowControl w:val="0"/>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5269230" cy="544195"/>
            <wp:effectExtent l="0" t="0" r="762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2"/>
                    <a:stretch>
                      <a:fillRect/>
                    </a:stretch>
                  </pic:blipFill>
                  <pic:spPr>
                    <a:xfrm>
                      <a:off x="0" y="0"/>
                      <a:ext cx="5269230" cy="544195"/>
                    </a:xfrm>
                    <a:prstGeom prst="rect">
                      <a:avLst/>
                    </a:prstGeom>
                    <a:noFill/>
                    <a:ln>
                      <a:noFill/>
                    </a:ln>
                  </pic:spPr>
                </pic:pic>
              </a:graphicData>
            </a:graphic>
          </wp:inline>
        </w:drawing>
      </w:r>
      <w:r>
        <w:rPr>
          <w:rFonts w:hint="eastAsia" w:ascii="宋体" w:hAnsi="宋体" w:eastAsia="宋体" w:cs="宋体"/>
          <w:sz w:val="21"/>
          <w:szCs w:val="21"/>
        </w:rPr>
        <w:t>式中，</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u</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F</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为液泛气速，m/s；</w:t>
      </w:r>
      <m:oMath>
        <m:r>
          <m:rPr>
            <m:sty m:val="p"/>
          </m:rPr>
          <w:rPr>
            <w:rFonts w:hint="default" w:ascii="Cambria Math" w:hAnsi="Cambria Math" w:eastAsia="宋体" w:cs="宋体"/>
            <w:sz w:val="21"/>
            <w:szCs w:val="21"/>
          </w:rPr>
          <m:t>g</m:t>
        </m:r>
      </m:oMath>
      <w:r>
        <w:rPr>
          <w:rFonts w:hint="eastAsia" w:ascii="宋体" w:hAnsi="宋体" w:eastAsia="宋体" w:cs="宋体"/>
          <w:sz w:val="21"/>
          <w:szCs w:val="21"/>
        </w:rPr>
        <w:t xml:space="preserve"> 为重力加速度，取9.81 m/s²；</w:t>
      </w:r>
      <m:oMath>
        <m:sSub>
          <m:sSubPr>
            <m:ctrlPr>
              <w:rPr>
                <w:rFonts w:hint="eastAsia" w:ascii="Cambria Math" w:hAnsi="Cambria Math" w:eastAsia="宋体" w:cs="宋体"/>
                <w:sz w:val="21"/>
                <w:szCs w:val="21"/>
              </w:rPr>
            </m:ctrlPr>
          </m:sSubPr>
          <m:e>
            <m:r>
              <m:rPr>
                <m:sty m:val="p"/>
              </m:rPr>
              <w:rPr>
                <w:rFonts w:hint="default" w:ascii="Cambria Math" w:hAnsi="Cambria Math" w:eastAsia="宋体" w:cs="宋体"/>
                <w:sz w:val="21"/>
                <w:szCs w:val="21"/>
              </w:rPr>
              <m:t>μ</m:t>
            </m:r>
            <m:ctrlPr>
              <w:rPr>
                <w:rFonts w:hint="eastAsia" w:ascii="Cambria Math" w:hAnsi="Cambria Math" w:eastAsia="宋体" w:cs="宋体"/>
                <w:sz w:val="21"/>
                <w:szCs w:val="21"/>
              </w:rPr>
            </m:ctrlPr>
          </m:e>
          <m:sub>
            <m:r>
              <m:rPr>
                <m:sty m:val="p"/>
              </m:rPr>
              <w:rPr>
                <w:rFonts w:hint="default" w:ascii="Cambria Math" w:hAnsi="Cambria Math" w:eastAsia="宋体" w:cs="宋体"/>
                <w:sz w:val="21"/>
                <w:szCs w:val="21"/>
              </w:rPr>
              <m:t>L</m:t>
            </m:r>
            <m:ctrlPr>
              <w:rPr>
                <w:rFonts w:hint="eastAsia" w:ascii="Cambria Math" w:hAnsi="Cambria Math" w:eastAsia="宋体" w:cs="宋体"/>
                <w:sz w:val="21"/>
                <w:szCs w:val="21"/>
              </w:rPr>
            </m:ctrlPr>
          </m:sub>
        </m:sSub>
      </m:oMath>
      <w:r>
        <w:rPr>
          <w:rFonts w:hint="eastAsia" w:ascii="宋体" w:hAnsi="宋体" w:eastAsia="宋体" w:cs="宋体"/>
          <w:sz w:val="21"/>
          <w:szCs w:val="21"/>
        </w:rPr>
        <w:t xml:space="preserve"> 为液体黏度，mPa·s；</w:t>
      </w:r>
      <m:oMath>
        <m:r>
          <m:rPr>
            <m:sty m:val="p"/>
          </m:rPr>
          <w:rPr>
            <w:rFonts w:hint="default" w:ascii="Cambria Math" w:hAnsi="Cambria Math" w:eastAsia="宋体" w:cs="宋体"/>
            <w:sz w:val="21"/>
            <w:szCs w:val="21"/>
          </w:rPr>
          <m:t>G</m:t>
        </m:r>
      </m:oMath>
      <w:r>
        <w:rPr>
          <w:rFonts w:hint="eastAsia" w:ascii="宋体" w:hAnsi="宋体" w:eastAsia="宋体" w:cs="宋体"/>
          <w:sz w:val="21"/>
          <w:szCs w:val="21"/>
        </w:rPr>
        <w:t xml:space="preserve"> 为气相质量流速，kg/(m²·h)；</w:t>
      </w:r>
      <m:oMath>
        <m:r>
          <m:rPr>
            <m:sty m:val="p"/>
          </m:rPr>
          <w:rPr>
            <w:rFonts w:hint="default" w:ascii="Cambria Math" w:hAnsi="Cambria Math" w:eastAsia="宋体" w:cs="宋体"/>
            <w:sz w:val="21"/>
            <w:szCs w:val="21"/>
          </w:rPr>
          <m:t>K</m:t>
        </m:r>
      </m:oMath>
      <w:r>
        <w:rPr>
          <w:rFonts w:hint="eastAsia" w:ascii="宋体" w:hAnsi="宋体" w:eastAsia="宋体" w:cs="宋体"/>
          <w:sz w:val="21"/>
          <w:szCs w:val="21"/>
        </w:rPr>
        <w:t xml:space="preserve"> 为填料特性常数，无量纲。</w:t>
      </w:r>
    </w:p>
    <w:p w14:paraId="3DFAA21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计算结果表明，B型填料在硫酸干吸塔工况下的液泛气速为2.0~2.2 m/s，工程设计中选取1.5 m/s作为操作气速，对应的泛点率为68%~75%，处于填料塔的安全操作区间，可有效避免液泛现象，保证装置长期稳定运行。</w:t>
      </w:r>
    </w:p>
    <w:p w14:paraId="6DC9D11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0" w:name="heading_15"/>
      <w:r>
        <w:rPr>
          <w:rFonts w:hint="eastAsia" w:ascii="宋体" w:hAnsi="宋体" w:eastAsia="宋体" w:cs="宋体"/>
          <w:b/>
          <w:bCs/>
          <w:sz w:val="21"/>
          <w:szCs w:val="21"/>
          <w:lang w:val="en-US" w:eastAsia="zh-CN"/>
        </w:rPr>
        <w:t>4 分层功能化设计方案</w:t>
      </w:r>
      <w:bookmarkEnd w:id="10"/>
    </w:p>
    <w:p w14:paraId="3F32DB9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1" w:name="heading_16"/>
      <w:r>
        <w:rPr>
          <w:rFonts w:hint="eastAsia" w:ascii="宋体" w:hAnsi="宋体" w:eastAsia="宋体" w:cs="宋体"/>
          <w:b/>
          <w:bCs/>
          <w:sz w:val="21"/>
          <w:szCs w:val="21"/>
          <w:lang w:val="en-US" w:eastAsia="zh-CN"/>
        </w:rPr>
        <w:t>4.1 设计思想</w:t>
      </w:r>
      <w:bookmarkEnd w:id="11"/>
    </w:p>
    <w:p w14:paraId="6B839B5F">
      <w:pPr>
        <w:keepNext w:val="0"/>
        <w:keepLines w:val="0"/>
        <w:pageBreakBefore w:val="0"/>
        <w:widowControl w:val="0"/>
        <w:kinsoku/>
        <w:wordWrap/>
        <w:overflowPunct/>
        <w:topLinePunct w:val="0"/>
        <w:autoSpaceDE/>
        <w:autoSpaceDN/>
        <w:bidi w:val="0"/>
        <w:adjustRightInd/>
        <w:snapToGrid/>
        <w:spacing w:before="120" w:after="120"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针对硫酸干吸塔的工况特点和工程痛点，基于气液自分布机理，提出</w:t>
      </w:r>
      <w:r>
        <w:rPr>
          <w:rFonts w:hint="eastAsia" w:ascii="宋体" w:hAnsi="宋体" w:eastAsia="宋体" w:cs="宋体"/>
          <w:b/>
          <w:sz w:val="21"/>
          <w:szCs w:val="21"/>
        </w:rPr>
        <w:t>四层功能化</w:t>
      </w:r>
      <w:r>
        <w:rPr>
          <w:rFonts w:hint="eastAsia" w:ascii="宋体" w:hAnsi="宋体" w:eastAsia="宋体" w:cs="宋体"/>
          <w:sz w:val="21"/>
          <w:szCs w:val="21"/>
        </w:rPr>
        <w:t>的填料系统配置理念，通过不同类型S流线型陶瓷规整填料的分层组合，实现各功能的协同优化，核心设计思路为：</w:t>
      </w:r>
    </w:p>
    <w:p w14:paraId="72BAEEC8">
      <w:pPr>
        <w:keepNext w:val="0"/>
        <w:keepLines w:val="0"/>
        <w:pageBreakBefore w:val="0"/>
        <w:widowControl w:val="0"/>
        <w:kinsoku/>
        <w:wordWrap/>
        <w:overflowPunct/>
        <w:topLinePunct w:val="0"/>
        <w:autoSpaceDE/>
        <w:autoSpaceDN/>
        <w:bidi w:val="0"/>
        <w:adjustRightInd/>
        <w:snapToGrid/>
        <w:spacing w:before="120" w:after="120" w:line="400" w:lineRule="exact"/>
        <w:ind w:left="0"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气体自分布层</w:t>
      </w:r>
      <w:r>
        <w:rPr>
          <w:rFonts w:hint="eastAsia" w:ascii="宋体" w:hAnsi="宋体" w:eastAsia="宋体" w:cs="宋体"/>
          <w:sz w:val="21"/>
          <w:szCs w:val="21"/>
        </w:rPr>
        <w:t>（C型填料）：利用C型填料高空隙率、低填料因子的特性，实现纵向低压降、横向高通导，通过填料界面压差梯度驱动气相横向扩散，实现进气的均匀分布，替代传统专用气体分布器；</w:t>
      </w:r>
    </w:p>
    <w:p w14:paraId="4EEED9DD">
      <w:pPr>
        <w:keepNext w:val="0"/>
        <w:keepLines w:val="0"/>
        <w:pageBreakBefore w:val="0"/>
        <w:widowControl w:val="0"/>
        <w:kinsoku/>
        <w:wordWrap/>
        <w:overflowPunct/>
        <w:topLinePunct w:val="0"/>
        <w:autoSpaceDE/>
        <w:autoSpaceDN/>
        <w:bidi w:val="0"/>
        <w:adjustRightInd/>
        <w:snapToGrid/>
        <w:spacing w:before="120" w:after="120" w:line="400" w:lineRule="exact"/>
        <w:ind w:left="0"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液体缓冲层</w:t>
      </w:r>
      <w:r>
        <w:rPr>
          <w:rFonts w:hint="eastAsia" w:ascii="宋体" w:hAnsi="宋体" w:eastAsia="宋体" w:cs="宋体"/>
          <w:sz w:val="21"/>
          <w:szCs w:val="21"/>
        </w:rPr>
        <w:t>（散装陶瓷填料）：利用散装填料的多孔结构，耗散液体喷淋的动能，同时通过惯性碰撞实现初级雾沫分离，抑制酸雾夹带，为后续液体再分布奠定基础；</w:t>
      </w:r>
    </w:p>
    <w:p w14:paraId="1E5F7BAD">
      <w:pPr>
        <w:keepNext w:val="0"/>
        <w:keepLines w:val="0"/>
        <w:pageBreakBefore w:val="0"/>
        <w:widowControl w:val="0"/>
        <w:kinsoku/>
        <w:wordWrap/>
        <w:overflowPunct/>
        <w:topLinePunct w:val="0"/>
        <w:autoSpaceDE/>
        <w:autoSpaceDN/>
        <w:bidi w:val="0"/>
        <w:adjustRightInd/>
        <w:snapToGrid/>
        <w:spacing w:before="120" w:after="120" w:line="400" w:lineRule="exact"/>
        <w:ind w:left="0"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液体再分布/精细传质层</w:t>
      </w:r>
      <w:r>
        <w:rPr>
          <w:rFonts w:hint="eastAsia" w:ascii="宋体" w:hAnsi="宋体" w:eastAsia="宋体" w:cs="宋体"/>
          <w:sz w:val="21"/>
          <w:szCs w:val="21"/>
        </w:rPr>
        <w:t>（A型填料）：利用A型填料高比表面积、密集波纹的特性，将点源喷淋液体强制分割、铺展，在微观尺度实现液体的均匀分布，同时提供精细传质，消除壁流、沟流现象；</w:t>
      </w:r>
    </w:p>
    <w:p w14:paraId="6458E1B3">
      <w:pPr>
        <w:keepNext w:val="0"/>
        <w:keepLines w:val="0"/>
        <w:pageBreakBefore w:val="0"/>
        <w:widowControl w:val="0"/>
        <w:kinsoku/>
        <w:wordWrap/>
        <w:overflowPunct/>
        <w:topLinePunct w:val="0"/>
        <w:autoSpaceDE/>
        <w:autoSpaceDN/>
        <w:bidi w:val="0"/>
        <w:adjustRightInd/>
        <w:snapToGrid/>
        <w:spacing w:before="120" w:after="120" w:line="400" w:lineRule="exact"/>
        <w:ind w:left="0" w:firstLine="422" w:firstLineChars="200"/>
        <w:jc w:val="left"/>
        <w:textAlignment w:val="auto"/>
        <w:rPr>
          <w:rFonts w:hint="eastAsia" w:ascii="宋体" w:hAnsi="宋体" w:eastAsia="宋体" w:cs="宋体"/>
          <w:sz w:val="21"/>
          <w:szCs w:val="21"/>
        </w:rPr>
      </w:pPr>
      <w:r>
        <w:rPr>
          <w:rFonts w:hint="eastAsia" w:ascii="宋体" w:hAnsi="宋体" w:eastAsia="宋体" w:cs="宋体"/>
          <w:b/>
          <w:sz w:val="21"/>
          <w:szCs w:val="21"/>
        </w:rPr>
        <w:t>主体传质层</w:t>
      </w:r>
      <w:r>
        <w:rPr>
          <w:rFonts w:hint="eastAsia" w:ascii="宋体" w:hAnsi="宋体" w:eastAsia="宋体" w:cs="宋体"/>
          <w:sz w:val="21"/>
          <w:szCs w:val="21"/>
        </w:rPr>
        <w:t>（B型填料）：利用B型填料中比表面积、高空隙率的特性，形成规则的膜状流动通道，实现SO₃的高效吸收，作为干吸塔的核心传质区域。</w:t>
      </w:r>
    </w:p>
    <w:p w14:paraId="410A5A46">
      <w:pPr>
        <w:keepNext w:val="0"/>
        <w:keepLines w:val="0"/>
        <w:pageBreakBefore w:val="0"/>
        <w:widowControl w:val="0"/>
        <w:kinsoku/>
        <w:wordWrap/>
        <w:overflowPunct/>
        <w:topLinePunct w:val="0"/>
        <w:autoSpaceDE/>
        <w:autoSpaceDN/>
        <w:bidi w:val="0"/>
        <w:adjustRightInd/>
        <w:snapToGrid/>
        <w:spacing w:before="120" w:after="120" w:line="400" w:lineRule="exact"/>
        <w:ind w:left="0"/>
        <w:jc w:val="left"/>
        <w:textAlignment w:val="auto"/>
        <w:rPr>
          <w:rFonts w:hint="eastAsia" w:ascii="宋体" w:hAnsi="宋体" w:eastAsia="宋体" w:cs="宋体"/>
          <w:sz w:val="21"/>
          <w:szCs w:val="21"/>
        </w:rPr>
      </w:pPr>
      <w:r>
        <w:rPr>
          <w:rFonts w:hint="eastAsia" w:ascii="宋体" w:hAnsi="宋体" w:eastAsia="宋体" w:cs="宋体"/>
          <w:sz w:val="21"/>
          <w:szCs w:val="21"/>
        </w:rPr>
        <w:t>四层结构各司其职、协同作用，既实现气液的自均匀分布，又兼顾传质效率提升与压降降低，同时简化塔内件结构，降低设备投资与维护成本。</w:t>
      </w:r>
    </w:p>
    <w:p w14:paraId="104E98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8265A2"/>
    <w:rsid w:val="02B86B51"/>
    <w:rsid w:val="02E334E5"/>
    <w:rsid w:val="03304250"/>
    <w:rsid w:val="0374238F"/>
    <w:rsid w:val="03A5079A"/>
    <w:rsid w:val="03C50E3C"/>
    <w:rsid w:val="03C527A5"/>
    <w:rsid w:val="042E0790"/>
    <w:rsid w:val="048748A1"/>
    <w:rsid w:val="04CC1D57"/>
    <w:rsid w:val="04DC643E"/>
    <w:rsid w:val="056106F1"/>
    <w:rsid w:val="05AE130F"/>
    <w:rsid w:val="05FB3670"/>
    <w:rsid w:val="06112117"/>
    <w:rsid w:val="062077BC"/>
    <w:rsid w:val="065F10D4"/>
    <w:rsid w:val="069D39AB"/>
    <w:rsid w:val="0730481F"/>
    <w:rsid w:val="07664F2E"/>
    <w:rsid w:val="076E5F7E"/>
    <w:rsid w:val="07B471FE"/>
    <w:rsid w:val="07C05BA3"/>
    <w:rsid w:val="07E3246F"/>
    <w:rsid w:val="07F7358F"/>
    <w:rsid w:val="082E60A5"/>
    <w:rsid w:val="08422A5C"/>
    <w:rsid w:val="08564759"/>
    <w:rsid w:val="08BA0844"/>
    <w:rsid w:val="090917CB"/>
    <w:rsid w:val="091A7E4E"/>
    <w:rsid w:val="09931095"/>
    <w:rsid w:val="09F00295"/>
    <w:rsid w:val="0A4B20AA"/>
    <w:rsid w:val="0AEE6ECB"/>
    <w:rsid w:val="0AFF2E86"/>
    <w:rsid w:val="0B664CB3"/>
    <w:rsid w:val="0C0E77A3"/>
    <w:rsid w:val="0C1B5A9E"/>
    <w:rsid w:val="0C2B45A8"/>
    <w:rsid w:val="0C580AA0"/>
    <w:rsid w:val="0C831895"/>
    <w:rsid w:val="0C8E44C1"/>
    <w:rsid w:val="0CBC4E2C"/>
    <w:rsid w:val="0CDE6ACB"/>
    <w:rsid w:val="0CE82491"/>
    <w:rsid w:val="0CF56428"/>
    <w:rsid w:val="0CFF0F1B"/>
    <w:rsid w:val="0D525F6F"/>
    <w:rsid w:val="0D731909"/>
    <w:rsid w:val="0D8A571F"/>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563E2E"/>
    <w:rsid w:val="17836BED"/>
    <w:rsid w:val="178C5AA1"/>
    <w:rsid w:val="17AD77C6"/>
    <w:rsid w:val="180933FC"/>
    <w:rsid w:val="185C6006"/>
    <w:rsid w:val="18616F2E"/>
    <w:rsid w:val="191221DB"/>
    <w:rsid w:val="191F64A1"/>
    <w:rsid w:val="19235F91"/>
    <w:rsid w:val="19800B64"/>
    <w:rsid w:val="19836A30"/>
    <w:rsid w:val="199944A6"/>
    <w:rsid w:val="19FD4A34"/>
    <w:rsid w:val="1A533F79"/>
    <w:rsid w:val="1A5A1E87"/>
    <w:rsid w:val="1AC45552"/>
    <w:rsid w:val="1B2F179A"/>
    <w:rsid w:val="1B6F3710"/>
    <w:rsid w:val="1C250273"/>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98179E"/>
    <w:rsid w:val="22BA5BB9"/>
    <w:rsid w:val="230D784D"/>
    <w:rsid w:val="23B95F13"/>
    <w:rsid w:val="24174945"/>
    <w:rsid w:val="24212C83"/>
    <w:rsid w:val="244020ED"/>
    <w:rsid w:val="248B32E5"/>
    <w:rsid w:val="24B17D3C"/>
    <w:rsid w:val="24EE1B49"/>
    <w:rsid w:val="25867FD4"/>
    <w:rsid w:val="259C77F7"/>
    <w:rsid w:val="262A3A04"/>
    <w:rsid w:val="267D2DCA"/>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B726905"/>
    <w:rsid w:val="2C1A3224"/>
    <w:rsid w:val="2C5F332D"/>
    <w:rsid w:val="2CDC497D"/>
    <w:rsid w:val="2D893B43"/>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2FDC028B"/>
    <w:rsid w:val="312F3756"/>
    <w:rsid w:val="31496359"/>
    <w:rsid w:val="315E0057"/>
    <w:rsid w:val="318D4498"/>
    <w:rsid w:val="3199108F"/>
    <w:rsid w:val="319F16AA"/>
    <w:rsid w:val="31CC4FC0"/>
    <w:rsid w:val="31F167D5"/>
    <w:rsid w:val="3216448E"/>
    <w:rsid w:val="321D581C"/>
    <w:rsid w:val="323963CE"/>
    <w:rsid w:val="32425283"/>
    <w:rsid w:val="3273368E"/>
    <w:rsid w:val="32963820"/>
    <w:rsid w:val="32C57C62"/>
    <w:rsid w:val="32E20814"/>
    <w:rsid w:val="337771AE"/>
    <w:rsid w:val="33F94067"/>
    <w:rsid w:val="343A0557"/>
    <w:rsid w:val="34480B4A"/>
    <w:rsid w:val="347656B7"/>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30417"/>
    <w:rsid w:val="39783C80"/>
    <w:rsid w:val="399551B1"/>
    <w:rsid w:val="39D619B3"/>
    <w:rsid w:val="3A445910"/>
    <w:rsid w:val="3A4F2C33"/>
    <w:rsid w:val="3A557B1D"/>
    <w:rsid w:val="3A726921"/>
    <w:rsid w:val="3A765FE2"/>
    <w:rsid w:val="3AD57AD7"/>
    <w:rsid w:val="3B653D90"/>
    <w:rsid w:val="3B7D732B"/>
    <w:rsid w:val="3BAE3989"/>
    <w:rsid w:val="3BCC3E0F"/>
    <w:rsid w:val="3BD66A3C"/>
    <w:rsid w:val="3C424796"/>
    <w:rsid w:val="3CC044ED"/>
    <w:rsid w:val="3CC25530"/>
    <w:rsid w:val="3CC52D38"/>
    <w:rsid w:val="3CD13DD3"/>
    <w:rsid w:val="3D0715A3"/>
    <w:rsid w:val="3D515037"/>
    <w:rsid w:val="3DA212CB"/>
    <w:rsid w:val="3DBB238D"/>
    <w:rsid w:val="3DBD6105"/>
    <w:rsid w:val="3E4405D4"/>
    <w:rsid w:val="3E9C5D1B"/>
    <w:rsid w:val="3EA041E9"/>
    <w:rsid w:val="3F375A43"/>
    <w:rsid w:val="3FA4757D"/>
    <w:rsid w:val="3FB6105E"/>
    <w:rsid w:val="3FE444E6"/>
    <w:rsid w:val="40583EC3"/>
    <w:rsid w:val="40642868"/>
    <w:rsid w:val="407A652F"/>
    <w:rsid w:val="40923879"/>
    <w:rsid w:val="410F592B"/>
    <w:rsid w:val="411424E0"/>
    <w:rsid w:val="41641264"/>
    <w:rsid w:val="41700BEB"/>
    <w:rsid w:val="426C3C56"/>
    <w:rsid w:val="42786A9F"/>
    <w:rsid w:val="42AE784B"/>
    <w:rsid w:val="42BC1743"/>
    <w:rsid w:val="42EE53FF"/>
    <w:rsid w:val="43B35FE0"/>
    <w:rsid w:val="43B9111D"/>
    <w:rsid w:val="43E4263E"/>
    <w:rsid w:val="44B33DBE"/>
    <w:rsid w:val="454809AA"/>
    <w:rsid w:val="45554E75"/>
    <w:rsid w:val="459D60E3"/>
    <w:rsid w:val="45B70627"/>
    <w:rsid w:val="45CA5863"/>
    <w:rsid w:val="45E5444B"/>
    <w:rsid w:val="46362EF9"/>
    <w:rsid w:val="465515D1"/>
    <w:rsid w:val="468E4AE3"/>
    <w:rsid w:val="46D00C57"/>
    <w:rsid w:val="46F54E2D"/>
    <w:rsid w:val="46FD57C4"/>
    <w:rsid w:val="47925F0D"/>
    <w:rsid w:val="47A143DA"/>
    <w:rsid w:val="47E81E53"/>
    <w:rsid w:val="48A028AB"/>
    <w:rsid w:val="48B545A9"/>
    <w:rsid w:val="49435EA6"/>
    <w:rsid w:val="495C0DBE"/>
    <w:rsid w:val="49CB1BAA"/>
    <w:rsid w:val="4A070E34"/>
    <w:rsid w:val="4A4F4589"/>
    <w:rsid w:val="4A82670C"/>
    <w:rsid w:val="4A9F64A4"/>
    <w:rsid w:val="4AB60164"/>
    <w:rsid w:val="4B8E06C7"/>
    <w:rsid w:val="4BDE7972"/>
    <w:rsid w:val="4C2C208C"/>
    <w:rsid w:val="4C934BC0"/>
    <w:rsid w:val="4CFB09F8"/>
    <w:rsid w:val="4D057181"/>
    <w:rsid w:val="4D447CA9"/>
    <w:rsid w:val="4D453A21"/>
    <w:rsid w:val="4D5123C6"/>
    <w:rsid w:val="4D6B792C"/>
    <w:rsid w:val="4DA16EA9"/>
    <w:rsid w:val="4DDA060D"/>
    <w:rsid w:val="4DED1912"/>
    <w:rsid w:val="4E257ADB"/>
    <w:rsid w:val="4E353A96"/>
    <w:rsid w:val="4EAD187E"/>
    <w:rsid w:val="4EB175C0"/>
    <w:rsid w:val="4EB62E28"/>
    <w:rsid w:val="4F0911AA"/>
    <w:rsid w:val="4F3D2C02"/>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9769C7"/>
    <w:rsid w:val="55BA1450"/>
    <w:rsid w:val="56037691"/>
    <w:rsid w:val="56083D8A"/>
    <w:rsid w:val="56135E24"/>
    <w:rsid w:val="564017AC"/>
    <w:rsid w:val="56521B76"/>
    <w:rsid w:val="567B0721"/>
    <w:rsid w:val="56F97D56"/>
    <w:rsid w:val="57081D47"/>
    <w:rsid w:val="57E97DCB"/>
    <w:rsid w:val="57EF1159"/>
    <w:rsid w:val="583059FA"/>
    <w:rsid w:val="5847689F"/>
    <w:rsid w:val="58532B2C"/>
    <w:rsid w:val="58984204"/>
    <w:rsid w:val="58C47EF0"/>
    <w:rsid w:val="591F781C"/>
    <w:rsid w:val="59285798"/>
    <w:rsid w:val="596F60AE"/>
    <w:rsid w:val="59E545C2"/>
    <w:rsid w:val="5A2A0227"/>
    <w:rsid w:val="5A7B0A82"/>
    <w:rsid w:val="5B0311A3"/>
    <w:rsid w:val="5BB5218E"/>
    <w:rsid w:val="5BFE5E0F"/>
    <w:rsid w:val="5CAA564F"/>
    <w:rsid w:val="5D4D4958"/>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3065F6"/>
    <w:rsid w:val="62CC27C3"/>
    <w:rsid w:val="635A7DCF"/>
    <w:rsid w:val="637D586B"/>
    <w:rsid w:val="63872EA4"/>
    <w:rsid w:val="63F26259"/>
    <w:rsid w:val="64061D04"/>
    <w:rsid w:val="640A365A"/>
    <w:rsid w:val="640E2967"/>
    <w:rsid w:val="643E149E"/>
    <w:rsid w:val="64754794"/>
    <w:rsid w:val="64A01811"/>
    <w:rsid w:val="64D74D2D"/>
    <w:rsid w:val="64FD7B2B"/>
    <w:rsid w:val="6502071E"/>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63ACB"/>
    <w:rsid w:val="6E6E0BD2"/>
    <w:rsid w:val="6E91041D"/>
    <w:rsid w:val="6ECB392F"/>
    <w:rsid w:val="6F562B93"/>
    <w:rsid w:val="6FA348AB"/>
    <w:rsid w:val="6FBB39A3"/>
    <w:rsid w:val="6FD23894"/>
    <w:rsid w:val="6FE23626"/>
    <w:rsid w:val="70383246"/>
    <w:rsid w:val="703D260A"/>
    <w:rsid w:val="7060279C"/>
    <w:rsid w:val="70626FA0"/>
    <w:rsid w:val="70756EB2"/>
    <w:rsid w:val="7258197D"/>
    <w:rsid w:val="72C60FDD"/>
    <w:rsid w:val="72EB27F1"/>
    <w:rsid w:val="730241B0"/>
    <w:rsid w:val="731A1328"/>
    <w:rsid w:val="73587D13"/>
    <w:rsid w:val="743B50B2"/>
    <w:rsid w:val="74BF5CE3"/>
    <w:rsid w:val="750977D2"/>
    <w:rsid w:val="75263FB5"/>
    <w:rsid w:val="75693EA1"/>
    <w:rsid w:val="75B25848"/>
    <w:rsid w:val="7610256F"/>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160627"/>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C14C86"/>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2950</Words>
  <Characters>2975</Characters>
  <Lines>35</Lines>
  <Paragraphs>9</Paragraphs>
  <TotalTime>0</TotalTime>
  <ScaleCrop>false</ScaleCrop>
  <LinksUpToDate>false</LinksUpToDate>
  <CharactersWithSpaces>2987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2026-03-19T08:10:15Z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