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37E9B0">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隶书" w:hAnsi="隶书" w:eastAsia="隶书" w:cs="隶书"/>
          <w:lang w:val="en-US" w:eastAsia="zh-CN"/>
        </w:rPr>
      </w:pPr>
    </w:p>
    <w:p w14:paraId="2E4191E0">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隶书" w:hAnsi="隶书" w:eastAsia="隶书" w:cs="隶书"/>
          <w:lang w:val="en-US" w:eastAsia="zh-CN"/>
        </w:rPr>
      </w:pPr>
      <w:r>
        <w:rPr>
          <w:rFonts w:hint="eastAsia" w:ascii="隶书" w:hAnsi="隶书" w:eastAsia="隶书" w:cs="隶书"/>
          <w:lang w:val="en-US" w:eastAsia="zh-CN"/>
        </w:rPr>
        <w:t>低品位硫铁矿与天然硫矿协同利用思路</w:t>
      </w:r>
    </w:p>
    <w:p w14:paraId="1548F8B8">
      <w:pPr>
        <w:pStyle w:val="2"/>
        <w:keepNext/>
        <w:keepLines/>
        <w:pageBreakBefore w:val="0"/>
        <w:widowControl w:val="0"/>
        <w:kinsoku/>
        <w:wordWrap/>
        <w:overflowPunct/>
        <w:topLinePunct w:val="0"/>
        <w:autoSpaceDE/>
        <w:autoSpaceDN/>
        <w:bidi w:val="0"/>
        <w:adjustRightInd/>
        <w:snapToGrid/>
        <w:spacing w:before="0" w:after="0" w:line="400" w:lineRule="exact"/>
        <w:jc w:val="right"/>
        <w:textAlignment w:val="auto"/>
        <w:rPr>
          <w:rFonts w:hint="eastAsia" w:ascii="隶书" w:hAnsi="隶书" w:eastAsia="隶书" w:cs="隶书"/>
          <w:lang w:val="en-US" w:eastAsia="zh-CN"/>
        </w:rPr>
      </w:pPr>
      <w:r>
        <w:rPr>
          <w:rFonts w:hint="eastAsia" w:ascii="隶书" w:hAnsi="隶书" w:eastAsia="隶书" w:cs="隶书"/>
          <w:lang w:val="en-US" w:eastAsia="zh-CN"/>
        </w:rPr>
        <w:t>——高硫价背景下硫酸原料多元化探索</w:t>
      </w:r>
    </w:p>
    <w:p w14:paraId="2B8E5663">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楷体" w:hAnsi="楷体" w:eastAsia="楷体" w:cs="楷体"/>
          <w:color w:val="auto"/>
          <w:sz w:val="21"/>
          <w:szCs w:val="21"/>
          <w:lang w:val="en-US" w:eastAsia="zh-CN"/>
        </w:rPr>
      </w:pPr>
      <w:r>
        <w:rPr>
          <w:rFonts w:hint="eastAsia" w:ascii="楷体" w:hAnsi="楷体" w:eastAsia="楷体" w:cs="楷体"/>
          <w:color w:val="auto"/>
          <w:sz w:val="21"/>
          <w:szCs w:val="21"/>
          <w:lang w:val="en-US" w:eastAsia="zh-CN"/>
        </w:rPr>
        <w:t>张俊</w:t>
      </w:r>
    </w:p>
    <w:p w14:paraId="561DBC19">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楷体" w:hAnsi="楷体" w:eastAsia="楷体" w:cs="楷体"/>
          <w:color w:val="auto"/>
          <w:sz w:val="21"/>
          <w:szCs w:val="21"/>
          <w:lang w:val="en-US" w:eastAsia="zh-CN"/>
        </w:rPr>
      </w:pPr>
      <w:r>
        <w:rPr>
          <w:rFonts w:hint="eastAsia" w:ascii="楷体" w:hAnsi="楷体" w:eastAsia="楷体" w:cs="楷体"/>
          <w:color w:val="auto"/>
          <w:sz w:val="21"/>
          <w:szCs w:val="21"/>
          <w:lang w:val="en-US" w:eastAsia="zh-CN"/>
        </w:rPr>
        <w:t>长春巴通中达进出口有限公司</w:t>
      </w:r>
    </w:p>
    <w:p w14:paraId="3039D3E9">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val="0"/>
          <w:bCs w:val="0"/>
        </w:rPr>
      </w:pPr>
    </w:p>
    <w:p w14:paraId="1CD56D3C">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rPr>
      </w:pPr>
      <w:r>
        <w:rPr>
          <w:rFonts w:hint="eastAsia" w:ascii="宋体" w:hAnsi="宋体" w:eastAsia="宋体" w:cs="宋体"/>
          <w:b/>
          <w:bCs/>
        </w:rPr>
        <w:t>摘要：</w:t>
      </w:r>
      <w:r>
        <w:rPr>
          <w:rFonts w:hint="eastAsia" w:ascii="宋体" w:hAnsi="宋体" w:eastAsia="宋体" w:cs="宋体"/>
        </w:rPr>
        <w:t>2026年以来，国际硫磺价格持续高位运行，</w:t>
      </w:r>
      <w:r>
        <w:rPr>
          <w:rFonts w:hint="eastAsia" w:ascii="宋体" w:hAnsi="宋体" w:eastAsia="宋体" w:cs="宋体"/>
          <w:lang w:val="en-US" w:eastAsia="zh-CN"/>
        </w:rPr>
        <w:t>6月上旬</w:t>
      </w:r>
      <w:r>
        <w:rPr>
          <w:rFonts w:hint="eastAsia" w:ascii="宋体" w:hAnsi="宋体" w:eastAsia="宋体" w:cs="宋体"/>
        </w:rPr>
        <w:t>已突破</w:t>
      </w:r>
      <w:r>
        <w:rPr>
          <w:rFonts w:hint="eastAsia" w:ascii="宋体" w:hAnsi="宋体" w:eastAsia="宋体" w:cs="宋体"/>
          <w:lang w:val="en-US" w:eastAsia="zh-CN"/>
        </w:rPr>
        <w:t>9</w:t>
      </w:r>
      <w:r>
        <w:rPr>
          <w:rFonts w:hint="eastAsia" w:ascii="宋体" w:hAnsi="宋体" w:eastAsia="宋体" w:cs="宋体"/>
        </w:rPr>
        <w:t>,</w:t>
      </w:r>
      <w:r>
        <w:rPr>
          <w:rFonts w:hint="eastAsia" w:ascii="宋体" w:hAnsi="宋体" w:eastAsia="宋体" w:cs="宋体"/>
          <w:lang w:val="en-US" w:eastAsia="zh-CN"/>
        </w:rPr>
        <w:t>0</w:t>
      </w:r>
      <w:r>
        <w:rPr>
          <w:rFonts w:hint="eastAsia" w:ascii="宋体" w:hAnsi="宋体" w:eastAsia="宋体" w:cs="宋体"/>
        </w:rPr>
        <w:t>00元/吨，高品位硫铁矿货源紧张且价格波动频繁，外购原料的硫铁矿制酸企业面临前所未有的成本压力。本文提出一种新型制酸原料组合方案：以巴基斯坦天然单质硫磺矿（S≥55%，到港含税价2,700元/吨）为廉价硫源，以国内大量积压的低品位硫铁矿（S=20%-25%）为功能性掺混辅料，采用分层进料协同焙烧。在理论配比测算下，方案原料采购综合单位纯硫成本约2,727元/吨硫（不含加工费），较工业硫磺（约</w:t>
      </w:r>
      <w:r>
        <w:rPr>
          <w:rFonts w:hint="eastAsia" w:ascii="宋体" w:hAnsi="宋体" w:eastAsia="宋体" w:cs="宋体"/>
          <w:lang w:val="en-US" w:eastAsia="zh-CN"/>
        </w:rPr>
        <w:t>9</w:t>
      </w:r>
      <w:r>
        <w:rPr>
          <w:rFonts w:hint="eastAsia" w:ascii="宋体" w:hAnsi="宋体" w:eastAsia="宋体" w:cs="宋体"/>
        </w:rPr>
        <w:t>,</w:t>
      </w:r>
      <w:r>
        <w:rPr>
          <w:rFonts w:hint="eastAsia" w:ascii="宋体" w:hAnsi="宋体" w:eastAsia="宋体" w:cs="宋体"/>
          <w:lang w:val="en-US" w:eastAsia="zh-CN"/>
        </w:rPr>
        <w:t>2</w:t>
      </w:r>
      <w:r>
        <w:rPr>
          <w:rFonts w:hint="eastAsia" w:ascii="宋体" w:hAnsi="宋体" w:eastAsia="宋体" w:cs="宋体"/>
        </w:rPr>
        <w:t>00元/吨硫）降低约</w:t>
      </w:r>
      <w:r>
        <w:rPr>
          <w:rFonts w:hint="eastAsia" w:ascii="宋体" w:hAnsi="宋体" w:eastAsia="宋体" w:cs="宋体"/>
          <w:lang w:val="en-US" w:eastAsia="zh-CN"/>
        </w:rPr>
        <w:t>70</w:t>
      </w:r>
      <w:r>
        <w:rPr>
          <w:rFonts w:hint="eastAsia" w:ascii="宋体" w:hAnsi="宋体" w:eastAsia="宋体" w:cs="宋体"/>
        </w:rPr>
        <w:t>%，较高品位硫铁矿（约4,371元/吨硫）降低约38%。本文详细阐述了原料特性、配比优化逻辑、分层进料工艺原理、经济效益、环保合规性及工业验证方案。需要指出的是，本方案从物料平衡和成本结构上具备显著优势，但文中所述配比为理论测算参考值，最终适用性需通过小试和工业试烧验证，实际运行配比应以试烧确定的工程数据为准。</w:t>
      </w:r>
    </w:p>
    <w:p w14:paraId="516CE16B">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rPr>
      </w:pPr>
      <w:r>
        <w:rPr>
          <w:rFonts w:hint="eastAsia" w:ascii="宋体" w:hAnsi="宋体" w:eastAsia="宋体" w:cs="宋体"/>
          <w:b/>
          <w:bCs/>
        </w:rPr>
        <w:t>关键词</w:t>
      </w:r>
      <w:r>
        <w:rPr>
          <w:rFonts w:hint="eastAsia" w:ascii="宋体" w:hAnsi="宋体" w:eastAsia="宋体" w:cs="宋体"/>
        </w:rPr>
        <w:t>：天然硫磺矿</w:t>
      </w:r>
      <w:r>
        <w:rPr>
          <w:rFonts w:hint="eastAsia" w:ascii="宋体" w:hAnsi="宋体" w:eastAsia="宋体" w:cs="宋体"/>
          <w:lang w:val="en-US" w:eastAsia="zh-CN"/>
        </w:rPr>
        <w:t xml:space="preserve"> </w:t>
      </w:r>
      <w:r>
        <w:rPr>
          <w:rFonts w:hint="eastAsia" w:ascii="宋体" w:hAnsi="宋体" w:eastAsia="宋体" w:cs="宋体"/>
        </w:rPr>
        <w:t>低品位硫铁矿</w:t>
      </w:r>
      <w:r>
        <w:rPr>
          <w:rFonts w:hint="eastAsia" w:ascii="宋体" w:hAnsi="宋体" w:eastAsia="宋体" w:cs="宋体"/>
          <w:lang w:val="en-US" w:eastAsia="zh-CN"/>
        </w:rPr>
        <w:t xml:space="preserve"> </w:t>
      </w:r>
      <w:r>
        <w:rPr>
          <w:rFonts w:hint="eastAsia" w:ascii="宋体" w:hAnsi="宋体" w:eastAsia="宋体" w:cs="宋体"/>
        </w:rPr>
        <w:t>协同掺烧</w:t>
      </w:r>
      <w:r>
        <w:rPr>
          <w:rFonts w:hint="eastAsia" w:ascii="宋体" w:hAnsi="宋体" w:eastAsia="宋体" w:cs="宋体"/>
          <w:lang w:val="en-US" w:eastAsia="zh-CN"/>
        </w:rPr>
        <w:t xml:space="preserve"> </w:t>
      </w:r>
      <w:r>
        <w:rPr>
          <w:rFonts w:hint="eastAsia" w:ascii="宋体" w:hAnsi="宋体" w:eastAsia="宋体" w:cs="宋体"/>
        </w:rPr>
        <w:t>分层进料</w:t>
      </w:r>
      <w:r>
        <w:rPr>
          <w:rFonts w:hint="eastAsia" w:ascii="宋体" w:hAnsi="宋体" w:eastAsia="宋体" w:cs="宋体"/>
          <w:lang w:val="en-US" w:eastAsia="zh-CN"/>
        </w:rPr>
        <w:t xml:space="preserve"> </w:t>
      </w:r>
      <w:r>
        <w:rPr>
          <w:rFonts w:hint="eastAsia" w:ascii="宋体" w:hAnsi="宋体" w:eastAsia="宋体" w:cs="宋体"/>
        </w:rPr>
        <w:t>单位纯硫成本</w:t>
      </w:r>
      <w:r>
        <w:rPr>
          <w:rFonts w:hint="eastAsia" w:ascii="宋体" w:hAnsi="宋体" w:eastAsia="宋体" w:cs="宋体"/>
          <w:lang w:val="en-US" w:eastAsia="zh-CN"/>
        </w:rPr>
        <w:t xml:space="preserve"> </w:t>
      </w:r>
      <w:r>
        <w:rPr>
          <w:rFonts w:hint="eastAsia" w:ascii="宋体" w:hAnsi="宋体" w:eastAsia="宋体" w:cs="宋体"/>
        </w:rPr>
        <w:t>硫酸原料</w:t>
      </w:r>
      <w:r>
        <w:rPr>
          <w:rFonts w:hint="eastAsia" w:ascii="宋体" w:hAnsi="宋体" w:eastAsia="宋体" w:cs="宋体"/>
          <w:lang w:val="en-US" w:eastAsia="zh-CN"/>
        </w:rPr>
        <w:t xml:space="preserve"> </w:t>
      </w:r>
      <w:r>
        <w:rPr>
          <w:rFonts w:hint="eastAsia" w:ascii="宋体" w:hAnsi="宋体" w:eastAsia="宋体" w:cs="宋体"/>
        </w:rPr>
        <w:t>沸腾焙烧</w:t>
      </w:r>
      <w:r>
        <w:rPr>
          <w:rFonts w:hint="eastAsia" w:ascii="宋体" w:hAnsi="宋体" w:eastAsia="宋体" w:cs="宋体"/>
          <w:lang w:val="en-US" w:eastAsia="zh-CN"/>
        </w:rPr>
        <w:t xml:space="preserve"> </w:t>
      </w:r>
      <w:r>
        <w:rPr>
          <w:rFonts w:hint="eastAsia" w:ascii="宋体" w:hAnsi="宋体" w:eastAsia="宋体" w:cs="宋体"/>
        </w:rPr>
        <w:t>资源化利用</w:t>
      </w:r>
    </w:p>
    <w:p w14:paraId="52ABAF48">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rPr>
      </w:pPr>
    </w:p>
    <w:p w14:paraId="4074CD07">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bCs/>
        </w:rPr>
      </w:pPr>
      <w:r>
        <w:rPr>
          <w:rFonts w:hint="eastAsia" w:ascii="宋体" w:hAnsi="宋体" w:eastAsia="宋体" w:cs="宋体"/>
          <w:b/>
          <w:bCs/>
        </w:rPr>
        <w:t>1 引言</w:t>
      </w:r>
    </w:p>
    <w:p w14:paraId="0A97544B">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rPr>
      </w:pPr>
      <w:r>
        <w:rPr>
          <w:rFonts w:hint="eastAsia" w:ascii="宋体" w:hAnsi="宋体" w:eastAsia="宋体" w:cs="宋体"/>
        </w:rPr>
        <w:t>2026年，全球硫资源市场经历历史性变局。受地缘冲突、供应链中断及需求增长等多重因素影响，国际硫磺价格从2024年低位一路攀升。2026年以来，国内硫磺价格持续高位运行。截至2026年</w:t>
      </w:r>
      <w:r>
        <w:rPr>
          <w:rFonts w:hint="eastAsia" w:ascii="宋体" w:hAnsi="宋体" w:eastAsia="宋体" w:cs="宋体"/>
          <w:lang w:val="en-US" w:eastAsia="zh-CN"/>
        </w:rPr>
        <w:t>6</w:t>
      </w:r>
      <w:r>
        <w:rPr>
          <w:rFonts w:hint="eastAsia" w:ascii="宋体" w:hAnsi="宋体" w:eastAsia="宋体" w:cs="宋体"/>
        </w:rPr>
        <w:t>月</w:t>
      </w:r>
      <w:r>
        <w:rPr>
          <w:rFonts w:hint="eastAsia" w:ascii="宋体" w:hAnsi="宋体" w:eastAsia="宋体" w:cs="宋体"/>
          <w:lang w:val="en-US" w:eastAsia="zh-CN"/>
        </w:rPr>
        <w:t>10日</w:t>
      </w:r>
      <w:r>
        <w:rPr>
          <w:rFonts w:hint="eastAsia" w:ascii="宋体" w:hAnsi="宋体" w:eastAsia="宋体" w:cs="宋体"/>
        </w:rPr>
        <w:t>，硫磺基准价约</w:t>
      </w:r>
      <w:r>
        <w:rPr>
          <w:rFonts w:hint="eastAsia" w:ascii="宋体" w:hAnsi="宋体" w:eastAsia="宋体" w:cs="宋体"/>
          <w:lang w:val="en-US" w:eastAsia="zh-CN"/>
        </w:rPr>
        <w:t>9</w:t>
      </w:r>
      <w:r>
        <w:rPr>
          <w:rFonts w:hint="eastAsia" w:ascii="宋体" w:hAnsi="宋体" w:eastAsia="宋体" w:cs="宋体"/>
        </w:rPr>
        <w:t>,</w:t>
      </w:r>
      <w:r>
        <w:rPr>
          <w:rFonts w:hint="eastAsia" w:ascii="宋体" w:hAnsi="宋体" w:eastAsia="宋体" w:cs="宋体"/>
          <w:lang w:val="en-US" w:eastAsia="zh-CN"/>
        </w:rPr>
        <w:t>2</w:t>
      </w:r>
      <w:r>
        <w:rPr>
          <w:rFonts w:hint="eastAsia" w:ascii="宋体" w:hAnsi="宋体" w:eastAsia="宋体" w:cs="宋体"/>
        </w:rPr>
        <w:t>00元/吨，部分地区及港口市场报价一度接近或超过</w:t>
      </w:r>
      <w:r>
        <w:rPr>
          <w:rFonts w:hint="eastAsia" w:ascii="宋体" w:hAnsi="宋体" w:eastAsia="宋体" w:cs="宋体"/>
          <w:lang w:val="en-US" w:eastAsia="zh-CN"/>
        </w:rPr>
        <w:t>10</w:t>
      </w:r>
      <w:r>
        <w:rPr>
          <w:rFonts w:hint="eastAsia" w:ascii="宋体" w:hAnsi="宋体" w:eastAsia="宋体" w:cs="宋体"/>
        </w:rPr>
        <w:t>,</w:t>
      </w:r>
      <w:r>
        <w:rPr>
          <w:rFonts w:hint="eastAsia" w:ascii="宋体" w:hAnsi="宋体" w:eastAsia="宋体" w:cs="宋体"/>
          <w:lang w:val="en-US" w:eastAsia="zh-CN"/>
        </w:rPr>
        <w:t>0</w:t>
      </w:r>
      <w:r>
        <w:rPr>
          <w:rFonts w:hint="eastAsia" w:ascii="宋体" w:hAnsi="宋体" w:eastAsia="宋体" w:cs="宋体"/>
        </w:rPr>
        <w:t>00元/吨，较2024年同期约1,200元/吨的低位上涨约</w:t>
      </w:r>
      <w:r>
        <w:rPr>
          <w:rFonts w:hint="eastAsia" w:ascii="宋体" w:hAnsi="宋体" w:eastAsia="宋体" w:cs="宋体"/>
          <w:lang w:val="en-US" w:eastAsia="zh-CN"/>
        </w:rPr>
        <w:t>6</w:t>
      </w:r>
      <w:r>
        <w:rPr>
          <w:rFonts w:hint="eastAsia" w:ascii="宋体" w:hAnsi="宋体" w:eastAsia="宋体" w:cs="宋体"/>
        </w:rPr>
        <w:t>-</w:t>
      </w:r>
      <w:r>
        <w:rPr>
          <w:rFonts w:hint="eastAsia" w:ascii="宋体" w:hAnsi="宋体" w:eastAsia="宋体" w:cs="宋体"/>
          <w:lang w:val="en-US" w:eastAsia="zh-CN"/>
        </w:rPr>
        <w:t>8</w:t>
      </w:r>
      <w:r>
        <w:rPr>
          <w:rFonts w:hint="eastAsia" w:ascii="宋体" w:hAnsi="宋体" w:eastAsia="宋体" w:cs="宋体"/>
        </w:rPr>
        <w:t>倍</w:t>
      </w:r>
      <w:r>
        <w:rPr>
          <w:rFonts w:hint="eastAsia" w:ascii="宋体" w:hAnsi="宋体" w:eastAsia="宋体" w:cs="宋体"/>
          <w:vertAlign w:val="superscript"/>
        </w:rPr>
        <w:t>[4]</w:t>
      </w:r>
      <w:r>
        <w:rPr>
          <w:rFonts w:hint="eastAsia" w:ascii="宋体" w:hAnsi="宋体" w:eastAsia="宋体" w:cs="宋体"/>
        </w:rPr>
        <w:t>。与此同时，国内高品位硫铁矿（S≥35%）货源持续紧张，标吨价已涨至1,780元/吨以上，且供应稳定性难以保障。</w:t>
      </w:r>
    </w:p>
    <w:p w14:paraId="0C7674F1">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rPr>
      </w:pPr>
      <w:r>
        <w:rPr>
          <w:rFonts w:hint="eastAsia" w:ascii="宋体" w:hAnsi="宋体" w:eastAsia="宋体" w:cs="宋体"/>
        </w:rPr>
        <w:t>硫铁矿是硫化学工业的基础原料。根据品位不同，可分为高品位矿（S≥35%，可直接制酸）、中品位矿（S=25%-35%）和低品位矿（S=20%-25%，单独制酸经济性差）。本文所讨论的“低品位硫铁矿”特指含硫20%-25%、大量积压于矿山的尾矿级矿石。</w:t>
      </w:r>
    </w:p>
    <w:p w14:paraId="1E271C56">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rPr>
      </w:pPr>
      <w:r>
        <w:rPr>
          <w:rFonts w:hint="eastAsia" w:ascii="宋体" w:hAnsi="宋体" w:eastAsia="宋体" w:cs="宋体"/>
        </w:rPr>
        <w:t>对于外购原料的硫铁矿制酸企业而言，原料成本占综合成本的比重已从过去的30%左右飙升至70%以上。按当前价格测算，纯硫磺制酸的单位纯硫成本约</w:t>
      </w:r>
      <w:r>
        <w:rPr>
          <w:rFonts w:hint="eastAsia" w:ascii="宋体" w:hAnsi="宋体" w:eastAsia="宋体" w:cs="宋体"/>
          <w:lang w:val="en-US" w:eastAsia="zh-CN"/>
        </w:rPr>
        <w:t>9</w:t>
      </w:r>
      <w:r>
        <w:rPr>
          <w:rFonts w:hint="eastAsia" w:ascii="宋体" w:hAnsi="宋体" w:eastAsia="宋体" w:cs="宋体"/>
        </w:rPr>
        <w:t>,</w:t>
      </w:r>
      <w:r>
        <w:rPr>
          <w:rFonts w:hint="eastAsia" w:ascii="宋体" w:hAnsi="宋体" w:eastAsia="宋体" w:cs="宋体"/>
          <w:lang w:val="en-US" w:eastAsia="zh-CN"/>
        </w:rPr>
        <w:t>5</w:t>
      </w:r>
      <w:r>
        <w:rPr>
          <w:rFonts w:hint="eastAsia" w:ascii="宋体" w:hAnsi="宋体" w:eastAsia="宋体" w:cs="宋体"/>
        </w:rPr>
        <w:t>00元/吨硫，吨酸原料成本超过</w:t>
      </w:r>
      <w:r>
        <w:rPr>
          <w:rFonts w:hint="eastAsia" w:ascii="宋体" w:hAnsi="宋体" w:eastAsia="宋体" w:cs="宋体"/>
          <w:lang w:val="en-US" w:eastAsia="zh-CN"/>
        </w:rPr>
        <w:t>3</w:t>
      </w:r>
      <w:r>
        <w:rPr>
          <w:rFonts w:hint="eastAsia" w:ascii="宋体" w:hAnsi="宋体" w:eastAsia="宋体" w:cs="宋体"/>
        </w:rPr>
        <w:t>,</w:t>
      </w:r>
      <w:r>
        <w:rPr>
          <w:rFonts w:hint="eastAsia" w:ascii="宋体" w:hAnsi="宋体" w:eastAsia="宋体" w:cs="宋体"/>
          <w:lang w:val="en-US" w:eastAsia="zh-CN"/>
        </w:rPr>
        <w:t>0</w:t>
      </w:r>
      <w:r>
        <w:rPr>
          <w:rFonts w:hint="eastAsia" w:ascii="宋体" w:hAnsi="宋体" w:eastAsia="宋体" w:cs="宋体"/>
        </w:rPr>
        <w:t>00元，企业面临严重亏损；35%高品位硫铁矿制酸的单位纯硫成本约4,371元/吨硫，虽有铁精粉副产品收益支撑，但利润空间被持续压缩，且原料保供压力日益加大。</w:t>
      </w:r>
    </w:p>
    <w:p w14:paraId="4AD4816D">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rPr>
      </w:pPr>
      <w:r>
        <w:rPr>
          <w:rFonts w:hint="eastAsia" w:ascii="宋体" w:hAnsi="宋体" w:eastAsia="宋体" w:cs="宋体"/>
        </w:rPr>
        <w:t>行业亟需寻找一种能够稳定供应、成本可控、适配现有沸腾炉设备的新型制酸原料来源。本文提出一种复合配料方案：以进口天然单质硫磺矿为廉价硫源，以国内大量积压的低品位硫铁矿为功能性掺混辅料，通过分层进料工艺实现协同焙烧制酸。</w:t>
      </w:r>
    </w:p>
    <w:p w14:paraId="A3C5C5C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rPr>
      </w:pPr>
      <w:r>
        <w:rPr>
          <w:rFonts w:hint="eastAsia" w:ascii="宋体" w:hAnsi="宋体" w:eastAsia="宋体" w:cs="宋体"/>
          <w:b/>
          <w:bCs/>
        </w:rPr>
        <w:t>表1 三种制酸原料经济性对比（数据截至2026年</w:t>
      </w:r>
      <w:r>
        <w:rPr>
          <w:rFonts w:hint="eastAsia" w:ascii="宋体" w:hAnsi="宋体" w:eastAsia="宋体" w:cs="宋体"/>
          <w:b/>
          <w:bCs/>
          <w:lang w:val="en-US" w:eastAsia="zh-CN"/>
        </w:rPr>
        <w:t>6</w:t>
      </w:r>
      <w:r>
        <w:rPr>
          <w:rFonts w:hint="eastAsia" w:ascii="宋体" w:hAnsi="宋体" w:eastAsia="宋体" w:cs="宋体"/>
          <w:b/>
          <w:bCs/>
        </w:rPr>
        <w:t>月</w:t>
      </w:r>
      <w:r>
        <w:rPr>
          <w:rFonts w:hint="eastAsia" w:ascii="宋体" w:hAnsi="宋体" w:eastAsia="宋体" w:cs="宋体"/>
          <w:b/>
          <w:bCs/>
          <w:lang w:val="en-US" w:eastAsia="zh-CN"/>
        </w:rPr>
        <w:t>9日</w:t>
      </w:r>
      <w:r>
        <w:rPr>
          <w:rFonts w:hint="eastAsia" w:ascii="宋体" w:hAnsi="宋体" w:eastAsia="宋体" w:cs="宋体"/>
          <w:b/>
          <w:bCs/>
        </w:rPr>
        <w:t>）</w:t>
      </w:r>
    </w:p>
    <w:tbl>
      <w:tblPr>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1746"/>
        <w:gridCol w:w="1746"/>
        <w:gridCol w:w="1746"/>
        <w:gridCol w:w="1746"/>
        <w:gridCol w:w="1746"/>
      </w:tblGrid>
      <w:tr w14:paraId="570FA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0" w:type="auto"/>
            <w:vAlign w:val="center"/>
          </w:tcPr>
          <w:p w14:paraId="20901D3D">
            <w:pPr>
              <w:rPr>
                <w:rFonts w:hint="eastAsia" w:ascii="宋体" w:hAnsi="宋体" w:eastAsia="宋体" w:cs="宋体"/>
                <w:sz w:val="18"/>
                <w:szCs w:val="18"/>
              </w:rPr>
            </w:pPr>
            <w:r>
              <w:rPr>
                <w:rFonts w:hint="eastAsia" w:ascii="宋体" w:hAnsi="宋体" w:eastAsia="宋体" w:cs="宋体"/>
                <w:sz w:val="18"/>
                <w:szCs w:val="18"/>
              </w:rPr>
              <w:t>原料方案</w:t>
            </w:r>
          </w:p>
        </w:tc>
        <w:tc>
          <w:tcPr>
            <w:tcW w:w="0" w:type="auto"/>
            <w:vAlign w:val="center"/>
          </w:tcPr>
          <w:p w14:paraId="0669D970">
            <w:pPr>
              <w:rPr>
                <w:rFonts w:hint="eastAsia" w:ascii="宋体" w:hAnsi="宋体" w:eastAsia="宋体" w:cs="宋体"/>
                <w:sz w:val="18"/>
                <w:szCs w:val="18"/>
              </w:rPr>
            </w:pPr>
            <w:r>
              <w:rPr>
                <w:rFonts w:hint="eastAsia" w:ascii="宋体" w:hAnsi="宋体" w:eastAsia="宋体" w:cs="宋体"/>
                <w:sz w:val="18"/>
                <w:szCs w:val="18"/>
              </w:rPr>
              <w:t>测算条件</w:t>
            </w:r>
          </w:p>
        </w:tc>
        <w:tc>
          <w:tcPr>
            <w:tcW w:w="0" w:type="auto"/>
            <w:vAlign w:val="center"/>
          </w:tcPr>
          <w:p w14:paraId="3E5AF3FA">
            <w:pPr>
              <w:rPr>
                <w:rFonts w:hint="eastAsia" w:ascii="宋体" w:hAnsi="宋体" w:eastAsia="宋体" w:cs="宋体"/>
                <w:sz w:val="18"/>
                <w:szCs w:val="18"/>
              </w:rPr>
            </w:pPr>
            <w:r>
              <w:rPr>
                <w:rFonts w:hint="eastAsia" w:ascii="宋体" w:hAnsi="宋体" w:eastAsia="宋体" w:cs="宋体"/>
                <w:sz w:val="18"/>
                <w:szCs w:val="18"/>
              </w:rPr>
              <w:t>单位纯硫成本</w:t>
            </w:r>
            <w:r>
              <w:rPr>
                <w:rFonts w:hint="eastAsia" w:ascii="宋体" w:hAnsi="宋体" w:eastAsia="宋体" w:cs="宋体"/>
                <w:sz w:val="18"/>
                <w:szCs w:val="18"/>
              </w:rPr>
              <w:br w:type="textWrapping"/>
            </w:r>
            <w:r>
              <w:rPr>
                <w:rFonts w:hint="eastAsia" w:ascii="宋体" w:hAnsi="宋体" w:eastAsia="宋体" w:cs="宋体"/>
                <w:sz w:val="18"/>
                <w:szCs w:val="18"/>
              </w:rPr>
              <w:t>（元/吨硫）</w:t>
            </w:r>
          </w:p>
        </w:tc>
        <w:tc>
          <w:tcPr>
            <w:tcW w:w="0" w:type="auto"/>
            <w:vAlign w:val="center"/>
          </w:tcPr>
          <w:p w14:paraId="56EAB971">
            <w:pPr>
              <w:rPr>
                <w:rFonts w:hint="eastAsia" w:ascii="宋体" w:hAnsi="宋体" w:eastAsia="宋体" w:cs="宋体"/>
                <w:sz w:val="18"/>
                <w:szCs w:val="18"/>
              </w:rPr>
            </w:pPr>
            <w:r>
              <w:rPr>
                <w:rFonts w:hint="eastAsia" w:ascii="宋体" w:hAnsi="宋体" w:eastAsia="宋体" w:cs="宋体"/>
                <w:sz w:val="18"/>
                <w:szCs w:val="18"/>
              </w:rPr>
              <w:t>吨酸原料成本</w:t>
            </w:r>
            <w:r>
              <w:rPr>
                <w:rFonts w:hint="eastAsia" w:ascii="宋体" w:hAnsi="宋体" w:eastAsia="宋体" w:cs="宋体"/>
                <w:sz w:val="18"/>
                <w:szCs w:val="18"/>
              </w:rPr>
              <w:br w:type="textWrapping"/>
            </w:r>
            <w:r>
              <w:rPr>
                <w:rFonts w:hint="eastAsia" w:ascii="宋体" w:hAnsi="宋体" w:eastAsia="宋体" w:cs="宋体"/>
                <w:sz w:val="18"/>
                <w:szCs w:val="18"/>
              </w:rPr>
              <w:t>（元）</w:t>
            </w:r>
          </w:p>
        </w:tc>
        <w:tc>
          <w:tcPr>
            <w:tcW w:w="0" w:type="auto"/>
            <w:vAlign w:val="center"/>
          </w:tcPr>
          <w:p w14:paraId="54A0DECB">
            <w:pPr>
              <w:rPr>
                <w:rFonts w:hint="eastAsia" w:ascii="宋体" w:hAnsi="宋体" w:eastAsia="宋体" w:cs="宋体"/>
                <w:sz w:val="18"/>
                <w:szCs w:val="18"/>
              </w:rPr>
            </w:pPr>
            <w:r>
              <w:rPr>
                <w:rFonts w:hint="eastAsia" w:ascii="宋体" w:hAnsi="宋体" w:eastAsia="宋体" w:cs="宋体"/>
                <w:sz w:val="18"/>
                <w:szCs w:val="18"/>
              </w:rPr>
              <w:t>竞争优势</w:t>
            </w:r>
          </w:p>
        </w:tc>
      </w:tr>
      <w:tr w14:paraId="42430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0" w:type="auto"/>
            <w:vAlign w:val="center"/>
          </w:tcPr>
          <w:p w14:paraId="75FBA57B">
            <w:pPr>
              <w:rPr>
                <w:rFonts w:hint="eastAsia" w:ascii="宋体" w:hAnsi="宋体" w:eastAsia="宋体" w:cs="宋体"/>
                <w:sz w:val="18"/>
                <w:szCs w:val="18"/>
              </w:rPr>
            </w:pPr>
            <w:r>
              <w:rPr>
                <w:rFonts w:hint="eastAsia" w:ascii="宋体" w:hAnsi="宋体" w:eastAsia="宋体" w:cs="宋体"/>
                <w:sz w:val="18"/>
                <w:szCs w:val="18"/>
              </w:rPr>
              <w:t>99.5%工业纯硫磺</w:t>
            </w:r>
          </w:p>
        </w:tc>
        <w:tc>
          <w:tcPr>
            <w:tcW w:w="0" w:type="auto"/>
            <w:vAlign w:val="center"/>
          </w:tcPr>
          <w:p w14:paraId="6D6FE66E">
            <w:pPr>
              <w:rPr>
                <w:rFonts w:hint="eastAsia" w:ascii="宋体" w:hAnsi="宋体" w:eastAsia="宋体" w:cs="宋体"/>
                <w:sz w:val="18"/>
                <w:szCs w:val="18"/>
              </w:rPr>
            </w:pPr>
            <w:r>
              <w:rPr>
                <w:rFonts w:hint="eastAsia" w:ascii="宋体" w:hAnsi="宋体" w:eastAsia="宋体" w:cs="宋体"/>
                <w:sz w:val="18"/>
                <w:szCs w:val="18"/>
              </w:rPr>
              <w:t>硫磺约9,200元/吨</w:t>
            </w:r>
          </w:p>
        </w:tc>
        <w:tc>
          <w:tcPr>
            <w:tcW w:w="0" w:type="auto"/>
            <w:vAlign w:val="center"/>
          </w:tcPr>
          <w:p w14:paraId="2D4C8E93">
            <w:pPr>
              <w:rPr>
                <w:rFonts w:hint="eastAsia" w:ascii="宋体" w:hAnsi="宋体" w:eastAsia="宋体" w:cs="宋体"/>
                <w:sz w:val="18"/>
                <w:szCs w:val="18"/>
              </w:rPr>
            </w:pPr>
            <w:r>
              <w:rPr>
                <w:rFonts w:hint="eastAsia" w:ascii="宋体" w:hAnsi="宋体" w:eastAsia="宋体" w:cs="宋体"/>
                <w:sz w:val="18"/>
                <w:szCs w:val="18"/>
              </w:rPr>
              <w:t>~9,209</w:t>
            </w:r>
          </w:p>
        </w:tc>
        <w:tc>
          <w:tcPr>
            <w:tcW w:w="0" w:type="auto"/>
            <w:vAlign w:val="center"/>
          </w:tcPr>
          <w:p w14:paraId="62C93156">
            <w:pPr>
              <w:rPr>
                <w:rFonts w:hint="eastAsia" w:ascii="宋体" w:hAnsi="宋体" w:eastAsia="宋体" w:cs="宋体"/>
                <w:sz w:val="18"/>
                <w:szCs w:val="18"/>
              </w:rPr>
            </w:pPr>
            <w:r>
              <w:rPr>
                <w:rFonts w:hint="eastAsia" w:ascii="宋体" w:hAnsi="宋体" w:eastAsia="宋体" w:cs="宋体"/>
                <w:sz w:val="18"/>
                <w:szCs w:val="18"/>
              </w:rPr>
              <w:t>~3,036</w:t>
            </w:r>
          </w:p>
        </w:tc>
        <w:tc>
          <w:tcPr>
            <w:tcW w:w="0" w:type="auto"/>
            <w:vAlign w:val="center"/>
          </w:tcPr>
          <w:p w14:paraId="781A0D70">
            <w:pPr>
              <w:rPr>
                <w:rFonts w:hint="eastAsia" w:ascii="宋体" w:hAnsi="宋体" w:eastAsia="宋体" w:cs="宋体"/>
                <w:sz w:val="18"/>
                <w:szCs w:val="18"/>
              </w:rPr>
            </w:pPr>
            <w:r>
              <w:rPr>
                <w:rFonts w:hint="eastAsia" w:ascii="宋体" w:hAnsi="宋体" w:eastAsia="宋体" w:cs="宋体"/>
                <w:sz w:val="18"/>
                <w:szCs w:val="18"/>
              </w:rPr>
              <w:t>无</w:t>
            </w:r>
          </w:p>
        </w:tc>
      </w:tr>
      <w:tr w14:paraId="405A6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0" w:type="auto"/>
            <w:vAlign w:val="center"/>
          </w:tcPr>
          <w:p w14:paraId="464921A1">
            <w:pPr>
              <w:rPr>
                <w:rFonts w:hint="eastAsia" w:ascii="宋体" w:hAnsi="宋体" w:eastAsia="宋体" w:cs="宋体"/>
                <w:sz w:val="18"/>
                <w:szCs w:val="18"/>
              </w:rPr>
            </w:pPr>
            <w:r>
              <w:rPr>
                <w:rFonts w:hint="eastAsia" w:ascii="宋体" w:hAnsi="宋体" w:eastAsia="宋体" w:cs="宋体"/>
                <w:sz w:val="18"/>
                <w:szCs w:val="18"/>
              </w:rPr>
              <w:t>35%高品位硫铁矿</w:t>
            </w:r>
          </w:p>
        </w:tc>
        <w:tc>
          <w:tcPr>
            <w:tcW w:w="0" w:type="auto"/>
            <w:vAlign w:val="center"/>
          </w:tcPr>
          <w:p w14:paraId="0B929CF7">
            <w:pPr>
              <w:rPr>
                <w:rFonts w:hint="eastAsia" w:ascii="宋体" w:hAnsi="宋体" w:eastAsia="宋体" w:cs="宋体"/>
                <w:sz w:val="18"/>
                <w:szCs w:val="18"/>
              </w:rPr>
            </w:pPr>
            <w:r>
              <w:rPr>
                <w:rFonts w:hint="eastAsia" w:ascii="宋体" w:hAnsi="宋体" w:eastAsia="宋体" w:cs="宋体"/>
                <w:sz w:val="18"/>
                <w:szCs w:val="18"/>
              </w:rPr>
              <w:t>矿价约1,780元/吨</w:t>
            </w:r>
          </w:p>
        </w:tc>
        <w:tc>
          <w:tcPr>
            <w:tcW w:w="0" w:type="auto"/>
            <w:vAlign w:val="center"/>
          </w:tcPr>
          <w:p w14:paraId="6F7B6308">
            <w:pPr>
              <w:rPr>
                <w:rFonts w:hint="eastAsia" w:ascii="宋体" w:hAnsi="宋体" w:eastAsia="宋体" w:cs="宋体"/>
                <w:sz w:val="18"/>
                <w:szCs w:val="18"/>
              </w:rPr>
            </w:pPr>
            <w:r>
              <w:rPr>
                <w:rFonts w:hint="eastAsia" w:ascii="宋体" w:hAnsi="宋体" w:eastAsia="宋体" w:cs="宋体"/>
                <w:sz w:val="18"/>
                <w:szCs w:val="18"/>
              </w:rPr>
              <w:t>~4,371</w:t>
            </w:r>
          </w:p>
        </w:tc>
        <w:tc>
          <w:tcPr>
            <w:tcW w:w="0" w:type="auto"/>
            <w:vAlign w:val="center"/>
          </w:tcPr>
          <w:p w14:paraId="27E950BF">
            <w:pPr>
              <w:rPr>
                <w:rFonts w:hint="eastAsia" w:ascii="宋体" w:hAnsi="宋体" w:eastAsia="宋体" w:cs="宋体"/>
                <w:sz w:val="18"/>
                <w:szCs w:val="18"/>
              </w:rPr>
            </w:pPr>
            <w:r>
              <w:rPr>
                <w:rFonts w:hint="eastAsia" w:ascii="宋体" w:hAnsi="宋体" w:eastAsia="宋体" w:cs="宋体"/>
                <w:sz w:val="18"/>
                <w:szCs w:val="18"/>
              </w:rPr>
              <w:t>~1,442</w:t>
            </w:r>
          </w:p>
        </w:tc>
        <w:tc>
          <w:tcPr>
            <w:tcW w:w="0" w:type="auto"/>
            <w:vAlign w:val="center"/>
          </w:tcPr>
          <w:p w14:paraId="20611610">
            <w:pPr>
              <w:rPr>
                <w:rFonts w:hint="eastAsia" w:ascii="宋体" w:hAnsi="宋体" w:eastAsia="宋体" w:cs="宋体"/>
                <w:sz w:val="18"/>
                <w:szCs w:val="18"/>
              </w:rPr>
            </w:pPr>
            <w:r>
              <w:rPr>
                <w:rFonts w:hint="eastAsia" w:ascii="宋体" w:hAnsi="宋体" w:eastAsia="宋体" w:cs="宋体"/>
                <w:sz w:val="18"/>
                <w:szCs w:val="18"/>
              </w:rPr>
              <w:t>货源紧张</w:t>
            </w:r>
          </w:p>
        </w:tc>
      </w:tr>
      <w:tr w14:paraId="4EBCF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0" w:type="auto"/>
            <w:vAlign w:val="center"/>
          </w:tcPr>
          <w:p w14:paraId="7F918692">
            <w:pPr>
              <w:rPr>
                <w:rFonts w:hint="eastAsia" w:ascii="宋体" w:hAnsi="宋体" w:eastAsia="宋体" w:cs="宋体"/>
                <w:sz w:val="18"/>
                <w:szCs w:val="18"/>
              </w:rPr>
            </w:pPr>
            <w:r>
              <w:rPr>
                <w:rFonts w:hint="eastAsia" w:ascii="宋体" w:hAnsi="宋体" w:eastAsia="宋体" w:cs="宋体"/>
                <w:sz w:val="18"/>
                <w:szCs w:val="18"/>
              </w:rPr>
              <w:t>20%-25%低品位硫铁矿</w:t>
            </w:r>
          </w:p>
        </w:tc>
        <w:tc>
          <w:tcPr>
            <w:tcW w:w="0" w:type="auto"/>
            <w:vAlign w:val="center"/>
          </w:tcPr>
          <w:p w14:paraId="386650E6">
            <w:pPr>
              <w:rPr>
                <w:rFonts w:hint="eastAsia" w:ascii="宋体" w:hAnsi="宋体" w:eastAsia="宋体" w:cs="宋体"/>
                <w:sz w:val="18"/>
                <w:szCs w:val="18"/>
              </w:rPr>
            </w:pPr>
            <w:r>
              <w:rPr>
                <w:rFonts w:hint="eastAsia" w:ascii="宋体" w:hAnsi="宋体" w:eastAsia="宋体" w:cs="宋体"/>
                <w:sz w:val="18"/>
                <w:szCs w:val="18"/>
              </w:rPr>
              <w:t>矿价约120元/吨</w:t>
            </w:r>
          </w:p>
        </w:tc>
        <w:tc>
          <w:tcPr>
            <w:tcW w:w="0" w:type="auto"/>
            <w:vAlign w:val="center"/>
          </w:tcPr>
          <w:p w14:paraId="75B8C980">
            <w:pPr>
              <w:rPr>
                <w:rFonts w:hint="eastAsia" w:ascii="宋体" w:hAnsi="宋体" w:eastAsia="宋体" w:cs="宋体"/>
                <w:sz w:val="18"/>
                <w:szCs w:val="18"/>
              </w:rPr>
            </w:pPr>
            <w:r>
              <w:rPr>
                <w:rFonts w:hint="eastAsia" w:ascii="宋体" w:hAnsi="宋体" w:eastAsia="宋体" w:cs="宋体"/>
                <w:sz w:val="18"/>
                <w:szCs w:val="18"/>
              </w:rPr>
              <w:t>~500-600</w:t>
            </w:r>
          </w:p>
        </w:tc>
        <w:tc>
          <w:tcPr>
            <w:tcW w:w="0" w:type="auto"/>
            <w:vAlign w:val="center"/>
          </w:tcPr>
          <w:p w14:paraId="723A09C8">
            <w:pPr>
              <w:rPr>
                <w:rFonts w:hint="eastAsia" w:ascii="宋体" w:hAnsi="宋体" w:eastAsia="宋体" w:cs="宋体"/>
                <w:sz w:val="18"/>
                <w:szCs w:val="18"/>
              </w:rPr>
            </w:pPr>
            <w:r>
              <w:rPr>
                <w:rFonts w:hint="eastAsia" w:ascii="宋体" w:hAnsi="宋体" w:eastAsia="宋体" w:cs="宋体"/>
                <w:sz w:val="18"/>
                <w:szCs w:val="18"/>
              </w:rPr>
              <w:t>—</w:t>
            </w:r>
          </w:p>
        </w:tc>
        <w:tc>
          <w:tcPr>
            <w:tcW w:w="0" w:type="auto"/>
            <w:vAlign w:val="center"/>
          </w:tcPr>
          <w:p w14:paraId="56CBA1AC">
            <w:pPr>
              <w:rPr>
                <w:rFonts w:hint="eastAsia" w:ascii="宋体" w:hAnsi="宋体" w:eastAsia="宋体" w:cs="宋体"/>
                <w:sz w:val="18"/>
                <w:szCs w:val="18"/>
              </w:rPr>
            </w:pPr>
            <w:r>
              <w:rPr>
                <w:rFonts w:hint="eastAsia" w:ascii="宋体" w:hAnsi="宋体" w:eastAsia="宋体" w:cs="宋体"/>
                <w:sz w:val="18"/>
                <w:szCs w:val="18"/>
              </w:rPr>
              <w:t>单独制酸经济性差，无法直接利用</w:t>
            </w:r>
          </w:p>
        </w:tc>
      </w:tr>
      <w:tr w14:paraId="0FEFF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0" w:type="auto"/>
            <w:vAlign w:val="center"/>
          </w:tcPr>
          <w:p w14:paraId="07B7E268">
            <w:pPr>
              <w:rPr>
                <w:rFonts w:hint="eastAsia" w:ascii="宋体" w:hAnsi="宋体" w:eastAsia="宋体" w:cs="宋体"/>
                <w:sz w:val="18"/>
                <w:szCs w:val="18"/>
              </w:rPr>
            </w:pPr>
            <w:r>
              <w:rPr>
                <w:rFonts w:hint="eastAsia" w:ascii="宋体" w:hAnsi="宋体" w:eastAsia="宋体" w:cs="宋体"/>
                <w:sz w:val="18"/>
                <w:szCs w:val="18"/>
              </w:rPr>
              <w:t>本方案</w:t>
            </w:r>
          </w:p>
        </w:tc>
        <w:tc>
          <w:tcPr>
            <w:tcW w:w="0" w:type="auto"/>
            <w:vAlign w:val="center"/>
          </w:tcPr>
          <w:p w14:paraId="2667DEB6">
            <w:pPr>
              <w:rPr>
                <w:rFonts w:hint="eastAsia" w:ascii="宋体" w:hAnsi="宋体" w:eastAsia="宋体" w:cs="宋体"/>
                <w:sz w:val="18"/>
                <w:szCs w:val="18"/>
              </w:rPr>
            </w:pPr>
            <w:r>
              <w:rPr>
                <w:rFonts w:hint="eastAsia" w:ascii="宋体" w:hAnsi="宋体" w:eastAsia="宋体" w:cs="宋体"/>
                <w:sz w:val="18"/>
                <w:szCs w:val="18"/>
              </w:rPr>
              <w:t>1吨55%天然矿×2,700元/吨+2.5吨22%低品位矿×120元/吨</w:t>
            </w:r>
          </w:p>
        </w:tc>
        <w:tc>
          <w:tcPr>
            <w:tcW w:w="0" w:type="auto"/>
            <w:vAlign w:val="center"/>
          </w:tcPr>
          <w:p w14:paraId="5A9615CA">
            <w:pPr>
              <w:rPr>
                <w:rFonts w:hint="eastAsia" w:ascii="宋体" w:hAnsi="宋体" w:eastAsia="宋体" w:cs="宋体"/>
                <w:sz w:val="18"/>
                <w:szCs w:val="18"/>
              </w:rPr>
            </w:pPr>
            <w:r>
              <w:rPr>
                <w:rFonts w:hint="eastAsia" w:ascii="宋体" w:hAnsi="宋体" w:eastAsia="宋体" w:cs="宋体"/>
                <w:sz w:val="18"/>
                <w:szCs w:val="18"/>
              </w:rPr>
              <w:t>~2,727</w:t>
            </w:r>
          </w:p>
        </w:tc>
        <w:tc>
          <w:tcPr>
            <w:tcW w:w="0" w:type="auto"/>
            <w:vAlign w:val="center"/>
          </w:tcPr>
          <w:p w14:paraId="429034E0">
            <w:pPr>
              <w:rPr>
                <w:rFonts w:hint="eastAsia" w:ascii="宋体" w:hAnsi="宋体" w:eastAsia="宋体" w:cs="宋体"/>
                <w:sz w:val="18"/>
                <w:szCs w:val="18"/>
              </w:rPr>
            </w:pPr>
            <w:r>
              <w:rPr>
                <w:rFonts w:hint="eastAsia" w:ascii="宋体" w:hAnsi="宋体" w:eastAsia="宋体" w:cs="宋体"/>
                <w:sz w:val="18"/>
                <w:szCs w:val="18"/>
              </w:rPr>
              <w:t>~899</w:t>
            </w:r>
          </w:p>
        </w:tc>
        <w:tc>
          <w:tcPr>
            <w:tcW w:w="0" w:type="auto"/>
            <w:vAlign w:val="center"/>
          </w:tcPr>
          <w:p w14:paraId="7E376CF7">
            <w:pPr>
              <w:rPr>
                <w:rFonts w:hint="eastAsia" w:ascii="宋体" w:hAnsi="宋体" w:eastAsia="宋体" w:cs="宋体"/>
                <w:sz w:val="18"/>
                <w:szCs w:val="18"/>
              </w:rPr>
            </w:pPr>
            <w:r>
              <w:rPr>
                <w:rFonts w:hint="eastAsia" w:ascii="宋体" w:hAnsi="宋体" w:eastAsia="宋体" w:cs="宋体"/>
                <w:sz w:val="18"/>
                <w:szCs w:val="18"/>
              </w:rPr>
              <w:t>成本最低，原料供应充足</w:t>
            </w:r>
          </w:p>
        </w:tc>
      </w:tr>
    </w:tbl>
    <w:p w14:paraId="2294997D">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rPr>
      </w:pPr>
      <w:r>
        <w:rPr>
          <w:rFonts w:hint="eastAsia" w:ascii="宋体" w:hAnsi="宋体" w:eastAsia="宋体" w:cs="宋体"/>
        </w:rPr>
        <w:t>注：1. 单一原料单位纯硫成本=原料价格÷原料含硫量；复合方案单位纯硫成本=各原料采购成本合计÷各原料纯硫量合计；2. 吨酸原料成本=单位纯硫成本×0.32吨硫/吨酸；3. 所有成本均为原料采购成本，不含加工费、折旧、环保等费用。</w:t>
      </w:r>
    </w:p>
    <w:p w14:paraId="4DC8B0A0">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bCs/>
        </w:rPr>
      </w:pPr>
      <w:r>
        <w:rPr>
          <w:rFonts w:hint="eastAsia" w:ascii="宋体" w:hAnsi="宋体" w:eastAsia="宋体" w:cs="宋体"/>
          <w:b/>
          <w:bCs/>
        </w:rPr>
        <w:t>2 原料特性分析</w:t>
      </w:r>
    </w:p>
    <w:p w14:paraId="690AC4E3">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bCs/>
        </w:rPr>
      </w:pPr>
      <w:r>
        <w:rPr>
          <w:rFonts w:hint="eastAsia" w:ascii="宋体" w:hAnsi="宋体" w:eastAsia="宋体" w:cs="宋体"/>
          <w:b/>
          <w:bCs/>
        </w:rPr>
        <w:t>2.1 巴基斯坦天然单质硫磺矿</w:t>
      </w:r>
    </w:p>
    <w:p w14:paraId="5D5C0B2B">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rPr>
      </w:pPr>
      <w:r>
        <w:rPr>
          <w:rFonts w:hint="eastAsia" w:ascii="宋体" w:hAnsi="宋体" w:eastAsia="宋体" w:cs="宋体"/>
        </w:rPr>
        <w:t>本研究采用的天然硫磺矿产自巴基斯坦，属火山型自然硫矿床。根据目前多批次第三方检测机构报告，核心指标如下：</w:t>
      </w:r>
    </w:p>
    <w:p w14:paraId="00723B3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rPr>
      </w:pPr>
      <w:r>
        <w:rPr>
          <w:rFonts w:hint="eastAsia" w:ascii="宋体" w:hAnsi="宋体" w:eastAsia="宋体" w:cs="宋体"/>
          <w:b/>
          <w:bCs/>
        </w:rPr>
        <w:t>表2 巴基斯坦天然硫矿主要指标</w:t>
      </w:r>
    </w:p>
    <w:tbl>
      <w:tblPr>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2910"/>
        <w:gridCol w:w="2910"/>
        <w:gridCol w:w="2910"/>
      </w:tblGrid>
      <w:tr w14:paraId="694B2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0" w:type="auto"/>
            <w:vAlign w:val="center"/>
          </w:tcPr>
          <w:p w14:paraId="11DADBC9">
            <w:pPr>
              <w:rPr>
                <w:sz w:val="18"/>
                <w:szCs w:val="18"/>
              </w:rPr>
            </w:pPr>
            <w:r>
              <w:rPr>
                <w:rFonts w:hint="eastAsia" w:ascii="宋体" w:hAnsi="宋体" w:eastAsia="宋体" w:cs="宋体"/>
                <w:kern w:val="2"/>
                <w:sz w:val="18"/>
                <w:szCs w:val="18"/>
                <w:lang w:val="en-US" w:eastAsia="zh-CN" w:bidi="ar-SA"/>
              </w:rPr>
              <w:t>指标</w:t>
            </w:r>
          </w:p>
        </w:tc>
        <w:tc>
          <w:tcPr>
            <w:tcW w:w="0" w:type="auto"/>
            <w:vAlign w:val="center"/>
          </w:tcPr>
          <w:p w14:paraId="3846D0E4">
            <w:pPr>
              <w:rPr>
                <w:sz w:val="18"/>
                <w:szCs w:val="18"/>
              </w:rPr>
            </w:pPr>
            <w:r>
              <w:rPr>
                <w:rFonts w:hint="eastAsia" w:ascii="宋体" w:hAnsi="宋体" w:eastAsia="宋体" w:cs="宋体"/>
                <w:kern w:val="2"/>
                <w:sz w:val="18"/>
                <w:szCs w:val="18"/>
                <w:lang w:val="en-US" w:eastAsia="zh-CN" w:bidi="ar-SA"/>
              </w:rPr>
              <w:t>数值</w:t>
            </w:r>
          </w:p>
        </w:tc>
        <w:tc>
          <w:tcPr>
            <w:tcW w:w="0" w:type="auto"/>
            <w:vAlign w:val="center"/>
          </w:tcPr>
          <w:p w14:paraId="2939CA19">
            <w:pPr>
              <w:rPr>
                <w:sz w:val="18"/>
                <w:szCs w:val="18"/>
              </w:rPr>
            </w:pPr>
            <w:r>
              <w:rPr>
                <w:rFonts w:hint="eastAsia" w:ascii="宋体" w:hAnsi="宋体" w:eastAsia="宋体" w:cs="宋体"/>
                <w:kern w:val="2"/>
                <w:sz w:val="18"/>
                <w:szCs w:val="18"/>
                <w:lang w:val="en-US" w:eastAsia="zh-CN" w:bidi="ar-SA"/>
              </w:rPr>
              <w:t>与传统硫铁矿对比</w:t>
            </w:r>
          </w:p>
        </w:tc>
      </w:tr>
      <w:tr w14:paraId="502AD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0" w:type="auto"/>
            <w:vAlign w:val="center"/>
          </w:tcPr>
          <w:p w14:paraId="2C83A745">
            <w:pPr>
              <w:rPr>
                <w:sz w:val="18"/>
                <w:szCs w:val="18"/>
              </w:rPr>
            </w:pPr>
            <w:r>
              <w:rPr>
                <w:rFonts w:hint="eastAsia" w:ascii="宋体" w:hAnsi="宋体" w:eastAsia="宋体" w:cs="宋体"/>
                <w:kern w:val="2"/>
                <w:sz w:val="18"/>
                <w:szCs w:val="18"/>
                <w:lang w:val="en-US" w:eastAsia="zh-CN" w:bidi="ar-SA"/>
              </w:rPr>
              <w:t>单质硫</w:t>
            </w:r>
          </w:p>
        </w:tc>
        <w:tc>
          <w:tcPr>
            <w:tcW w:w="0" w:type="auto"/>
            <w:vAlign w:val="center"/>
          </w:tcPr>
          <w:p w14:paraId="215A42CF">
            <w:pPr>
              <w:rPr>
                <w:sz w:val="18"/>
                <w:szCs w:val="18"/>
              </w:rPr>
            </w:pPr>
            <w:r>
              <w:rPr>
                <w:rFonts w:hint="eastAsia" w:ascii="宋体" w:hAnsi="宋体" w:eastAsia="宋体" w:cs="宋体"/>
                <w:kern w:val="2"/>
                <w:sz w:val="18"/>
                <w:szCs w:val="18"/>
                <w:lang w:val="en-US" w:eastAsia="zh-CN" w:bidi="ar-SA"/>
              </w:rPr>
              <w:t>含量 ≥55%（后续矿源可达65%-75%）</w:t>
            </w:r>
          </w:p>
        </w:tc>
        <w:tc>
          <w:tcPr>
            <w:tcW w:w="0" w:type="auto"/>
            <w:vAlign w:val="center"/>
          </w:tcPr>
          <w:p w14:paraId="3360CE26">
            <w:pPr>
              <w:rPr>
                <w:sz w:val="18"/>
                <w:szCs w:val="18"/>
              </w:rPr>
            </w:pPr>
            <w:r>
              <w:rPr>
                <w:rFonts w:hint="eastAsia" w:ascii="宋体" w:hAnsi="宋体" w:eastAsia="宋体" w:cs="宋体"/>
                <w:kern w:val="2"/>
                <w:sz w:val="18"/>
                <w:szCs w:val="18"/>
                <w:lang w:val="en-US" w:eastAsia="zh-CN" w:bidi="ar-SA"/>
              </w:rPr>
              <w:t>高于35%标准矿</w:t>
            </w:r>
          </w:p>
        </w:tc>
      </w:tr>
      <w:tr w14:paraId="70A53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0" w:type="auto"/>
            <w:vAlign w:val="center"/>
          </w:tcPr>
          <w:p w14:paraId="74524074">
            <w:pPr>
              <w:rPr>
                <w:sz w:val="18"/>
                <w:szCs w:val="18"/>
              </w:rPr>
            </w:pPr>
            <w:r>
              <w:rPr>
                <w:rFonts w:hint="eastAsia" w:ascii="宋体" w:hAnsi="宋体" w:eastAsia="宋体" w:cs="宋体"/>
                <w:kern w:val="2"/>
                <w:sz w:val="18"/>
                <w:szCs w:val="18"/>
                <w:lang w:val="en-US" w:eastAsia="zh-CN" w:bidi="ar-SA"/>
              </w:rPr>
              <w:t>二氧化硅</w:t>
            </w:r>
          </w:p>
        </w:tc>
        <w:tc>
          <w:tcPr>
            <w:tcW w:w="0" w:type="auto"/>
            <w:vAlign w:val="center"/>
          </w:tcPr>
          <w:p w14:paraId="5AC920C2">
            <w:pPr>
              <w:rPr>
                <w:sz w:val="18"/>
                <w:szCs w:val="18"/>
              </w:rPr>
            </w:pPr>
            <w:r>
              <w:rPr>
                <w:rFonts w:hint="eastAsia" w:ascii="宋体" w:hAnsi="宋体" w:eastAsia="宋体" w:cs="宋体"/>
                <w:kern w:val="2"/>
                <w:sz w:val="18"/>
                <w:szCs w:val="18"/>
                <w:lang w:val="en-US" w:eastAsia="zh-CN" w:bidi="ar-SA"/>
              </w:rPr>
              <w:t>约33%</w:t>
            </w:r>
          </w:p>
        </w:tc>
        <w:tc>
          <w:tcPr>
            <w:tcW w:w="0" w:type="auto"/>
            <w:vAlign w:val="center"/>
          </w:tcPr>
          <w:p w14:paraId="66677A4C">
            <w:pPr>
              <w:rPr>
                <w:sz w:val="18"/>
                <w:szCs w:val="18"/>
              </w:rPr>
            </w:pPr>
            <w:r>
              <w:rPr>
                <w:rFonts w:hint="eastAsia" w:ascii="宋体" w:hAnsi="宋体" w:eastAsia="宋体" w:cs="宋体"/>
                <w:kern w:val="2"/>
                <w:sz w:val="18"/>
                <w:szCs w:val="18"/>
                <w:lang w:val="en-US" w:eastAsia="zh-CN" w:bidi="ar-SA"/>
              </w:rPr>
              <w:t>与硫铁矿脉石成分一致</w:t>
            </w:r>
          </w:p>
        </w:tc>
      </w:tr>
      <w:tr w14:paraId="78109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0" w:type="auto"/>
            <w:vAlign w:val="center"/>
          </w:tcPr>
          <w:p w14:paraId="14FADF49">
            <w:pPr>
              <w:rPr>
                <w:sz w:val="18"/>
                <w:szCs w:val="18"/>
              </w:rPr>
            </w:pPr>
            <w:r>
              <w:rPr>
                <w:rFonts w:hint="eastAsia" w:ascii="宋体" w:hAnsi="宋体" w:eastAsia="宋体" w:cs="宋体"/>
                <w:kern w:val="2"/>
                <w:sz w:val="18"/>
                <w:szCs w:val="18"/>
                <w:lang w:val="en-US" w:eastAsia="zh-CN" w:bidi="ar-SA"/>
              </w:rPr>
              <w:t>砷（As）</w:t>
            </w:r>
          </w:p>
        </w:tc>
        <w:tc>
          <w:tcPr>
            <w:tcW w:w="0" w:type="auto"/>
            <w:vAlign w:val="center"/>
          </w:tcPr>
          <w:p w14:paraId="446784E3">
            <w:pPr>
              <w:rPr>
                <w:sz w:val="18"/>
                <w:szCs w:val="18"/>
              </w:rPr>
            </w:pPr>
            <w:r>
              <w:rPr>
                <w:rFonts w:hint="eastAsia" w:ascii="宋体" w:hAnsi="宋体" w:eastAsia="宋体" w:cs="宋体"/>
                <w:kern w:val="2"/>
                <w:sz w:val="18"/>
                <w:szCs w:val="18"/>
                <w:lang w:val="en-US" w:eastAsia="zh-CN" w:bidi="ar-SA"/>
              </w:rPr>
              <w:t>＜0.001%</w:t>
            </w:r>
          </w:p>
        </w:tc>
        <w:tc>
          <w:tcPr>
            <w:tcW w:w="0" w:type="auto"/>
            <w:vAlign w:val="center"/>
          </w:tcPr>
          <w:p w14:paraId="1CF969DF">
            <w:pPr>
              <w:rPr>
                <w:sz w:val="18"/>
                <w:szCs w:val="18"/>
              </w:rPr>
            </w:pPr>
            <w:r>
              <w:rPr>
                <w:rFonts w:hint="eastAsia" w:ascii="宋体" w:hAnsi="宋体" w:eastAsia="宋体" w:cs="宋体"/>
                <w:kern w:val="2"/>
                <w:sz w:val="18"/>
                <w:szCs w:val="18"/>
                <w:lang w:val="en-US" w:eastAsia="zh-CN" w:bidi="ar-SA"/>
              </w:rPr>
              <w:t>远低于硫铁矿（0.05%-0.15%）</w:t>
            </w:r>
          </w:p>
        </w:tc>
      </w:tr>
      <w:tr w14:paraId="4214D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0" w:type="auto"/>
            <w:vAlign w:val="center"/>
          </w:tcPr>
          <w:p w14:paraId="38D6CFE2">
            <w:pPr>
              <w:rPr>
                <w:sz w:val="18"/>
                <w:szCs w:val="18"/>
              </w:rPr>
            </w:pPr>
            <w:r>
              <w:rPr>
                <w:rFonts w:hint="eastAsia" w:ascii="宋体" w:hAnsi="宋体" w:eastAsia="宋体" w:cs="宋体"/>
                <w:kern w:val="2"/>
                <w:sz w:val="18"/>
                <w:szCs w:val="18"/>
                <w:lang w:val="en-US" w:eastAsia="zh-CN" w:bidi="ar-SA"/>
              </w:rPr>
              <w:t>铅（Pb）、锌（Zn）</w:t>
            </w:r>
          </w:p>
        </w:tc>
        <w:tc>
          <w:tcPr>
            <w:tcW w:w="0" w:type="auto"/>
            <w:vAlign w:val="center"/>
          </w:tcPr>
          <w:p w14:paraId="64D1C62A">
            <w:pPr>
              <w:rPr>
                <w:sz w:val="18"/>
                <w:szCs w:val="18"/>
              </w:rPr>
            </w:pPr>
            <w:r>
              <w:rPr>
                <w:rFonts w:hint="eastAsia" w:ascii="宋体" w:hAnsi="宋体" w:eastAsia="宋体" w:cs="宋体"/>
                <w:kern w:val="2"/>
                <w:sz w:val="18"/>
                <w:szCs w:val="18"/>
                <w:lang w:val="en-US" w:eastAsia="zh-CN" w:bidi="ar-SA"/>
              </w:rPr>
              <w:t>极低</w:t>
            </w:r>
          </w:p>
        </w:tc>
        <w:tc>
          <w:tcPr>
            <w:tcW w:w="0" w:type="auto"/>
            <w:vAlign w:val="center"/>
          </w:tcPr>
          <w:p w14:paraId="2419D491">
            <w:pPr>
              <w:rPr>
                <w:sz w:val="18"/>
                <w:szCs w:val="18"/>
              </w:rPr>
            </w:pPr>
            <w:r>
              <w:rPr>
                <w:rFonts w:hint="eastAsia" w:ascii="宋体" w:hAnsi="宋体" w:eastAsia="宋体" w:cs="宋体"/>
                <w:kern w:val="2"/>
                <w:sz w:val="18"/>
                <w:szCs w:val="18"/>
                <w:lang w:val="en-US" w:eastAsia="zh-CN" w:bidi="ar-SA"/>
              </w:rPr>
              <w:t>低于硫铁矿</w:t>
            </w:r>
          </w:p>
        </w:tc>
      </w:tr>
      <w:tr w14:paraId="5823D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0" w:type="auto"/>
            <w:vAlign w:val="center"/>
          </w:tcPr>
          <w:p w14:paraId="1B1EB898">
            <w:pPr>
              <w:rPr>
                <w:sz w:val="18"/>
                <w:szCs w:val="18"/>
              </w:rPr>
            </w:pPr>
            <w:r>
              <w:rPr>
                <w:rFonts w:hint="eastAsia" w:ascii="宋体" w:hAnsi="宋体" w:eastAsia="宋体" w:cs="宋体"/>
                <w:kern w:val="2"/>
                <w:sz w:val="18"/>
                <w:szCs w:val="18"/>
                <w:lang w:val="en-US" w:eastAsia="zh-CN" w:bidi="ar-SA"/>
              </w:rPr>
              <w:t>氟（F）、氯（Cl）</w:t>
            </w:r>
          </w:p>
        </w:tc>
        <w:tc>
          <w:tcPr>
            <w:tcW w:w="0" w:type="auto"/>
            <w:vAlign w:val="center"/>
          </w:tcPr>
          <w:p w14:paraId="6FBABBC4">
            <w:pPr>
              <w:rPr>
                <w:sz w:val="18"/>
                <w:szCs w:val="18"/>
              </w:rPr>
            </w:pPr>
            <w:r>
              <w:rPr>
                <w:rFonts w:hint="eastAsia" w:ascii="宋体" w:hAnsi="宋体" w:eastAsia="宋体" w:cs="宋体"/>
                <w:kern w:val="2"/>
                <w:sz w:val="18"/>
                <w:szCs w:val="18"/>
                <w:lang w:val="en-US" w:eastAsia="zh-CN" w:bidi="ar-SA"/>
              </w:rPr>
              <w:t>极低</w:t>
            </w:r>
          </w:p>
        </w:tc>
        <w:tc>
          <w:tcPr>
            <w:tcW w:w="0" w:type="auto"/>
            <w:vAlign w:val="center"/>
          </w:tcPr>
          <w:p w14:paraId="4D2183BC">
            <w:pPr>
              <w:rPr>
                <w:sz w:val="18"/>
                <w:szCs w:val="18"/>
              </w:rPr>
            </w:pPr>
            <w:r>
              <w:rPr>
                <w:rFonts w:hint="eastAsia" w:ascii="宋体" w:hAnsi="宋体" w:eastAsia="宋体" w:cs="宋体"/>
                <w:kern w:val="2"/>
                <w:sz w:val="18"/>
                <w:szCs w:val="18"/>
                <w:lang w:val="en-US" w:eastAsia="zh-CN" w:bidi="ar-SA"/>
              </w:rPr>
              <w:t>低于硫铁矿</w:t>
            </w:r>
          </w:p>
        </w:tc>
      </w:tr>
      <w:tr w14:paraId="22F45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0" w:type="auto"/>
            <w:vAlign w:val="center"/>
          </w:tcPr>
          <w:p w14:paraId="3F2DB4CC">
            <w:pPr>
              <w:rPr>
                <w:sz w:val="18"/>
                <w:szCs w:val="18"/>
              </w:rPr>
            </w:pPr>
            <w:r>
              <w:rPr>
                <w:rFonts w:hint="eastAsia" w:ascii="宋体" w:hAnsi="宋体" w:eastAsia="宋体" w:cs="宋体"/>
                <w:kern w:val="2"/>
                <w:sz w:val="18"/>
                <w:szCs w:val="18"/>
                <w:lang w:val="en-US" w:eastAsia="zh-CN" w:bidi="ar-SA"/>
              </w:rPr>
              <w:t>汞（Hg）</w:t>
            </w:r>
          </w:p>
        </w:tc>
        <w:tc>
          <w:tcPr>
            <w:tcW w:w="0" w:type="auto"/>
            <w:vAlign w:val="center"/>
          </w:tcPr>
          <w:p w14:paraId="276657FE">
            <w:pPr>
              <w:rPr>
                <w:sz w:val="18"/>
                <w:szCs w:val="18"/>
              </w:rPr>
            </w:pPr>
            <w:r>
              <w:rPr>
                <w:rFonts w:hint="eastAsia" w:ascii="宋体" w:hAnsi="宋体" w:eastAsia="宋体" w:cs="宋体"/>
                <w:kern w:val="2"/>
                <w:sz w:val="18"/>
                <w:szCs w:val="18"/>
                <w:lang w:val="en-US" w:eastAsia="zh-CN" w:bidi="ar-SA"/>
              </w:rPr>
              <w:t>极低</w:t>
            </w:r>
          </w:p>
        </w:tc>
        <w:tc>
          <w:tcPr>
            <w:tcW w:w="0" w:type="auto"/>
            <w:vAlign w:val="center"/>
          </w:tcPr>
          <w:p w14:paraId="44BD816A">
            <w:pPr>
              <w:rPr>
                <w:sz w:val="18"/>
                <w:szCs w:val="18"/>
              </w:rPr>
            </w:pPr>
            <w:r>
              <w:rPr>
                <w:rFonts w:hint="eastAsia" w:ascii="宋体" w:hAnsi="宋体" w:eastAsia="宋体" w:cs="宋体"/>
                <w:kern w:val="2"/>
                <w:sz w:val="18"/>
                <w:szCs w:val="18"/>
                <w:lang w:val="en-US" w:eastAsia="zh-CN" w:bidi="ar-SA"/>
              </w:rPr>
              <w:t>低于硫铁矿</w:t>
            </w:r>
          </w:p>
        </w:tc>
      </w:tr>
      <w:tr w14:paraId="34062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0" w:type="auto"/>
            <w:vAlign w:val="center"/>
          </w:tcPr>
          <w:p w14:paraId="2C998849">
            <w:pPr>
              <w:rPr>
                <w:sz w:val="18"/>
                <w:szCs w:val="18"/>
              </w:rPr>
            </w:pPr>
            <w:r>
              <w:rPr>
                <w:rFonts w:hint="eastAsia" w:ascii="宋体" w:hAnsi="宋体" w:eastAsia="宋体" w:cs="宋体"/>
                <w:kern w:val="2"/>
                <w:sz w:val="18"/>
                <w:szCs w:val="18"/>
                <w:lang w:val="en-US" w:eastAsia="zh-CN" w:bidi="ar-SA"/>
              </w:rPr>
              <w:t>全铁含量</w:t>
            </w:r>
          </w:p>
        </w:tc>
        <w:tc>
          <w:tcPr>
            <w:tcW w:w="0" w:type="auto"/>
            <w:vAlign w:val="center"/>
          </w:tcPr>
          <w:p w14:paraId="7F639B3F">
            <w:pPr>
              <w:rPr>
                <w:sz w:val="18"/>
                <w:szCs w:val="18"/>
              </w:rPr>
            </w:pPr>
            <w:r>
              <w:rPr>
                <w:rFonts w:hint="eastAsia" w:ascii="宋体" w:hAnsi="宋体" w:eastAsia="宋体" w:cs="宋体"/>
                <w:kern w:val="2"/>
                <w:sz w:val="18"/>
                <w:szCs w:val="18"/>
                <w:lang w:val="en-US" w:eastAsia="zh-CN" w:bidi="ar-SA"/>
              </w:rPr>
              <w:t>≤0.69%</w:t>
            </w:r>
          </w:p>
        </w:tc>
        <w:tc>
          <w:tcPr>
            <w:tcW w:w="0" w:type="auto"/>
            <w:vAlign w:val="center"/>
          </w:tcPr>
          <w:p w14:paraId="4012186D">
            <w:pPr>
              <w:rPr>
                <w:sz w:val="18"/>
                <w:szCs w:val="18"/>
              </w:rPr>
            </w:pPr>
            <w:r>
              <w:rPr>
                <w:rFonts w:hint="eastAsia" w:ascii="宋体" w:hAnsi="宋体" w:eastAsia="宋体" w:cs="宋体"/>
                <w:kern w:val="2"/>
                <w:sz w:val="18"/>
                <w:szCs w:val="18"/>
                <w:lang w:val="en-US" w:eastAsia="zh-CN" w:bidi="ar-SA"/>
              </w:rPr>
              <w:t>几乎无铁组分</w:t>
            </w:r>
          </w:p>
        </w:tc>
      </w:tr>
      <w:tr w14:paraId="3F884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0" w:type="auto"/>
            <w:vAlign w:val="center"/>
          </w:tcPr>
          <w:p w14:paraId="527BFE3D">
            <w:pPr>
              <w:rPr>
                <w:sz w:val="18"/>
                <w:szCs w:val="18"/>
              </w:rPr>
            </w:pPr>
            <w:r>
              <w:rPr>
                <w:rFonts w:hint="eastAsia" w:ascii="宋体" w:hAnsi="宋体" w:eastAsia="宋体" w:cs="宋体"/>
                <w:kern w:val="2"/>
                <w:sz w:val="18"/>
                <w:szCs w:val="18"/>
                <w:lang w:val="en-US" w:eastAsia="zh-CN" w:bidi="ar-SA"/>
              </w:rPr>
              <w:t>水分</w:t>
            </w:r>
          </w:p>
        </w:tc>
        <w:tc>
          <w:tcPr>
            <w:tcW w:w="0" w:type="auto"/>
            <w:vAlign w:val="center"/>
          </w:tcPr>
          <w:p w14:paraId="23F91130">
            <w:pPr>
              <w:rPr>
                <w:sz w:val="18"/>
                <w:szCs w:val="18"/>
              </w:rPr>
            </w:pPr>
            <w:r>
              <w:rPr>
                <w:rFonts w:hint="eastAsia" w:ascii="宋体" w:hAnsi="宋体" w:eastAsia="宋体" w:cs="宋体"/>
                <w:kern w:val="2"/>
                <w:sz w:val="18"/>
                <w:szCs w:val="18"/>
                <w:lang w:val="en-US" w:eastAsia="zh-CN" w:bidi="ar-SA"/>
              </w:rPr>
              <w:t>＜0.5%</w:t>
            </w:r>
          </w:p>
        </w:tc>
        <w:tc>
          <w:tcPr>
            <w:tcW w:w="0" w:type="auto"/>
            <w:vAlign w:val="center"/>
          </w:tcPr>
          <w:p w14:paraId="78A9B219">
            <w:pPr>
              <w:rPr>
                <w:sz w:val="18"/>
                <w:szCs w:val="18"/>
              </w:rPr>
            </w:pPr>
            <w:r>
              <w:rPr>
                <w:rFonts w:hint="eastAsia" w:ascii="宋体" w:hAnsi="宋体" w:eastAsia="宋体" w:cs="宋体"/>
                <w:kern w:val="2"/>
                <w:sz w:val="18"/>
                <w:szCs w:val="18"/>
                <w:lang w:val="en-US" w:eastAsia="zh-CN" w:bidi="ar-SA"/>
              </w:rPr>
              <w:t>干燥洁净</w:t>
            </w:r>
          </w:p>
        </w:tc>
      </w:tr>
    </w:tbl>
    <w:p w14:paraId="74F97BBE">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rPr>
      </w:pPr>
      <w:r>
        <w:rPr>
          <w:rFonts w:hint="eastAsia" w:ascii="宋体" w:hAnsi="宋体" w:eastAsia="宋体" w:cs="宋体"/>
        </w:rPr>
        <w:t>该矿石的核心特征在于：（1）单质硫含量高，燃烧放热集中，单位硫成本优势显著；（2）有害杂质极低（具体以检测报告为准），烟气净化负荷小；（3）几乎不含铁，焙烧渣不依赖铁精粉收益；（4）二氧化硅含量与硫铁矿脉石相当，焙烧渣具有建材利用潜力。</w:t>
      </w:r>
    </w:p>
    <w:p w14:paraId="19A7EEBF">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rPr>
      </w:pPr>
      <w:r>
        <w:rPr>
          <w:rFonts w:hint="eastAsia" w:ascii="宋体" w:hAnsi="宋体" w:eastAsia="宋体" w:cs="宋体"/>
        </w:rPr>
        <w:t>值得注意的是，单质硫燃烧反应热约9,280 kJ/kg硫，硫铁矿氧化反应热约7,100 kJ/kg硫，前者较后者高出约31%。这一特性决定了该矿石不能简单替代硫铁矿直接入炉，必须通过配比调节和工艺优化来控制炉温。</w:t>
      </w:r>
    </w:p>
    <w:p w14:paraId="06BEDC55">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bCs/>
        </w:rPr>
      </w:pPr>
      <w:r>
        <w:rPr>
          <w:rFonts w:hint="eastAsia" w:ascii="宋体" w:hAnsi="宋体" w:eastAsia="宋体" w:cs="宋体"/>
          <w:b/>
          <w:bCs/>
        </w:rPr>
        <w:t>2.2 低品位硫铁矿</w:t>
      </w:r>
    </w:p>
    <w:p w14:paraId="38CA5161">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rPr>
      </w:pPr>
      <w:r>
        <w:rPr>
          <w:rFonts w:hint="eastAsia" w:ascii="宋体" w:hAnsi="宋体" w:eastAsia="宋体" w:cs="宋体"/>
        </w:rPr>
        <w:t>含硫20%-25%的低品位硫铁矿是我国硫铁矿矿区的常见尾矿。受限于硫含量低、单独制酸能耗高、经济性差，长期以来大量积压，成为矿山环保负担。</w:t>
      </w:r>
    </w:p>
    <w:p w14:paraId="180D1B8B">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rPr>
      </w:pPr>
      <w:r>
        <w:rPr>
          <w:rFonts w:hint="eastAsia" w:ascii="宋体" w:hAnsi="宋体" w:eastAsia="宋体" w:cs="宋体"/>
        </w:rPr>
        <w:t>低品位硫铁矿的铁含量约19%（基于22%品位黄铁矿理论值），硫含量虽低但并非无利用价值。其燃烧速率慢、放热平缓的特性，恰好可以作为高活性单质硫的“缓冲剂”，在复合配料中发挥调节燃烧节奏的功能。</w:t>
      </w:r>
    </w:p>
    <w:p w14:paraId="7EA15A3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rPr>
      </w:pPr>
      <w:r>
        <w:rPr>
          <w:rFonts w:hint="eastAsia" w:ascii="宋体" w:hAnsi="宋体" w:eastAsia="宋体" w:cs="宋体"/>
          <w:b/>
          <w:bCs/>
        </w:rPr>
        <w:t>表3 两种原料燃烧特性对比</w:t>
      </w:r>
    </w:p>
    <w:tbl>
      <w:tblPr>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2182"/>
        <w:gridCol w:w="2182"/>
        <w:gridCol w:w="2182"/>
        <w:gridCol w:w="2182"/>
      </w:tblGrid>
      <w:tr w14:paraId="264A4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0" w:type="auto"/>
            <w:vAlign w:val="center"/>
          </w:tcPr>
          <w:p w14:paraId="2223635B">
            <w:pPr>
              <w:rPr>
                <w:rFonts w:hint="eastAsia" w:ascii="宋体" w:hAnsi="宋体" w:eastAsia="宋体" w:cs="宋体"/>
                <w:sz w:val="18"/>
                <w:szCs w:val="18"/>
              </w:rPr>
            </w:pPr>
            <w:r>
              <w:rPr>
                <w:rFonts w:hint="eastAsia" w:ascii="宋体" w:hAnsi="宋体" w:eastAsia="宋体" w:cs="宋体"/>
                <w:sz w:val="18"/>
                <w:szCs w:val="18"/>
              </w:rPr>
              <w:t>特性</w:t>
            </w:r>
          </w:p>
        </w:tc>
        <w:tc>
          <w:tcPr>
            <w:tcW w:w="0" w:type="auto"/>
            <w:vAlign w:val="center"/>
          </w:tcPr>
          <w:p w14:paraId="1AC8ABDA">
            <w:pPr>
              <w:rPr>
                <w:rFonts w:hint="eastAsia" w:ascii="宋体" w:hAnsi="宋体" w:eastAsia="宋体" w:cs="宋体"/>
                <w:sz w:val="18"/>
                <w:szCs w:val="18"/>
              </w:rPr>
            </w:pPr>
            <w:r>
              <w:rPr>
                <w:rFonts w:hint="eastAsia" w:ascii="宋体" w:hAnsi="宋体" w:eastAsia="宋体" w:cs="宋体"/>
                <w:sz w:val="18"/>
                <w:szCs w:val="18"/>
              </w:rPr>
              <w:t>天然硫矿</w:t>
            </w:r>
          </w:p>
        </w:tc>
        <w:tc>
          <w:tcPr>
            <w:tcW w:w="0" w:type="auto"/>
            <w:vAlign w:val="center"/>
          </w:tcPr>
          <w:p w14:paraId="60A6949B">
            <w:pPr>
              <w:rPr>
                <w:rFonts w:hint="eastAsia" w:ascii="宋体" w:hAnsi="宋体" w:eastAsia="宋体" w:cs="宋体"/>
                <w:sz w:val="18"/>
                <w:szCs w:val="18"/>
              </w:rPr>
            </w:pPr>
            <w:r>
              <w:rPr>
                <w:rFonts w:hint="eastAsia" w:ascii="宋体" w:hAnsi="宋体" w:eastAsia="宋体" w:cs="宋体"/>
                <w:sz w:val="18"/>
                <w:szCs w:val="18"/>
              </w:rPr>
              <w:t>低品位硫铁矿</w:t>
            </w:r>
          </w:p>
        </w:tc>
        <w:tc>
          <w:tcPr>
            <w:tcW w:w="0" w:type="auto"/>
            <w:vAlign w:val="center"/>
          </w:tcPr>
          <w:p w14:paraId="16CAE04B">
            <w:pPr>
              <w:rPr>
                <w:rFonts w:hint="eastAsia" w:ascii="宋体" w:hAnsi="宋体" w:eastAsia="宋体" w:cs="宋体"/>
                <w:sz w:val="18"/>
                <w:szCs w:val="18"/>
              </w:rPr>
            </w:pPr>
            <w:r>
              <w:rPr>
                <w:rFonts w:hint="eastAsia" w:ascii="宋体" w:hAnsi="宋体" w:eastAsia="宋体" w:cs="宋体"/>
                <w:sz w:val="18"/>
                <w:szCs w:val="18"/>
              </w:rPr>
              <w:t>对掺烧方案的影响</w:t>
            </w:r>
          </w:p>
        </w:tc>
      </w:tr>
      <w:tr w14:paraId="5DE78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0" w:type="auto"/>
            <w:vAlign w:val="center"/>
          </w:tcPr>
          <w:p w14:paraId="60F6555D">
            <w:pPr>
              <w:rPr>
                <w:rFonts w:hint="eastAsia" w:ascii="宋体" w:hAnsi="宋体" w:eastAsia="宋体" w:cs="宋体"/>
                <w:sz w:val="18"/>
                <w:szCs w:val="18"/>
              </w:rPr>
            </w:pPr>
            <w:r>
              <w:rPr>
                <w:rFonts w:hint="eastAsia" w:ascii="宋体" w:hAnsi="宋体" w:eastAsia="宋体" w:cs="宋体"/>
                <w:sz w:val="18"/>
                <w:szCs w:val="18"/>
              </w:rPr>
              <w:t>硫形态</w:t>
            </w:r>
          </w:p>
        </w:tc>
        <w:tc>
          <w:tcPr>
            <w:tcW w:w="0" w:type="auto"/>
            <w:vAlign w:val="center"/>
          </w:tcPr>
          <w:p w14:paraId="500D0EE8">
            <w:pPr>
              <w:rPr>
                <w:rFonts w:hint="eastAsia" w:ascii="宋体" w:hAnsi="宋体" w:eastAsia="宋体" w:cs="宋体"/>
                <w:sz w:val="18"/>
                <w:szCs w:val="18"/>
              </w:rPr>
            </w:pPr>
            <w:r>
              <w:rPr>
                <w:rFonts w:hint="eastAsia" w:ascii="宋体" w:hAnsi="宋体" w:eastAsia="宋体" w:cs="宋体"/>
                <w:sz w:val="18"/>
                <w:szCs w:val="18"/>
              </w:rPr>
              <w:t>单质硫（S）</w:t>
            </w:r>
          </w:p>
        </w:tc>
        <w:tc>
          <w:tcPr>
            <w:tcW w:w="0" w:type="auto"/>
            <w:vAlign w:val="center"/>
          </w:tcPr>
          <w:p w14:paraId="5DDD430E">
            <w:pPr>
              <w:rPr>
                <w:rFonts w:hint="eastAsia" w:ascii="宋体" w:hAnsi="宋体" w:eastAsia="宋体" w:cs="宋体"/>
                <w:sz w:val="18"/>
                <w:szCs w:val="18"/>
              </w:rPr>
            </w:pPr>
            <w:r>
              <w:rPr>
                <w:rFonts w:hint="eastAsia" w:ascii="宋体" w:hAnsi="宋体" w:eastAsia="宋体" w:cs="宋体"/>
                <w:sz w:val="18"/>
                <w:szCs w:val="18"/>
              </w:rPr>
              <w:t>硫铁矿硫（FeS₂）</w:t>
            </w:r>
          </w:p>
        </w:tc>
        <w:tc>
          <w:tcPr>
            <w:tcW w:w="0" w:type="auto"/>
            <w:vAlign w:val="center"/>
          </w:tcPr>
          <w:p w14:paraId="7869CB55">
            <w:pPr>
              <w:rPr>
                <w:rFonts w:hint="eastAsia" w:ascii="宋体" w:hAnsi="宋体" w:eastAsia="宋体" w:cs="宋体"/>
                <w:sz w:val="18"/>
                <w:szCs w:val="18"/>
              </w:rPr>
            </w:pPr>
            <w:r>
              <w:rPr>
                <w:rFonts w:hint="eastAsia" w:ascii="宋体" w:hAnsi="宋体" w:eastAsia="宋体" w:cs="宋体"/>
                <w:sz w:val="18"/>
                <w:szCs w:val="18"/>
              </w:rPr>
              <w:t>含硫组分最终均可氧化生成SO₂</w:t>
            </w:r>
          </w:p>
        </w:tc>
      </w:tr>
      <w:tr w14:paraId="0AFF6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0" w:type="auto"/>
            <w:vAlign w:val="center"/>
          </w:tcPr>
          <w:p w14:paraId="765E9498">
            <w:pPr>
              <w:rPr>
                <w:rFonts w:hint="eastAsia" w:ascii="宋体" w:hAnsi="宋体" w:eastAsia="宋体" w:cs="宋体"/>
                <w:sz w:val="18"/>
                <w:szCs w:val="18"/>
              </w:rPr>
            </w:pPr>
            <w:r>
              <w:rPr>
                <w:rFonts w:hint="eastAsia" w:ascii="宋体" w:hAnsi="宋体" w:eastAsia="宋体" w:cs="宋体"/>
                <w:sz w:val="18"/>
                <w:szCs w:val="18"/>
              </w:rPr>
              <w:t>反应热（kJ/kg硫）</w:t>
            </w:r>
          </w:p>
        </w:tc>
        <w:tc>
          <w:tcPr>
            <w:tcW w:w="0" w:type="auto"/>
            <w:vAlign w:val="center"/>
          </w:tcPr>
          <w:p w14:paraId="53D593AB">
            <w:pPr>
              <w:rPr>
                <w:rFonts w:hint="eastAsia" w:ascii="宋体" w:hAnsi="宋体" w:eastAsia="宋体" w:cs="宋体"/>
                <w:sz w:val="18"/>
                <w:szCs w:val="18"/>
              </w:rPr>
            </w:pPr>
            <w:r>
              <w:rPr>
                <w:rFonts w:hint="eastAsia" w:ascii="宋体" w:hAnsi="宋体" w:eastAsia="宋体" w:cs="宋体"/>
                <w:sz w:val="18"/>
                <w:szCs w:val="18"/>
              </w:rPr>
              <w:t>~9,280</w:t>
            </w:r>
          </w:p>
        </w:tc>
        <w:tc>
          <w:tcPr>
            <w:tcW w:w="0" w:type="auto"/>
            <w:vAlign w:val="center"/>
          </w:tcPr>
          <w:p w14:paraId="64284183">
            <w:pPr>
              <w:rPr>
                <w:rFonts w:hint="eastAsia" w:ascii="宋体" w:hAnsi="宋体" w:eastAsia="宋体" w:cs="宋体"/>
                <w:sz w:val="18"/>
                <w:szCs w:val="18"/>
              </w:rPr>
            </w:pPr>
            <w:r>
              <w:rPr>
                <w:rFonts w:hint="eastAsia" w:ascii="宋体" w:hAnsi="宋体" w:eastAsia="宋体" w:cs="宋体"/>
                <w:sz w:val="18"/>
                <w:szCs w:val="18"/>
              </w:rPr>
              <w:t>~7,100</w:t>
            </w:r>
          </w:p>
        </w:tc>
        <w:tc>
          <w:tcPr>
            <w:tcW w:w="0" w:type="auto"/>
            <w:vAlign w:val="center"/>
          </w:tcPr>
          <w:p w14:paraId="2BD9576F">
            <w:pPr>
              <w:rPr>
                <w:rFonts w:hint="eastAsia" w:ascii="宋体" w:hAnsi="宋体" w:eastAsia="宋体" w:cs="宋体"/>
                <w:sz w:val="18"/>
                <w:szCs w:val="18"/>
              </w:rPr>
            </w:pPr>
            <w:r>
              <w:rPr>
                <w:rFonts w:hint="eastAsia" w:ascii="宋体" w:hAnsi="宋体" w:eastAsia="宋体" w:cs="宋体"/>
                <w:sz w:val="18"/>
                <w:szCs w:val="18"/>
              </w:rPr>
              <w:t>天然矿放热更集中，需控制炉温</w:t>
            </w:r>
          </w:p>
        </w:tc>
      </w:tr>
      <w:tr w14:paraId="49FFF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0" w:type="auto"/>
            <w:vAlign w:val="center"/>
          </w:tcPr>
          <w:p w14:paraId="28E474A2">
            <w:pPr>
              <w:rPr>
                <w:rFonts w:hint="eastAsia" w:ascii="宋体" w:hAnsi="宋体" w:eastAsia="宋体" w:cs="宋体"/>
                <w:sz w:val="18"/>
                <w:szCs w:val="18"/>
              </w:rPr>
            </w:pPr>
            <w:r>
              <w:rPr>
                <w:rFonts w:hint="eastAsia" w:ascii="宋体" w:hAnsi="宋体" w:eastAsia="宋体" w:cs="宋体"/>
                <w:sz w:val="18"/>
                <w:szCs w:val="18"/>
              </w:rPr>
              <w:t>燃烧速率</w:t>
            </w:r>
          </w:p>
        </w:tc>
        <w:tc>
          <w:tcPr>
            <w:tcW w:w="0" w:type="auto"/>
            <w:vAlign w:val="center"/>
          </w:tcPr>
          <w:p w14:paraId="4385F3EA">
            <w:pPr>
              <w:rPr>
                <w:rFonts w:hint="eastAsia" w:ascii="宋体" w:hAnsi="宋体" w:eastAsia="宋体" w:cs="宋体"/>
                <w:sz w:val="18"/>
                <w:szCs w:val="18"/>
              </w:rPr>
            </w:pPr>
            <w:r>
              <w:rPr>
                <w:rFonts w:hint="eastAsia" w:ascii="宋体" w:hAnsi="宋体" w:eastAsia="宋体" w:cs="宋体"/>
                <w:sz w:val="18"/>
                <w:szCs w:val="18"/>
              </w:rPr>
              <w:t>极快（1-2秒气化燃烧）</w:t>
            </w:r>
          </w:p>
        </w:tc>
        <w:tc>
          <w:tcPr>
            <w:tcW w:w="0" w:type="auto"/>
            <w:vAlign w:val="center"/>
          </w:tcPr>
          <w:p w14:paraId="38435902">
            <w:pPr>
              <w:rPr>
                <w:rFonts w:hint="eastAsia" w:ascii="宋体" w:hAnsi="宋体" w:eastAsia="宋体" w:cs="宋体"/>
                <w:sz w:val="18"/>
                <w:szCs w:val="18"/>
              </w:rPr>
            </w:pPr>
            <w:r>
              <w:rPr>
                <w:rFonts w:hint="eastAsia" w:ascii="宋体" w:hAnsi="宋体" w:eastAsia="宋体" w:cs="宋体"/>
                <w:sz w:val="18"/>
                <w:szCs w:val="18"/>
              </w:rPr>
              <w:t>较慢（需预热分解）</w:t>
            </w:r>
          </w:p>
        </w:tc>
        <w:tc>
          <w:tcPr>
            <w:tcW w:w="0" w:type="auto"/>
            <w:vAlign w:val="center"/>
          </w:tcPr>
          <w:p w14:paraId="374819DC">
            <w:pPr>
              <w:rPr>
                <w:rFonts w:hint="eastAsia" w:ascii="宋体" w:hAnsi="宋体" w:eastAsia="宋体" w:cs="宋体"/>
                <w:sz w:val="18"/>
                <w:szCs w:val="18"/>
              </w:rPr>
            </w:pPr>
            <w:r>
              <w:rPr>
                <w:rFonts w:hint="eastAsia" w:ascii="宋体" w:hAnsi="宋体" w:eastAsia="宋体" w:cs="宋体"/>
                <w:sz w:val="18"/>
                <w:szCs w:val="18"/>
              </w:rPr>
              <w:t>必须分层进料匹配速率差异</w:t>
            </w:r>
          </w:p>
        </w:tc>
      </w:tr>
      <w:tr w14:paraId="60981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0" w:type="auto"/>
            <w:vAlign w:val="center"/>
          </w:tcPr>
          <w:p w14:paraId="2DEA1E74">
            <w:pPr>
              <w:rPr>
                <w:rFonts w:hint="eastAsia" w:ascii="宋体" w:hAnsi="宋体" w:eastAsia="宋体" w:cs="宋体"/>
                <w:sz w:val="18"/>
                <w:szCs w:val="18"/>
              </w:rPr>
            </w:pPr>
            <w:r>
              <w:rPr>
                <w:rFonts w:hint="eastAsia" w:ascii="宋体" w:hAnsi="宋体" w:eastAsia="宋体" w:cs="宋体"/>
                <w:sz w:val="18"/>
                <w:szCs w:val="18"/>
              </w:rPr>
              <w:t>铁含量</w:t>
            </w:r>
          </w:p>
        </w:tc>
        <w:tc>
          <w:tcPr>
            <w:tcW w:w="0" w:type="auto"/>
            <w:vAlign w:val="center"/>
          </w:tcPr>
          <w:p w14:paraId="43896FAB">
            <w:pPr>
              <w:rPr>
                <w:rFonts w:hint="eastAsia" w:ascii="宋体" w:hAnsi="宋体" w:eastAsia="宋体" w:cs="宋体"/>
                <w:sz w:val="18"/>
                <w:szCs w:val="18"/>
              </w:rPr>
            </w:pPr>
            <w:r>
              <w:rPr>
                <w:rFonts w:hint="eastAsia" w:ascii="宋体" w:hAnsi="宋体" w:eastAsia="宋体" w:cs="宋体"/>
                <w:sz w:val="18"/>
                <w:szCs w:val="18"/>
              </w:rPr>
              <w:t>＜0.69%</w:t>
            </w:r>
          </w:p>
        </w:tc>
        <w:tc>
          <w:tcPr>
            <w:tcW w:w="0" w:type="auto"/>
            <w:vAlign w:val="center"/>
          </w:tcPr>
          <w:p w14:paraId="468DE43E">
            <w:pPr>
              <w:rPr>
                <w:rFonts w:hint="eastAsia" w:ascii="宋体" w:hAnsi="宋体" w:eastAsia="宋体" w:cs="宋体"/>
                <w:sz w:val="18"/>
                <w:szCs w:val="18"/>
              </w:rPr>
            </w:pPr>
            <w:r>
              <w:rPr>
                <w:rFonts w:hint="eastAsia" w:ascii="宋体" w:hAnsi="宋体" w:eastAsia="宋体" w:cs="宋体"/>
                <w:sz w:val="18"/>
                <w:szCs w:val="18"/>
              </w:rPr>
              <w:t>~19%</w:t>
            </w:r>
          </w:p>
        </w:tc>
        <w:tc>
          <w:tcPr>
            <w:tcW w:w="0" w:type="auto"/>
            <w:vAlign w:val="center"/>
          </w:tcPr>
          <w:p w14:paraId="5612B12D">
            <w:pPr>
              <w:rPr>
                <w:rFonts w:hint="eastAsia" w:ascii="宋体" w:hAnsi="宋体" w:eastAsia="宋体" w:cs="宋体"/>
                <w:sz w:val="18"/>
                <w:szCs w:val="18"/>
              </w:rPr>
            </w:pPr>
            <w:r>
              <w:rPr>
                <w:rFonts w:hint="eastAsia" w:ascii="宋体" w:hAnsi="宋体" w:eastAsia="宋体" w:cs="宋体"/>
                <w:sz w:val="18"/>
                <w:szCs w:val="18"/>
              </w:rPr>
              <w:t>低品位矿贡献铁精粉收益</w:t>
            </w:r>
          </w:p>
        </w:tc>
      </w:tr>
      <w:tr w14:paraId="1C486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0" w:type="auto"/>
            <w:vAlign w:val="center"/>
          </w:tcPr>
          <w:p w14:paraId="7F9C9852">
            <w:pPr>
              <w:rPr>
                <w:rFonts w:hint="eastAsia" w:ascii="宋体" w:hAnsi="宋体" w:eastAsia="宋体" w:cs="宋体"/>
                <w:sz w:val="18"/>
                <w:szCs w:val="18"/>
              </w:rPr>
            </w:pPr>
            <w:r>
              <w:rPr>
                <w:rFonts w:hint="eastAsia" w:ascii="宋体" w:hAnsi="宋体" w:eastAsia="宋体" w:cs="宋体"/>
                <w:sz w:val="18"/>
                <w:szCs w:val="18"/>
              </w:rPr>
              <w:t>脉石成分</w:t>
            </w:r>
          </w:p>
        </w:tc>
        <w:tc>
          <w:tcPr>
            <w:tcW w:w="0" w:type="auto"/>
            <w:vAlign w:val="center"/>
          </w:tcPr>
          <w:p w14:paraId="186DEAA7">
            <w:pPr>
              <w:rPr>
                <w:rFonts w:hint="eastAsia" w:ascii="宋体" w:hAnsi="宋体" w:eastAsia="宋体" w:cs="宋体"/>
                <w:sz w:val="18"/>
                <w:szCs w:val="18"/>
              </w:rPr>
            </w:pPr>
            <w:r>
              <w:rPr>
                <w:rFonts w:hint="eastAsia" w:ascii="宋体" w:hAnsi="宋体" w:eastAsia="宋体" w:cs="宋体"/>
                <w:sz w:val="18"/>
                <w:szCs w:val="18"/>
              </w:rPr>
              <w:t>SiO₂~33%</w:t>
            </w:r>
          </w:p>
        </w:tc>
        <w:tc>
          <w:tcPr>
            <w:tcW w:w="0" w:type="auto"/>
            <w:vAlign w:val="center"/>
          </w:tcPr>
          <w:p w14:paraId="63DBF42B">
            <w:pPr>
              <w:rPr>
                <w:rFonts w:hint="eastAsia" w:ascii="宋体" w:hAnsi="宋体" w:eastAsia="宋体" w:cs="宋体"/>
                <w:sz w:val="18"/>
                <w:szCs w:val="18"/>
              </w:rPr>
            </w:pPr>
            <w:r>
              <w:rPr>
                <w:rFonts w:hint="eastAsia" w:ascii="宋体" w:hAnsi="宋体" w:eastAsia="宋体" w:cs="宋体"/>
                <w:sz w:val="18"/>
                <w:szCs w:val="18"/>
              </w:rPr>
              <w:t>SiO₂~35%</w:t>
            </w:r>
          </w:p>
        </w:tc>
        <w:tc>
          <w:tcPr>
            <w:tcW w:w="0" w:type="auto"/>
            <w:vAlign w:val="center"/>
          </w:tcPr>
          <w:p w14:paraId="6B006E8E">
            <w:pPr>
              <w:rPr>
                <w:rFonts w:hint="eastAsia" w:ascii="宋体" w:hAnsi="宋体" w:eastAsia="宋体" w:cs="宋体"/>
                <w:sz w:val="18"/>
                <w:szCs w:val="18"/>
              </w:rPr>
            </w:pPr>
            <w:r>
              <w:rPr>
                <w:rFonts w:hint="eastAsia" w:ascii="宋体" w:hAnsi="宋体" w:eastAsia="宋体" w:cs="宋体"/>
                <w:sz w:val="18"/>
                <w:szCs w:val="18"/>
              </w:rPr>
              <w:t>两者脉石性质接近</w:t>
            </w:r>
          </w:p>
        </w:tc>
      </w:tr>
    </w:tbl>
    <w:p w14:paraId="5BD185DC">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bCs/>
        </w:rPr>
      </w:pPr>
      <w:r>
        <w:rPr>
          <w:rFonts w:hint="eastAsia" w:ascii="宋体" w:hAnsi="宋体" w:eastAsia="宋体" w:cs="宋体"/>
          <w:b/>
          <w:bCs/>
        </w:rPr>
        <w:t>3 协同掺烧方案设计</w:t>
      </w:r>
    </w:p>
    <w:p w14:paraId="36A575B2">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bCs/>
        </w:rPr>
      </w:pPr>
      <w:r>
        <w:rPr>
          <w:rFonts w:hint="eastAsia" w:ascii="宋体" w:hAnsi="宋体" w:eastAsia="宋体" w:cs="宋体"/>
          <w:b/>
          <w:bCs/>
        </w:rPr>
        <w:t>3.1 进料方式选择：预混与分层的工业实践对比</w:t>
      </w:r>
    </w:p>
    <w:p w14:paraId="113CC6A7">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rPr>
      </w:pPr>
      <w:r>
        <w:rPr>
          <w:rFonts w:hint="eastAsia" w:ascii="宋体" w:hAnsi="宋体" w:eastAsia="宋体" w:cs="宋体"/>
        </w:rPr>
        <w:t>在方案设计初期，本研究考虑了将两种原料预先混合后统一进料的简化方案。然而，对国内多家硫酸厂工业实践的调研表明，预混进料路线存在三个难以逾越的技术障碍：</w:t>
      </w:r>
    </w:p>
    <w:p w14:paraId="3C1A3C8C">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rPr>
      </w:pPr>
      <w:r>
        <w:rPr>
          <w:rFonts w:hint="eastAsia" w:ascii="宋体" w:hAnsi="宋体" w:eastAsia="宋体" w:cs="宋体"/>
        </w:rPr>
        <w:t>（1）局部爆燃与结渣风险。 预混料不可能达到分子级均匀，批次混合中必然存在硫磺局部富集的微区。当这些微区进入850℃的沸腾层时，硫磺在1-2秒内完成气化和燃烧，瞬间释放全部热量，局部温度可飙升至1,300℃以上，远超矿渣熔点。熔化的矿渣形成“熔渣球”并迅速长大，最终堵塞风帽孔，导致沸腾床局部死床甚至全床瘫痪。据了解，多家企业曾尝试预混进料，因局部超温结渣、粉尘爆炸风险等问题未能实现连续稳定运行，最短运行8小时即被迫停炉清渣。</w:t>
      </w:r>
    </w:p>
    <w:p w14:paraId="423FE39D">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rPr>
      </w:pPr>
      <w:r>
        <w:rPr>
          <w:rFonts w:hint="eastAsia" w:ascii="宋体" w:hAnsi="宋体" w:eastAsia="宋体" w:cs="宋体"/>
        </w:rPr>
        <w:t>（2）粉尘爆炸风险。 硫磺在破碎、筛分和预混过程中产生大量超细粉尘。硫磺粉尘的爆炸下限仅2.3 g/m³，一个静电火花即可引发爆炸。预混工艺中料仓和输送系统的粉尘浓度可能超安全限值10倍以上，构成重大安全隐患。</w:t>
      </w:r>
    </w:p>
    <w:p w14:paraId="0D41A856">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rPr>
      </w:pPr>
      <w:r>
        <w:rPr>
          <w:rFonts w:hint="eastAsia" w:ascii="宋体" w:hAnsi="宋体" w:eastAsia="宋体" w:cs="宋体"/>
        </w:rPr>
        <w:t>（3）控制仪表响应滞后。 沸腾炉热电偶的响应时间通常为10-30秒，给料机调整后物料到达沸腾层的时间为5-10秒。这意味着从硫磺爆燃释放热量到仪表检测到温度变化，再到给料速度调整生效，总延迟达15-40秒。而在此时间内，该批次硫磺已燃烧殆尽。基于温控反馈调节给料速度的控制策略，在如此大的滞后下无法有效控制炉温。</w:t>
      </w:r>
    </w:p>
    <w:p w14:paraId="0DBFB907">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rPr>
      </w:pPr>
      <w:r>
        <w:rPr>
          <w:rFonts w:hint="eastAsia" w:ascii="宋体" w:hAnsi="宋体" w:eastAsia="宋体" w:cs="宋体"/>
        </w:rPr>
        <w:t>需要特别说明的是，少量工业硫磺掺烧与高比例天然硫矿协同焙烧属于不同工况。前者通常以硫铁矿为主体热源，工业硫磺仅作为补充硫源或SO₂浓度调节手段，掺烧比例较低，对床层热平衡影响有限；后者中天然硫矿单质硫含量较高，热释放速度快，对炉温场和烟气燃尽条件的影响更为显著。因此，低比例工业硫磺掺烧的进料方式不能简单套用于高比例天然硫矿方案。</w:t>
      </w:r>
    </w:p>
    <w:p w14:paraId="17DC48C0">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rPr>
      </w:pPr>
      <w:r>
        <w:rPr>
          <w:rFonts w:hint="eastAsia" w:ascii="宋体" w:hAnsi="宋体" w:eastAsia="宋体" w:cs="宋体"/>
        </w:rPr>
        <w:t>对于高比例天然硫矿参与焙烧的工况，建议优先采用独立计量、分路或分层进料方式，使天然硫矿在高温、富氧、停留时间充足的区域尽快燃尽，以避免硫蒸汽未充分燃尽导致后续设备中硫冷凝沉积的风险；同时使低品位硫铁矿在另一给料区域缓慢反应并参与床层热量调节。两种原料在炉内不同空间完成燃烧，形成错位燃烧和热释放匹配。具体进料位置、高差、配比和风量匹配应由企业结合炉型和试烧数据确定。</w:t>
      </w:r>
    </w:p>
    <w:p w14:paraId="46DA7CCF">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bCs/>
        </w:rPr>
      </w:pPr>
      <w:r>
        <w:rPr>
          <w:rFonts w:hint="eastAsia" w:ascii="宋体" w:hAnsi="宋体" w:eastAsia="宋体" w:cs="宋体"/>
          <w:b/>
          <w:bCs/>
        </w:rPr>
        <w:t>3.2 配比优化与物料衡算</w:t>
      </w:r>
    </w:p>
    <w:p w14:paraId="08FA2271">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rPr>
      </w:pPr>
      <w:r>
        <w:rPr>
          <w:rFonts w:hint="eastAsia" w:ascii="宋体" w:hAnsi="宋体" w:eastAsia="宋体" w:cs="宋体"/>
        </w:rPr>
        <w:t>根据沸腾炉安全运行要求，入炉混合料硫含量宜控制在28%-32%区间（具体上限因炉型而异）。本文以1吨55%天然硫矿为基准，从物料平衡角度进行理论配比测算，结果如下：</w:t>
      </w:r>
    </w:p>
    <w:p w14:paraId="9A60B20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rPr>
      </w:pPr>
      <w:r>
        <w:rPr>
          <w:rFonts w:hint="eastAsia" w:ascii="宋体" w:hAnsi="宋体" w:eastAsia="宋体" w:cs="宋体"/>
          <w:b/>
          <w:bCs/>
        </w:rPr>
        <w:t>表4 推荐配比方案（1:2.5，</w:t>
      </w:r>
      <w:r>
        <w:rPr>
          <w:rFonts w:hint="eastAsia" w:ascii="宋体" w:hAnsi="宋体" w:eastAsia="宋体" w:cs="宋体"/>
          <w:b/>
          <w:bCs/>
          <w:lang w:val="en-US" w:eastAsia="zh-CN"/>
        </w:rPr>
        <w:t>基础</w:t>
      </w:r>
      <w:r>
        <w:rPr>
          <w:rFonts w:hint="eastAsia" w:ascii="宋体" w:hAnsi="宋体" w:eastAsia="宋体" w:cs="宋体"/>
          <w:b/>
          <w:bCs/>
        </w:rPr>
        <w:t>测算，非固定操作参数）</w:t>
      </w:r>
    </w:p>
    <w:tbl>
      <w:tblPr>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1455"/>
        <w:gridCol w:w="1455"/>
        <w:gridCol w:w="1455"/>
        <w:gridCol w:w="1455"/>
        <w:gridCol w:w="1455"/>
        <w:gridCol w:w="1455"/>
      </w:tblGrid>
      <w:tr w14:paraId="605D1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0" w:type="auto"/>
            <w:vAlign w:val="center"/>
          </w:tcPr>
          <w:p w14:paraId="325F5B35">
            <w:pPr>
              <w:rPr>
                <w:sz w:val="18"/>
                <w:szCs w:val="18"/>
              </w:rPr>
            </w:pPr>
            <w:r>
              <w:rPr>
                <w:rFonts w:hint="eastAsia" w:ascii="宋体" w:hAnsi="宋体" w:eastAsia="宋体" w:cs="宋体"/>
                <w:kern w:val="2"/>
                <w:sz w:val="18"/>
                <w:szCs w:val="18"/>
                <w:lang w:val="en-US" w:eastAsia="zh-CN" w:bidi="ar-SA"/>
              </w:rPr>
              <w:t>物料</w:t>
            </w:r>
          </w:p>
        </w:tc>
        <w:tc>
          <w:tcPr>
            <w:tcW w:w="0" w:type="auto"/>
            <w:vAlign w:val="center"/>
          </w:tcPr>
          <w:p w14:paraId="578AAA74">
            <w:pPr>
              <w:jc w:val="center"/>
              <w:rPr>
                <w:sz w:val="18"/>
                <w:szCs w:val="18"/>
              </w:rPr>
            </w:pPr>
            <w:r>
              <w:rPr>
                <w:rFonts w:hint="eastAsia" w:ascii="宋体" w:hAnsi="宋体" w:eastAsia="宋体" w:cs="宋体"/>
                <w:kern w:val="2"/>
                <w:sz w:val="18"/>
                <w:szCs w:val="18"/>
                <w:lang w:val="en-US" w:eastAsia="zh-CN" w:bidi="ar-SA"/>
              </w:rPr>
              <w:t>数量（吨）</w:t>
            </w:r>
          </w:p>
        </w:tc>
        <w:tc>
          <w:tcPr>
            <w:tcW w:w="0" w:type="auto"/>
            <w:vAlign w:val="center"/>
          </w:tcPr>
          <w:p w14:paraId="548C8F03">
            <w:pPr>
              <w:jc w:val="center"/>
              <w:rPr>
                <w:sz w:val="18"/>
                <w:szCs w:val="18"/>
              </w:rPr>
            </w:pPr>
            <w:r>
              <w:rPr>
                <w:rFonts w:hint="eastAsia" w:ascii="宋体" w:hAnsi="宋体" w:eastAsia="宋体" w:cs="宋体"/>
                <w:kern w:val="2"/>
                <w:sz w:val="18"/>
                <w:szCs w:val="18"/>
                <w:lang w:val="en-US" w:eastAsia="zh-CN" w:bidi="ar-SA"/>
              </w:rPr>
              <w:t>硫含量</w:t>
            </w:r>
          </w:p>
        </w:tc>
        <w:tc>
          <w:tcPr>
            <w:tcW w:w="0" w:type="auto"/>
            <w:vAlign w:val="center"/>
          </w:tcPr>
          <w:p w14:paraId="175E3722">
            <w:pPr>
              <w:jc w:val="center"/>
              <w:rPr>
                <w:sz w:val="18"/>
                <w:szCs w:val="18"/>
              </w:rPr>
            </w:pPr>
            <w:r>
              <w:rPr>
                <w:rFonts w:hint="eastAsia" w:ascii="宋体" w:hAnsi="宋体" w:eastAsia="宋体" w:cs="宋体"/>
                <w:kern w:val="2"/>
                <w:sz w:val="18"/>
                <w:szCs w:val="18"/>
                <w:lang w:val="en-US" w:eastAsia="zh-CN" w:bidi="ar-SA"/>
              </w:rPr>
              <w:t>纯硫量（吨）</w:t>
            </w:r>
          </w:p>
        </w:tc>
        <w:tc>
          <w:tcPr>
            <w:tcW w:w="0" w:type="auto"/>
            <w:vAlign w:val="center"/>
          </w:tcPr>
          <w:p w14:paraId="2A605909">
            <w:pPr>
              <w:jc w:val="center"/>
              <w:rPr>
                <w:sz w:val="18"/>
                <w:szCs w:val="18"/>
              </w:rPr>
            </w:pPr>
            <w:r>
              <w:rPr>
                <w:rFonts w:hint="eastAsia" w:ascii="宋体" w:hAnsi="宋体" w:eastAsia="宋体" w:cs="宋体"/>
                <w:kern w:val="2"/>
                <w:sz w:val="18"/>
                <w:szCs w:val="18"/>
                <w:lang w:val="en-US" w:eastAsia="zh-CN" w:bidi="ar-SA"/>
              </w:rPr>
              <w:t>铁含量</w:t>
            </w:r>
          </w:p>
        </w:tc>
        <w:tc>
          <w:tcPr>
            <w:tcW w:w="0" w:type="auto"/>
            <w:vAlign w:val="center"/>
          </w:tcPr>
          <w:p w14:paraId="1FE20C33">
            <w:pPr>
              <w:jc w:val="center"/>
              <w:rPr>
                <w:sz w:val="18"/>
                <w:szCs w:val="18"/>
              </w:rPr>
            </w:pPr>
            <w:r>
              <w:rPr>
                <w:rFonts w:hint="eastAsia" w:ascii="宋体" w:hAnsi="宋体" w:eastAsia="宋体" w:cs="宋体"/>
                <w:kern w:val="2"/>
                <w:sz w:val="18"/>
                <w:szCs w:val="18"/>
                <w:lang w:val="en-US" w:eastAsia="zh-CN" w:bidi="ar-SA"/>
              </w:rPr>
              <w:t>铁量（吨）</w:t>
            </w:r>
          </w:p>
        </w:tc>
      </w:tr>
      <w:tr w14:paraId="42E24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0" w:type="auto"/>
            <w:vAlign w:val="center"/>
          </w:tcPr>
          <w:p w14:paraId="7EF275DB">
            <w:pPr>
              <w:rPr>
                <w:sz w:val="18"/>
                <w:szCs w:val="18"/>
              </w:rPr>
            </w:pPr>
            <w:r>
              <w:rPr>
                <w:rFonts w:hint="eastAsia" w:ascii="宋体" w:hAnsi="宋体" w:eastAsia="宋体" w:cs="宋体"/>
                <w:kern w:val="2"/>
                <w:sz w:val="18"/>
                <w:szCs w:val="18"/>
                <w:lang w:val="en-US" w:eastAsia="zh-CN" w:bidi="ar-SA"/>
              </w:rPr>
              <w:t>天然硫矿</w:t>
            </w:r>
          </w:p>
        </w:tc>
        <w:tc>
          <w:tcPr>
            <w:tcW w:w="0" w:type="auto"/>
            <w:vAlign w:val="center"/>
          </w:tcPr>
          <w:p w14:paraId="63DDC762">
            <w:pPr>
              <w:jc w:val="center"/>
              <w:rPr>
                <w:sz w:val="18"/>
                <w:szCs w:val="18"/>
              </w:rPr>
            </w:pPr>
            <w:r>
              <w:rPr>
                <w:rFonts w:hint="eastAsia" w:ascii="宋体" w:hAnsi="宋体" w:eastAsia="宋体" w:cs="宋体"/>
                <w:kern w:val="2"/>
                <w:sz w:val="18"/>
                <w:szCs w:val="18"/>
                <w:lang w:val="en-US" w:eastAsia="zh-CN" w:bidi="ar-SA"/>
              </w:rPr>
              <w:t>1.0</w:t>
            </w:r>
          </w:p>
        </w:tc>
        <w:tc>
          <w:tcPr>
            <w:tcW w:w="0" w:type="auto"/>
            <w:vAlign w:val="center"/>
          </w:tcPr>
          <w:p w14:paraId="4473DC9C">
            <w:pPr>
              <w:jc w:val="center"/>
              <w:rPr>
                <w:sz w:val="18"/>
                <w:szCs w:val="18"/>
              </w:rPr>
            </w:pPr>
            <w:r>
              <w:rPr>
                <w:rFonts w:hint="eastAsia" w:ascii="宋体" w:hAnsi="宋体" w:eastAsia="宋体" w:cs="宋体"/>
                <w:kern w:val="2"/>
                <w:sz w:val="18"/>
                <w:szCs w:val="18"/>
                <w:lang w:val="en-US" w:eastAsia="zh-CN" w:bidi="ar-SA"/>
              </w:rPr>
              <w:t>55%</w:t>
            </w:r>
          </w:p>
        </w:tc>
        <w:tc>
          <w:tcPr>
            <w:tcW w:w="0" w:type="auto"/>
            <w:vAlign w:val="center"/>
          </w:tcPr>
          <w:p w14:paraId="26D61F9D">
            <w:pPr>
              <w:jc w:val="center"/>
              <w:rPr>
                <w:sz w:val="18"/>
                <w:szCs w:val="18"/>
              </w:rPr>
            </w:pPr>
            <w:r>
              <w:rPr>
                <w:rFonts w:hint="eastAsia" w:ascii="宋体" w:hAnsi="宋体" w:eastAsia="宋体" w:cs="宋体"/>
                <w:kern w:val="2"/>
                <w:sz w:val="18"/>
                <w:szCs w:val="18"/>
                <w:lang w:val="en-US" w:eastAsia="zh-CN" w:bidi="ar-SA"/>
              </w:rPr>
              <w:t>0.550</w:t>
            </w:r>
          </w:p>
        </w:tc>
        <w:tc>
          <w:tcPr>
            <w:tcW w:w="0" w:type="auto"/>
            <w:vAlign w:val="center"/>
          </w:tcPr>
          <w:p w14:paraId="45A03759">
            <w:pPr>
              <w:jc w:val="center"/>
              <w:rPr>
                <w:sz w:val="18"/>
                <w:szCs w:val="18"/>
              </w:rPr>
            </w:pPr>
            <w:r>
              <w:rPr>
                <w:rFonts w:hint="eastAsia" w:ascii="宋体" w:hAnsi="宋体" w:eastAsia="宋体" w:cs="宋体"/>
                <w:kern w:val="2"/>
                <w:sz w:val="18"/>
                <w:szCs w:val="18"/>
                <w:lang w:val="en-US" w:eastAsia="zh-CN" w:bidi="ar-SA"/>
              </w:rPr>
              <w:t>＜0.69%</w:t>
            </w:r>
          </w:p>
        </w:tc>
        <w:tc>
          <w:tcPr>
            <w:tcW w:w="0" w:type="auto"/>
            <w:vAlign w:val="center"/>
          </w:tcPr>
          <w:p w14:paraId="214CAA9A">
            <w:pPr>
              <w:jc w:val="center"/>
              <w:rPr>
                <w:sz w:val="18"/>
                <w:szCs w:val="18"/>
              </w:rPr>
            </w:pPr>
            <w:r>
              <w:rPr>
                <w:rFonts w:hint="eastAsia" w:ascii="宋体" w:hAnsi="宋体" w:eastAsia="宋体" w:cs="宋体"/>
                <w:kern w:val="2"/>
                <w:sz w:val="18"/>
                <w:szCs w:val="18"/>
                <w:lang w:val="en-US" w:eastAsia="zh-CN" w:bidi="ar-SA"/>
              </w:rPr>
              <w:t>—</w:t>
            </w:r>
          </w:p>
        </w:tc>
      </w:tr>
      <w:tr w14:paraId="7A6C3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0" w:type="auto"/>
            <w:vAlign w:val="center"/>
          </w:tcPr>
          <w:p w14:paraId="39E3945A">
            <w:pPr>
              <w:rPr>
                <w:sz w:val="18"/>
                <w:szCs w:val="18"/>
              </w:rPr>
            </w:pPr>
            <w:r>
              <w:rPr>
                <w:rFonts w:hint="eastAsia" w:ascii="宋体" w:hAnsi="宋体" w:eastAsia="宋体" w:cs="宋体"/>
                <w:kern w:val="2"/>
                <w:sz w:val="18"/>
                <w:szCs w:val="18"/>
                <w:lang w:val="en-US" w:eastAsia="zh-CN" w:bidi="ar-SA"/>
              </w:rPr>
              <w:t>低品位硫铁矿</w:t>
            </w:r>
          </w:p>
        </w:tc>
        <w:tc>
          <w:tcPr>
            <w:tcW w:w="0" w:type="auto"/>
            <w:vAlign w:val="center"/>
          </w:tcPr>
          <w:p w14:paraId="16F11C9B">
            <w:pPr>
              <w:jc w:val="center"/>
              <w:rPr>
                <w:sz w:val="18"/>
                <w:szCs w:val="18"/>
              </w:rPr>
            </w:pPr>
            <w:r>
              <w:rPr>
                <w:rFonts w:hint="eastAsia" w:ascii="宋体" w:hAnsi="宋体" w:eastAsia="宋体" w:cs="宋体"/>
                <w:kern w:val="2"/>
                <w:sz w:val="18"/>
                <w:szCs w:val="18"/>
                <w:lang w:val="en-US" w:eastAsia="zh-CN" w:bidi="ar-SA"/>
              </w:rPr>
              <w:t>2.5</w:t>
            </w:r>
          </w:p>
        </w:tc>
        <w:tc>
          <w:tcPr>
            <w:tcW w:w="0" w:type="auto"/>
            <w:vAlign w:val="center"/>
          </w:tcPr>
          <w:p w14:paraId="06072A4B">
            <w:pPr>
              <w:jc w:val="center"/>
              <w:rPr>
                <w:sz w:val="18"/>
                <w:szCs w:val="18"/>
              </w:rPr>
            </w:pPr>
            <w:r>
              <w:rPr>
                <w:rFonts w:hint="eastAsia" w:ascii="宋体" w:hAnsi="宋体" w:eastAsia="宋体" w:cs="宋体"/>
                <w:kern w:val="2"/>
                <w:sz w:val="18"/>
                <w:szCs w:val="18"/>
                <w:lang w:val="en-US" w:eastAsia="zh-CN" w:bidi="ar-SA"/>
              </w:rPr>
              <w:t>22%</w:t>
            </w:r>
          </w:p>
        </w:tc>
        <w:tc>
          <w:tcPr>
            <w:tcW w:w="0" w:type="auto"/>
            <w:vAlign w:val="center"/>
          </w:tcPr>
          <w:p w14:paraId="275939FD">
            <w:pPr>
              <w:jc w:val="center"/>
              <w:rPr>
                <w:sz w:val="18"/>
                <w:szCs w:val="18"/>
              </w:rPr>
            </w:pPr>
            <w:r>
              <w:rPr>
                <w:rFonts w:hint="eastAsia" w:ascii="宋体" w:hAnsi="宋体" w:eastAsia="宋体" w:cs="宋体"/>
                <w:kern w:val="2"/>
                <w:sz w:val="18"/>
                <w:szCs w:val="18"/>
                <w:lang w:val="en-US" w:eastAsia="zh-CN" w:bidi="ar-SA"/>
              </w:rPr>
              <w:t>0.550</w:t>
            </w:r>
          </w:p>
        </w:tc>
        <w:tc>
          <w:tcPr>
            <w:tcW w:w="0" w:type="auto"/>
            <w:vAlign w:val="center"/>
          </w:tcPr>
          <w:p w14:paraId="30CBC0DC">
            <w:pPr>
              <w:jc w:val="center"/>
              <w:rPr>
                <w:sz w:val="18"/>
                <w:szCs w:val="18"/>
              </w:rPr>
            </w:pPr>
            <w:r>
              <w:rPr>
                <w:rFonts w:hint="eastAsia" w:ascii="宋体" w:hAnsi="宋体" w:eastAsia="宋体" w:cs="宋体"/>
                <w:kern w:val="2"/>
                <w:sz w:val="18"/>
                <w:szCs w:val="18"/>
                <w:lang w:val="en-US" w:eastAsia="zh-CN" w:bidi="ar-SA"/>
              </w:rPr>
              <w:t>~19%</w:t>
            </w:r>
          </w:p>
        </w:tc>
        <w:tc>
          <w:tcPr>
            <w:tcW w:w="0" w:type="auto"/>
            <w:vAlign w:val="center"/>
          </w:tcPr>
          <w:p w14:paraId="5B0F9E90">
            <w:pPr>
              <w:jc w:val="center"/>
              <w:rPr>
                <w:sz w:val="18"/>
                <w:szCs w:val="18"/>
              </w:rPr>
            </w:pPr>
            <w:r>
              <w:rPr>
                <w:rFonts w:hint="eastAsia" w:ascii="宋体" w:hAnsi="宋体" w:eastAsia="宋体" w:cs="宋体"/>
                <w:kern w:val="2"/>
                <w:sz w:val="18"/>
                <w:szCs w:val="18"/>
                <w:lang w:val="en-US" w:eastAsia="zh-CN" w:bidi="ar-SA"/>
              </w:rPr>
              <w:t>0.475</w:t>
            </w:r>
          </w:p>
        </w:tc>
      </w:tr>
      <w:tr w14:paraId="2D6C4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0" w:type="auto"/>
            <w:vAlign w:val="center"/>
          </w:tcPr>
          <w:p w14:paraId="3C4D7751">
            <w:pPr>
              <w:rPr>
                <w:sz w:val="18"/>
                <w:szCs w:val="18"/>
              </w:rPr>
            </w:pPr>
            <w:r>
              <w:rPr>
                <w:rFonts w:hint="eastAsia" w:ascii="宋体" w:hAnsi="宋体" w:eastAsia="宋体" w:cs="宋体"/>
                <w:kern w:val="2"/>
                <w:sz w:val="18"/>
                <w:szCs w:val="18"/>
                <w:lang w:val="en-US" w:eastAsia="zh-CN" w:bidi="ar-SA"/>
              </w:rPr>
              <w:t>入炉混合料</w:t>
            </w:r>
          </w:p>
        </w:tc>
        <w:tc>
          <w:tcPr>
            <w:tcW w:w="0" w:type="auto"/>
            <w:vAlign w:val="center"/>
          </w:tcPr>
          <w:p w14:paraId="0B371115">
            <w:pPr>
              <w:jc w:val="center"/>
              <w:rPr>
                <w:sz w:val="18"/>
                <w:szCs w:val="18"/>
              </w:rPr>
            </w:pPr>
            <w:r>
              <w:rPr>
                <w:rFonts w:hint="eastAsia" w:ascii="宋体" w:hAnsi="宋体" w:eastAsia="宋体" w:cs="宋体"/>
                <w:kern w:val="2"/>
                <w:sz w:val="18"/>
                <w:szCs w:val="18"/>
                <w:lang w:val="en-US" w:eastAsia="zh-CN" w:bidi="ar-SA"/>
              </w:rPr>
              <w:t>3.5</w:t>
            </w:r>
          </w:p>
        </w:tc>
        <w:tc>
          <w:tcPr>
            <w:tcW w:w="0" w:type="auto"/>
            <w:vAlign w:val="center"/>
          </w:tcPr>
          <w:p w14:paraId="3B0849D3">
            <w:pPr>
              <w:jc w:val="center"/>
              <w:rPr>
                <w:sz w:val="18"/>
                <w:szCs w:val="18"/>
              </w:rPr>
            </w:pPr>
            <w:r>
              <w:rPr>
                <w:rFonts w:hint="eastAsia" w:ascii="宋体" w:hAnsi="宋体" w:eastAsia="宋体" w:cs="宋体"/>
                <w:kern w:val="2"/>
                <w:sz w:val="18"/>
                <w:szCs w:val="18"/>
                <w:lang w:val="en-US" w:eastAsia="zh-CN" w:bidi="ar-SA"/>
              </w:rPr>
              <w:t>—</w:t>
            </w:r>
          </w:p>
        </w:tc>
        <w:tc>
          <w:tcPr>
            <w:tcW w:w="0" w:type="auto"/>
            <w:vAlign w:val="center"/>
          </w:tcPr>
          <w:p w14:paraId="6DE1D468">
            <w:pPr>
              <w:jc w:val="center"/>
              <w:rPr>
                <w:sz w:val="18"/>
                <w:szCs w:val="18"/>
              </w:rPr>
            </w:pPr>
            <w:r>
              <w:rPr>
                <w:rFonts w:hint="eastAsia" w:ascii="宋体" w:hAnsi="宋体" w:eastAsia="宋体" w:cs="宋体"/>
                <w:kern w:val="2"/>
                <w:sz w:val="18"/>
                <w:szCs w:val="18"/>
                <w:lang w:val="en-US" w:eastAsia="zh-CN" w:bidi="ar-SA"/>
              </w:rPr>
              <w:t>1.100</w:t>
            </w:r>
          </w:p>
        </w:tc>
        <w:tc>
          <w:tcPr>
            <w:tcW w:w="0" w:type="auto"/>
            <w:vAlign w:val="center"/>
          </w:tcPr>
          <w:p w14:paraId="7934FC70">
            <w:pPr>
              <w:jc w:val="center"/>
              <w:rPr>
                <w:sz w:val="18"/>
                <w:szCs w:val="18"/>
              </w:rPr>
            </w:pPr>
            <w:r>
              <w:rPr>
                <w:rFonts w:hint="eastAsia" w:ascii="宋体" w:hAnsi="宋体" w:eastAsia="宋体" w:cs="宋体"/>
                <w:kern w:val="2"/>
                <w:sz w:val="18"/>
                <w:szCs w:val="18"/>
                <w:lang w:val="en-US" w:eastAsia="zh-CN" w:bidi="ar-SA"/>
              </w:rPr>
              <w:t>—</w:t>
            </w:r>
          </w:p>
        </w:tc>
        <w:tc>
          <w:tcPr>
            <w:tcW w:w="0" w:type="auto"/>
            <w:vAlign w:val="center"/>
          </w:tcPr>
          <w:p w14:paraId="0E04DD0F">
            <w:pPr>
              <w:jc w:val="center"/>
              <w:rPr>
                <w:sz w:val="18"/>
                <w:szCs w:val="18"/>
              </w:rPr>
            </w:pPr>
            <w:r>
              <w:rPr>
                <w:rFonts w:hint="eastAsia" w:ascii="宋体" w:hAnsi="宋体" w:eastAsia="宋体" w:cs="宋体"/>
                <w:kern w:val="2"/>
                <w:sz w:val="18"/>
                <w:szCs w:val="18"/>
                <w:lang w:val="en-US" w:eastAsia="zh-CN" w:bidi="ar-SA"/>
              </w:rPr>
              <w:t>0.475</w:t>
            </w:r>
          </w:p>
        </w:tc>
      </w:tr>
    </w:tbl>
    <w:p w14:paraId="70523719">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rPr>
      </w:pPr>
      <w:r>
        <w:rPr>
          <w:rFonts w:hint="eastAsia" w:ascii="宋体" w:hAnsi="宋体" w:eastAsia="宋体" w:cs="宋体"/>
        </w:rPr>
        <w:t>需要指出的是，上述“1:2.5”的配比是基于硫含量加权平均得出的</w:t>
      </w:r>
      <w:r>
        <w:rPr>
          <w:rFonts w:hint="eastAsia" w:ascii="宋体" w:hAnsi="宋体" w:eastAsia="宋体" w:cs="宋体"/>
          <w:lang w:val="en-US" w:eastAsia="zh-CN"/>
        </w:rPr>
        <w:t>预估</w:t>
      </w:r>
      <w:r>
        <w:rPr>
          <w:rFonts w:hint="eastAsia" w:ascii="宋体" w:hAnsi="宋体" w:eastAsia="宋体" w:cs="宋体"/>
        </w:rPr>
        <w:t>测算值。硫含量加权平均方法仅考虑了两种原料的含硫量算术组合，未涉及燃烧速率匹配、炉温场分布、燃尽特性等实际工程因素。因此，该配比可作为经济技术分析和试烧配比起点的参考，但不能直接作为生产操作的固定依据。</w:t>
      </w:r>
    </w:p>
    <w:p w14:paraId="52DD3B36">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rPr>
      </w:pPr>
      <w:r>
        <w:rPr>
          <w:rFonts w:hint="eastAsia" w:ascii="宋体" w:hAnsi="宋体" w:eastAsia="宋体" w:cs="宋体"/>
        </w:rPr>
        <w:t>实际运行配比的确定，应采用梯级掺入法进行工业试烧验证。该方法的核心是从安全可靠的基准工况（纯低品位硫铁矿运行）出发，以干基质量比例约5%的初始比例引入天然硫矿，随后以2%-3%为步长逐步提高天然硫矿占比，每次调整后稳定运行不少于2小时，以炉温、SO₂浓度、O₂含量、排渣状态、炉渣残硫等实际运行参数为判断依据。当运行参数处于可接受范围内时，将当前比例确定为该炉型和该批次原料的运行配比。梯级掺入法不依赖任何预设的固定配比，而是以实际运行数据为唯一判断标准，能够适应不同炉型条件和原料批次波动。具体试烧方法和步骤参见本文第6章。</w:t>
      </w:r>
    </w:p>
    <w:p w14:paraId="54D25883">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rPr>
      </w:pPr>
      <w:r>
        <w:rPr>
          <w:rFonts w:hint="eastAsia" w:ascii="宋体" w:hAnsi="宋体" w:eastAsia="宋体" w:cs="宋体"/>
        </w:rPr>
        <w:t>配比优化遵循“边际收益为正”原则：每增加1吨22%低品位硫铁矿，可贡献0.22吨纯硫（折硫酸约0.69吨）及约0.16吨铁精粉，边际产出价值远大于其原料采购成本（约120元/吨）。在沸腾炉总进料量和炉温控制能力允许的前提下，配比可适度上浮。但最终适宜配比需结合具体炉型、风量、SO₂浓度、余热锅炉负荷等因素，通过小试和工业试烧确定，并非越高越好。边际收益的具体数值因硫酸售价、铁精粉价格、加工费等因素而异，以实际测算为准。</w:t>
      </w:r>
    </w:p>
    <w:p w14:paraId="71A743A3">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rPr>
      </w:pPr>
      <w:r>
        <w:rPr>
          <w:rFonts w:hint="eastAsia" w:ascii="宋体" w:hAnsi="宋体" w:eastAsia="宋体" w:cs="宋体"/>
        </w:rPr>
        <w:t>以总硫1.10吨为基准，硫焙烧及转化综合收率取行业常规水平，理论98%硫酸产量约3.47吨，实际产量以试烧物料平衡数据为准。铁精粉产量取决于磁选回收率和精矿品位，具体数据需取试烧渣做选矿试验后确定。硅渣约1.4-1.6吨，具体以试烧物料平衡数据为准。</w:t>
      </w:r>
    </w:p>
    <w:p w14:paraId="68C58440">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bCs/>
        </w:rPr>
      </w:pPr>
      <w:r>
        <w:rPr>
          <w:rFonts w:hint="eastAsia" w:ascii="宋体" w:hAnsi="宋体" w:eastAsia="宋体" w:cs="宋体"/>
          <w:b/>
          <w:bCs/>
        </w:rPr>
        <w:t>3.3 点火启动与炉温控制</w:t>
      </w:r>
    </w:p>
    <w:p w14:paraId="1A85D325">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rPr>
      </w:pPr>
      <w:r>
        <w:rPr>
          <w:rFonts w:hint="eastAsia" w:ascii="宋体" w:hAnsi="宋体" w:eastAsia="宋体" w:cs="宋体"/>
        </w:rPr>
        <w:t>点火启动须严格遵循硫铁矿沸腾炉标准操作规程：铺底料（石英砂或硫铁矿渣）→柴油点火加热床层至600℃→投入低品位硫铁矿烧至850-880℃并稳定2-3小时→逐步提高天然硫矿比例（每次5%-10%），24-48小时达到目标配比。严禁使用硫磺直接点火，以防冷炉状态下局部超温烧坏风帽。</w:t>
      </w:r>
    </w:p>
    <w:p w14:paraId="05EA8FC3">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rPr>
      </w:pPr>
      <w:r>
        <w:rPr>
          <w:rFonts w:hint="eastAsia" w:ascii="宋体" w:hAnsi="宋体" w:eastAsia="宋体" w:cs="宋体"/>
        </w:rPr>
        <w:t>正常运行期间，天然硫矿进料速度保持恒定以维持基础热负荷，低品位硫铁矿进料速度通过DCS系统随炉温自动闭环调节：炉温偏高时增加进料量以吸热降温，偏低时适当减少。沸腾层本身为850℃的巨大蓄热体，前一批物料燃尽后一批已补充到位。炉温控制的具体方案由企业技术团队结合现有DCS系统制定。</w:t>
      </w:r>
    </w:p>
    <w:p w14:paraId="160B2829">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rPr>
      </w:pPr>
      <w:r>
        <w:rPr>
          <w:rFonts w:hint="eastAsia" w:ascii="宋体" w:hAnsi="宋体" w:eastAsia="宋体" w:cs="宋体"/>
        </w:rPr>
        <w:t>技术改造方面，重点在于新增天然硫矿独立料仓、变频给料系统和进料口位置调整。在本文假设的通用炉型下，通常无需改动沸腾炉主体结构，投资规模可控，改造周期短。具体改造方案和设备投资因炉型和现有装置布局而异。</w:t>
      </w:r>
    </w:p>
    <w:p w14:paraId="75453DBD">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bCs/>
        </w:rPr>
      </w:pPr>
      <w:r>
        <w:rPr>
          <w:rFonts w:hint="eastAsia" w:ascii="宋体" w:hAnsi="宋体" w:eastAsia="宋体" w:cs="宋体"/>
          <w:b/>
          <w:bCs/>
        </w:rPr>
        <w:t>4 经济性分析</w:t>
      </w:r>
    </w:p>
    <w:p w14:paraId="29762BF1">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bCs/>
        </w:rPr>
      </w:pPr>
      <w:r>
        <w:rPr>
          <w:rFonts w:hint="eastAsia" w:ascii="宋体" w:hAnsi="宋体" w:eastAsia="宋体" w:cs="宋体"/>
          <w:b/>
          <w:bCs/>
        </w:rPr>
        <w:t>4.1 单位纯硫成本对比</w:t>
      </w:r>
    </w:p>
    <w:p w14:paraId="73A8BE4D">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rPr>
      </w:pPr>
      <w:r>
        <w:rPr>
          <w:rFonts w:hint="eastAsia" w:ascii="宋体" w:hAnsi="宋体" w:eastAsia="宋体" w:cs="宋体"/>
        </w:rPr>
        <w:t>以制酸行业通用的“单位纯硫成本”（元/吨硫）为评价指标，各方案对比如下（假设条件见表注）：</w:t>
      </w:r>
    </w:p>
    <w:p w14:paraId="5D7195B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rPr>
      </w:pPr>
      <w:r>
        <w:rPr>
          <w:rFonts w:hint="eastAsia" w:ascii="宋体" w:hAnsi="宋体" w:eastAsia="宋体" w:cs="宋体"/>
          <w:b/>
          <w:bCs/>
        </w:rPr>
        <w:t>表5 各制酸方案经济指标对比</w:t>
      </w:r>
    </w:p>
    <w:tbl>
      <w:tblPr>
        <w:tblW w:w="89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right w:w="108" w:type="dxa"/>
        </w:tblCellMar>
      </w:tblPr>
      <w:tblGrid>
        <w:gridCol w:w="1513"/>
        <w:gridCol w:w="1767"/>
        <w:gridCol w:w="1615"/>
        <w:gridCol w:w="2505"/>
        <w:gridCol w:w="1548"/>
      </w:tblGrid>
      <w:tr w14:paraId="0D004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0" w:hRule="atLeast"/>
          <w:tblHeader/>
          <w:jc w:val="center"/>
        </w:trPr>
        <w:tc>
          <w:tcPr>
            <w:tcW w:w="1513" w:type="dxa"/>
            <w:noWrap w:val="0"/>
            <w:tcMar>
              <w:top w:w="-1" w:type="dxa"/>
              <w:left w:w="-1" w:type="dxa"/>
              <w:bottom w:w="-1" w:type="dxa"/>
              <w:right w:w="-1" w:type="dxa"/>
            </w:tcMar>
            <w:vAlign w:val="center"/>
          </w:tcPr>
          <w:p w14:paraId="24F06CE8">
            <w:pPr>
              <w:snapToGrid w:val="0"/>
              <w:ind w:left="0" w:leftChars="0" w:right="0" w:rightChars="0" w:firstLine="0" w:firstLineChars="0"/>
              <w:jc w:val="center"/>
              <w:rPr>
                <w:rFonts w:ascii="宋体" w:eastAsia="宋体"/>
                <w:b/>
                <w:sz w:val="18"/>
                <w:szCs w:val="18"/>
              </w:rPr>
            </w:pPr>
            <w:r>
              <w:rPr>
                <w:rFonts w:hint="eastAsia" w:ascii="宋体" w:hAnsi="宋体" w:eastAsia="宋体" w:cs="宋体"/>
                <w:b/>
                <w:kern w:val="2"/>
                <w:sz w:val="18"/>
                <w:szCs w:val="18"/>
                <w:lang w:val="en-US" w:eastAsia="zh-CN" w:bidi="ar-SA"/>
              </w:rPr>
              <w:t>工艺方案</w:t>
            </w:r>
          </w:p>
        </w:tc>
        <w:tc>
          <w:tcPr>
            <w:tcW w:w="1767" w:type="dxa"/>
            <w:noWrap w:val="0"/>
            <w:tcMar>
              <w:top w:w="-1" w:type="dxa"/>
              <w:left w:w="-1" w:type="dxa"/>
              <w:bottom w:w="-1" w:type="dxa"/>
              <w:right w:w="-1" w:type="dxa"/>
            </w:tcMar>
            <w:vAlign w:val="center"/>
          </w:tcPr>
          <w:p w14:paraId="006544BE">
            <w:pPr>
              <w:snapToGrid w:val="0"/>
              <w:ind w:left="0" w:leftChars="0" w:right="0" w:rightChars="0" w:firstLine="0" w:firstLineChars="0"/>
              <w:jc w:val="center"/>
              <w:rPr>
                <w:rFonts w:hint="eastAsia" w:ascii="宋体" w:hAnsi="宋体" w:eastAsia="宋体" w:cs="宋体"/>
                <w:b/>
                <w:kern w:val="2"/>
                <w:sz w:val="18"/>
                <w:szCs w:val="18"/>
                <w:lang w:val="en-US" w:eastAsia="zh-CN" w:bidi="ar-SA"/>
              </w:rPr>
            </w:pPr>
            <w:r>
              <w:rPr>
                <w:rFonts w:hint="eastAsia" w:ascii="宋体" w:hAnsi="宋体" w:eastAsia="宋体" w:cs="宋体"/>
                <w:b/>
                <w:kern w:val="2"/>
                <w:sz w:val="18"/>
                <w:szCs w:val="18"/>
                <w:lang w:val="en-US" w:eastAsia="zh-CN" w:bidi="ar-SA"/>
              </w:rPr>
              <w:t>单位纯硫成本</w:t>
            </w:r>
          </w:p>
          <w:p w14:paraId="0BDF78FB">
            <w:pPr>
              <w:snapToGrid w:val="0"/>
              <w:ind w:left="0" w:leftChars="0" w:right="0" w:rightChars="0" w:firstLine="0" w:firstLineChars="0"/>
              <w:jc w:val="center"/>
              <w:rPr>
                <w:rFonts w:ascii="宋体" w:eastAsia="宋体"/>
                <w:b/>
                <w:sz w:val="18"/>
                <w:szCs w:val="18"/>
              </w:rPr>
            </w:pPr>
            <w:r>
              <w:rPr>
                <w:rFonts w:hint="eastAsia" w:ascii="宋体" w:hAnsi="宋体" w:eastAsia="宋体" w:cs="宋体"/>
                <w:b/>
                <w:kern w:val="2"/>
                <w:sz w:val="18"/>
                <w:szCs w:val="18"/>
                <w:lang w:val="en-US" w:eastAsia="zh-CN" w:bidi="ar-SA"/>
              </w:rPr>
              <w:t>（元/吨硫）</w:t>
            </w:r>
          </w:p>
        </w:tc>
        <w:tc>
          <w:tcPr>
            <w:tcW w:w="1615" w:type="dxa"/>
            <w:noWrap w:val="0"/>
            <w:tcMar>
              <w:top w:w="-1" w:type="dxa"/>
              <w:left w:w="-1" w:type="dxa"/>
              <w:bottom w:w="-1" w:type="dxa"/>
              <w:right w:w="-1" w:type="dxa"/>
            </w:tcMar>
            <w:vAlign w:val="center"/>
          </w:tcPr>
          <w:p w14:paraId="6F291880">
            <w:pPr>
              <w:snapToGrid w:val="0"/>
              <w:ind w:left="0" w:leftChars="0" w:right="0" w:rightChars="0" w:firstLine="0" w:firstLineChars="0"/>
              <w:jc w:val="center"/>
              <w:rPr>
                <w:rFonts w:hint="eastAsia" w:ascii="宋体" w:hAnsi="宋体" w:eastAsia="宋体" w:cs="宋体"/>
                <w:b/>
                <w:kern w:val="2"/>
                <w:sz w:val="18"/>
                <w:szCs w:val="18"/>
                <w:lang w:val="en-US" w:eastAsia="zh-CN" w:bidi="ar-SA"/>
              </w:rPr>
            </w:pPr>
            <w:r>
              <w:rPr>
                <w:rFonts w:hint="eastAsia" w:ascii="宋体" w:hAnsi="宋体" w:eastAsia="宋体" w:cs="宋体"/>
                <w:b/>
                <w:kern w:val="2"/>
                <w:sz w:val="18"/>
                <w:szCs w:val="18"/>
                <w:lang w:val="en-US" w:eastAsia="zh-CN" w:bidi="ar-SA"/>
              </w:rPr>
              <w:t>吨酸原料成本</w:t>
            </w:r>
          </w:p>
          <w:p w14:paraId="660DA658">
            <w:pPr>
              <w:snapToGrid w:val="0"/>
              <w:ind w:left="0" w:leftChars="0" w:right="0" w:rightChars="0" w:firstLine="0" w:firstLineChars="0"/>
              <w:jc w:val="center"/>
              <w:rPr>
                <w:rFonts w:hint="eastAsia" w:ascii="宋体" w:hAnsi="宋体" w:eastAsia="宋体" w:cs="宋体"/>
                <w:b/>
                <w:kern w:val="2"/>
                <w:sz w:val="18"/>
                <w:szCs w:val="18"/>
                <w:lang w:val="en-US" w:eastAsia="zh-CN" w:bidi="ar-SA"/>
              </w:rPr>
            </w:pPr>
            <w:r>
              <w:rPr>
                <w:rFonts w:hint="eastAsia" w:ascii="宋体" w:hAnsi="宋体" w:eastAsia="宋体" w:cs="宋体"/>
                <w:b/>
                <w:kern w:val="2"/>
                <w:sz w:val="18"/>
                <w:szCs w:val="18"/>
                <w:lang w:val="en-US" w:eastAsia="zh-CN" w:bidi="ar-SA"/>
              </w:rPr>
              <w:t>（元）</w:t>
            </w:r>
          </w:p>
        </w:tc>
        <w:tc>
          <w:tcPr>
            <w:tcW w:w="2505" w:type="dxa"/>
            <w:noWrap w:val="0"/>
            <w:tcMar>
              <w:top w:w="-1" w:type="dxa"/>
              <w:left w:w="-1" w:type="dxa"/>
              <w:bottom w:w="-1" w:type="dxa"/>
              <w:right w:w="-1" w:type="dxa"/>
            </w:tcMar>
            <w:vAlign w:val="center"/>
          </w:tcPr>
          <w:p w14:paraId="73BB63F8">
            <w:pPr>
              <w:snapToGrid w:val="0"/>
              <w:ind w:left="0" w:leftChars="0" w:right="0" w:rightChars="0" w:firstLine="0" w:firstLineChars="0"/>
              <w:jc w:val="center"/>
              <w:rPr>
                <w:rFonts w:hint="eastAsia" w:ascii="宋体" w:hAnsi="宋体" w:eastAsia="宋体" w:cs="宋体"/>
                <w:b/>
                <w:kern w:val="2"/>
                <w:sz w:val="18"/>
                <w:szCs w:val="18"/>
                <w:lang w:val="en-US" w:eastAsia="zh-CN" w:bidi="ar-SA"/>
              </w:rPr>
            </w:pPr>
            <w:r>
              <w:rPr>
                <w:rFonts w:hint="eastAsia" w:ascii="宋体" w:hAnsi="宋体" w:eastAsia="宋体" w:cs="宋体"/>
                <w:b/>
                <w:kern w:val="2"/>
                <w:sz w:val="18"/>
                <w:szCs w:val="18"/>
                <w:lang w:val="en-US" w:eastAsia="zh-CN" w:bidi="ar-SA"/>
              </w:rPr>
              <w:t>吨酸理论原料价差</w:t>
            </w:r>
          </w:p>
          <w:p w14:paraId="4D24AEAE">
            <w:pPr>
              <w:snapToGrid w:val="0"/>
              <w:ind w:left="0" w:leftChars="0" w:right="0" w:rightChars="0" w:firstLine="0" w:firstLineChars="0"/>
              <w:jc w:val="center"/>
              <w:rPr>
                <w:rFonts w:hint="eastAsia" w:ascii="宋体" w:hAnsi="宋体" w:eastAsia="宋体" w:cs="宋体"/>
                <w:b/>
                <w:kern w:val="2"/>
                <w:sz w:val="18"/>
                <w:szCs w:val="18"/>
                <w:lang w:val="en-US" w:eastAsia="zh-CN" w:bidi="ar-SA"/>
              </w:rPr>
            </w:pPr>
            <w:r>
              <w:rPr>
                <w:rFonts w:hint="eastAsia" w:ascii="宋体" w:hAnsi="宋体" w:eastAsia="宋体" w:cs="宋体"/>
                <w:b/>
                <w:kern w:val="2"/>
                <w:sz w:val="18"/>
                <w:szCs w:val="18"/>
                <w:lang w:val="en-US" w:eastAsia="zh-CN" w:bidi="ar-SA"/>
              </w:rPr>
              <w:t>（按1,800元/吨酸）</w:t>
            </w:r>
          </w:p>
        </w:tc>
        <w:tc>
          <w:tcPr>
            <w:tcW w:w="1548" w:type="dxa"/>
            <w:noWrap w:val="0"/>
            <w:tcMar>
              <w:top w:w="-1" w:type="dxa"/>
              <w:left w:w="-1" w:type="dxa"/>
              <w:bottom w:w="-1" w:type="dxa"/>
              <w:right w:w="-1" w:type="dxa"/>
            </w:tcMar>
            <w:vAlign w:val="center"/>
          </w:tcPr>
          <w:p w14:paraId="743205D8">
            <w:pPr>
              <w:snapToGrid w:val="0"/>
              <w:ind w:left="0" w:leftChars="0" w:right="0" w:rightChars="0" w:firstLine="0" w:firstLineChars="0"/>
              <w:jc w:val="center"/>
              <w:rPr>
                <w:rFonts w:ascii="宋体" w:eastAsia="宋体"/>
                <w:b/>
                <w:sz w:val="18"/>
                <w:szCs w:val="18"/>
              </w:rPr>
            </w:pPr>
            <w:r>
              <w:rPr>
                <w:rFonts w:hint="eastAsia" w:ascii="宋体" w:hAnsi="宋体" w:eastAsia="宋体" w:cs="宋体"/>
                <w:b/>
                <w:kern w:val="2"/>
                <w:sz w:val="18"/>
                <w:szCs w:val="18"/>
                <w:lang w:val="en-US" w:eastAsia="zh-CN" w:bidi="ar-SA"/>
              </w:rPr>
              <w:t>副产品</w:t>
            </w:r>
          </w:p>
        </w:tc>
      </w:tr>
      <w:tr w14:paraId="57520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0" w:hRule="atLeast"/>
          <w:jc w:val="center"/>
        </w:trPr>
        <w:tc>
          <w:tcPr>
            <w:tcW w:w="1513" w:type="dxa"/>
            <w:noWrap w:val="0"/>
            <w:tcMar>
              <w:top w:w="-1" w:type="dxa"/>
              <w:left w:w="-1" w:type="dxa"/>
              <w:bottom w:w="-1" w:type="dxa"/>
              <w:right w:w="-1" w:type="dxa"/>
            </w:tcMar>
            <w:vAlign w:val="center"/>
          </w:tcPr>
          <w:p w14:paraId="7079B8D2">
            <w:pPr>
              <w:snapToGrid w:val="0"/>
              <w:ind w:left="0" w:leftChars="0" w:right="0" w:rightChars="0" w:firstLine="0" w:firstLineChars="0"/>
              <w:jc w:val="center"/>
              <w:rPr>
                <w:rFonts w:ascii="宋体" w:eastAsia="宋体"/>
                <w:sz w:val="18"/>
                <w:szCs w:val="18"/>
              </w:rPr>
            </w:pPr>
            <w:r>
              <w:rPr>
                <w:rFonts w:hint="eastAsia" w:ascii="宋体" w:hAnsi="宋体" w:eastAsia="宋体" w:cs="宋体"/>
                <w:kern w:val="2"/>
                <w:sz w:val="18"/>
                <w:szCs w:val="18"/>
                <w:lang w:val="en-US" w:eastAsia="zh-CN" w:bidi="ar-SA"/>
              </w:rPr>
              <w:t>纯硫磺制酸</w:t>
            </w:r>
          </w:p>
        </w:tc>
        <w:tc>
          <w:tcPr>
            <w:tcW w:w="1767" w:type="dxa"/>
            <w:noWrap w:val="0"/>
            <w:tcMar>
              <w:top w:w="-1" w:type="dxa"/>
              <w:left w:w="-1" w:type="dxa"/>
              <w:bottom w:w="-1" w:type="dxa"/>
              <w:right w:w="-1" w:type="dxa"/>
            </w:tcMar>
            <w:vAlign w:val="center"/>
          </w:tcPr>
          <w:p w14:paraId="02D3A12E">
            <w:pPr>
              <w:snapToGrid w:val="0"/>
              <w:ind w:left="0" w:leftChars="0" w:right="0" w:rightChars="0" w:firstLine="0" w:firstLineChars="0"/>
              <w:jc w:val="center"/>
              <w:rPr>
                <w:rFonts w:ascii="宋体" w:eastAsia="宋体"/>
                <w:sz w:val="18"/>
                <w:szCs w:val="18"/>
              </w:rPr>
            </w:pPr>
            <w:r>
              <w:rPr>
                <w:rFonts w:hint="eastAsia" w:ascii="宋体" w:hAnsi="宋体" w:eastAsia="宋体" w:cs="宋体"/>
                <w:kern w:val="2"/>
                <w:sz w:val="18"/>
                <w:szCs w:val="18"/>
                <w:lang w:val="en-US" w:eastAsia="zh-CN" w:bidi="ar-SA"/>
              </w:rPr>
              <w:t>~9,209</w:t>
            </w:r>
          </w:p>
        </w:tc>
        <w:tc>
          <w:tcPr>
            <w:tcW w:w="1615" w:type="dxa"/>
            <w:noWrap w:val="0"/>
            <w:tcMar>
              <w:top w:w="-1" w:type="dxa"/>
              <w:left w:w="-1" w:type="dxa"/>
              <w:bottom w:w="-1" w:type="dxa"/>
              <w:right w:w="-1" w:type="dxa"/>
            </w:tcMar>
            <w:vAlign w:val="center"/>
          </w:tcPr>
          <w:p w14:paraId="29541A59">
            <w:pPr>
              <w:snapToGrid w:val="0"/>
              <w:ind w:left="0" w:leftChars="0" w:right="0" w:rightChars="0" w:firstLine="0" w:firstLineChars="0"/>
              <w:jc w:val="center"/>
              <w:rPr>
                <w:rFonts w:ascii="宋体" w:eastAsia="宋体"/>
                <w:sz w:val="18"/>
                <w:szCs w:val="18"/>
              </w:rPr>
            </w:pPr>
            <w:r>
              <w:rPr>
                <w:rFonts w:hint="eastAsia" w:ascii="宋体" w:hAnsi="宋体" w:eastAsia="宋体" w:cs="宋体"/>
                <w:kern w:val="2"/>
                <w:sz w:val="18"/>
                <w:szCs w:val="18"/>
                <w:lang w:val="en-US" w:eastAsia="zh-CN" w:bidi="ar-SA"/>
              </w:rPr>
              <w:t>~3,036</w:t>
            </w:r>
          </w:p>
        </w:tc>
        <w:tc>
          <w:tcPr>
            <w:tcW w:w="2505" w:type="dxa"/>
            <w:noWrap w:val="0"/>
            <w:tcMar>
              <w:top w:w="-1" w:type="dxa"/>
              <w:left w:w="-1" w:type="dxa"/>
              <w:bottom w:w="-1" w:type="dxa"/>
              <w:right w:w="-1" w:type="dxa"/>
            </w:tcMar>
            <w:vAlign w:val="center"/>
          </w:tcPr>
          <w:p w14:paraId="0D1E8894">
            <w:pPr>
              <w:snapToGrid w:val="0"/>
              <w:ind w:left="0" w:leftChars="0" w:right="0" w:rightChars="0" w:firstLine="0" w:firstLineChars="0"/>
              <w:jc w:val="center"/>
              <w:rPr>
                <w:rFonts w:ascii="宋体" w:eastAsia="宋体"/>
                <w:sz w:val="18"/>
                <w:szCs w:val="18"/>
              </w:rPr>
            </w:pPr>
            <w:r>
              <w:rPr>
                <w:rFonts w:hint="eastAsia" w:ascii="宋体" w:hAnsi="宋体" w:eastAsia="宋体" w:cs="宋体"/>
                <w:kern w:val="2"/>
                <w:sz w:val="18"/>
                <w:szCs w:val="18"/>
                <w:lang w:val="en-US" w:eastAsia="zh-CN" w:bidi="ar-SA"/>
              </w:rPr>
              <w:t>负值</w:t>
            </w:r>
          </w:p>
        </w:tc>
        <w:tc>
          <w:tcPr>
            <w:tcW w:w="1548" w:type="dxa"/>
            <w:noWrap w:val="0"/>
            <w:tcMar>
              <w:top w:w="-1" w:type="dxa"/>
              <w:left w:w="-1" w:type="dxa"/>
              <w:bottom w:w="-1" w:type="dxa"/>
              <w:right w:w="-1" w:type="dxa"/>
            </w:tcMar>
            <w:vAlign w:val="center"/>
          </w:tcPr>
          <w:p w14:paraId="61A7DC04">
            <w:pPr>
              <w:snapToGrid w:val="0"/>
              <w:ind w:left="0" w:leftChars="0" w:right="0" w:rightChars="0" w:firstLine="0" w:firstLineChars="0"/>
              <w:jc w:val="center"/>
              <w:rPr>
                <w:rFonts w:ascii="宋体" w:eastAsia="宋体"/>
                <w:sz w:val="18"/>
                <w:szCs w:val="18"/>
              </w:rPr>
            </w:pPr>
            <w:r>
              <w:rPr>
                <w:rFonts w:hint="eastAsia" w:ascii="宋体" w:hAnsi="宋体" w:eastAsia="宋体" w:cs="宋体"/>
                <w:kern w:val="2"/>
                <w:sz w:val="18"/>
                <w:szCs w:val="18"/>
                <w:lang w:val="en-US" w:eastAsia="zh-CN" w:bidi="ar-SA"/>
              </w:rPr>
              <w:t>无</w:t>
            </w:r>
          </w:p>
        </w:tc>
      </w:tr>
      <w:tr w14:paraId="3D6C1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0" w:hRule="atLeast"/>
          <w:jc w:val="center"/>
        </w:trPr>
        <w:tc>
          <w:tcPr>
            <w:tcW w:w="1513" w:type="dxa"/>
            <w:noWrap w:val="0"/>
            <w:tcMar>
              <w:top w:w="-1" w:type="dxa"/>
              <w:left w:w="-1" w:type="dxa"/>
              <w:bottom w:w="-1" w:type="dxa"/>
              <w:right w:w="-1" w:type="dxa"/>
            </w:tcMar>
            <w:vAlign w:val="center"/>
          </w:tcPr>
          <w:p w14:paraId="798E1361">
            <w:pPr>
              <w:snapToGrid w:val="0"/>
              <w:ind w:left="0" w:leftChars="0" w:right="0" w:rightChars="0" w:firstLine="0" w:firstLineChars="0"/>
              <w:jc w:val="center"/>
              <w:rPr>
                <w:rFonts w:ascii="宋体" w:eastAsia="宋体"/>
                <w:sz w:val="18"/>
                <w:szCs w:val="18"/>
              </w:rPr>
            </w:pPr>
            <w:r>
              <w:rPr>
                <w:rFonts w:hint="eastAsia" w:ascii="宋体" w:hAnsi="宋体" w:eastAsia="宋体" w:cs="宋体"/>
                <w:kern w:val="2"/>
                <w:sz w:val="18"/>
                <w:szCs w:val="18"/>
                <w:lang w:val="en-US" w:eastAsia="zh-CN" w:bidi="ar-SA"/>
              </w:rPr>
              <w:t>35%高品位硫铁矿制酸</w:t>
            </w:r>
          </w:p>
        </w:tc>
        <w:tc>
          <w:tcPr>
            <w:tcW w:w="1767" w:type="dxa"/>
            <w:noWrap w:val="0"/>
            <w:tcMar>
              <w:top w:w="-1" w:type="dxa"/>
              <w:left w:w="-1" w:type="dxa"/>
              <w:bottom w:w="-1" w:type="dxa"/>
              <w:right w:w="-1" w:type="dxa"/>
            </w:tcMar>
            <w:vAlign w:val="center"/>
          </w:tcPr>
          <w:p w14:paraId="18AC2ACA">
            <w:pPr>
              <w:snapToGrid w:val="0"/>
              <w:ind w:left="0" w:leftChars="0" w:right="0" w:rightChars="0" w:firstLine="0" w:firstLineChars="0"/>
              <w:jc w:val="center"/>
              <w:rPr>
                <w:rFonts w:ascii="宋体" w:eastAsia="宋体"/>
                <w:sz w:val="18"/>
                <w:szCs w:val="18"/>
              </w:rPr>
            </w:pPr>
            <w:r>
              <w:rPr>
                <w:rFonts w:hint="eastAsia" w:ascii="宋体" w:hAnsi="宋体" w:eastAsia="宋体" w:cs="宋体"/>
                <w:kern w:val="2"/>
                <w:sz w:val="18"/>
                <w:szCs w:val="18"/>
                <w:lang w:val="en-US" w:eastAsia="zh-CN" w:bidi="ar-SA"/>
              </w:rPr>
              <w:t>~4,371</w:t>
            </w:r>
          </w:p>
        </w:tc>
        <w:tc>
          <w:tcPr>
            <w:tcW w:w="1615" w:type="dxa"/>
            <w:noWrap w:val="0"/>
            <w:tcMar>
              <w:top w:w="-1" w:type="dxa"/>
              <w:left w:w="-1" w:type="dxa"/>
              <w:bottom w:w="-1" w:type="dxa"/>
              <w:right w:w="-1" w:type="dxa"/>
            </w:tcMar>
            <w:vAlign w:val="center"/>
          </w:tcPr>
          <w:p w14:paraId="5F3A0F33">
            <w:pPr>
              <w:snapToGrid w:val="0"/>
              <w:ind w:left="0" w:leftChars="0" w:right="0" w:rightChars="0" w:firstLine="0" w:firstLineChars="0"/>
              <w:jc w:val="center"/>
              <w:rPr>
                <w:rFonts w:ascii="宋体" w:eastAsia="宋体"/>
                <w:sz w:val="18"/>
                <w:szCs w:val="18"/>
              </w:rPr>
            </w:pPr>
            <w:r>
              <w:rPr>
                <w:rFonts w:hint="eastAsia" w:ascii="宋体" w:hAnsi="宋体" w:eastAsia="宋体" w:cs="宋体"/>
                <w:kern w:val="2"/>
                <w:sz w:val="18"/>
                <w:szCs w:val="18"/>
                <w:lang w:val="en-US" w:eastAsia="zh-CN" w:bidi="ar-SA"/>
              </w:rPr>
              <w:t>~1,442</w:t>
            </w:r>
          </w:p>
        </w:tc>
        <w:tc>
          <w:tcPr>
            <w:tcW w:w="2505" w:type="dxa"/>
            <w:noWrap w:val="0"/>
            <w:tcMar>
              <w:top w:w="-1" w:type="dxa"/>
              <w:left w:w="-1" w:type="dxa"/>
              <w:bottom w:w="-1" w:type="dxa"/>
              <w:right w:w="-1" w:type="dxa"/>
            </w:tcMar>
            <w:vAlign w:val="center"/>
          </w:tcPr>
          <w:p w14:paraId="43F9797D">
            <w:pPr>
              <w:snapToGrid w:val="0"/>
              <w:ind w:left="0" w:leftChars="0" w:right="0" w:rightChars="0" w:firstLine="0" w:firstLineChars="0"/>
              <w:jc w:val="center"/>
              <w:rPr>
                <w:rFonts w:ascii="宋体" w:eastAsia="宋体"/>
                <w:sz w:val="18"/>
                <w:szCs w:val="18"/>
              </w:rPr>
            </w:pPr>
            <w:r>
              <w:rPr>
                <w:rFonts w:hint="eastAsia" w:ascii="宋体" w:hAnsi="宋体" w:eastAsia="宋体" w:cs="宋体"/>
                <w:kern w:val="2"/>
                <w:sz w:val="18"/>
                <w:szCs w:val="18"/>
                <w:lang w:val="en-US" w:eastAsia="zh-CN" w:bidi="ar-SA"/>
              </w:rPr>
              <w:t>正向约358元/吨</w:t>
            </w:r>
          </w:p>
        </w:tc>
        <w:tc>
          <w:tcPr>
            <w:tcW w:w="1548" w:type="dxa"/>
            <w:noWrap w:val="0"/>
            <w:tcMar>
              <w:top w:w="-1" w:type="dxa"/>
              <w:left w:w="-1" w:type="dxa"/>
              <w:bottom w:w="-1" w:type="dxa"/>
              <w:right w:w="-1" w:type="dxa"/>
            </w:tcMar>
            <w:vAlign w:val="center"/>
          </w:tcPr>
          <w:p w14:paraId="1625CAEC">
            <w:pPr>
              <w:snapToGrid w:val="0"/>
              <w:ind w:left="0" w:leftChars="0" w:right="0" w:rightChars="0" w:firstLine="0" w:firstLineChars="0"/>
              <w:jc w:val="center"/>
              <w:rPr>
                <w:rFonts w:ascii="宋体" w:eastAsia="宋体"/>
                <w:sz w:val="18"/>
                <w:szCs w:val="18"/>
              </w:rPr>
            </w:pPr>
            <w:r>
              <w:rPr>
                <w:rFonts w:hint="eastAsia" w:ascii="宋体" w:hAnsi="宋体" w:eastAsia="宋体" w:cs="宋体"/>
                <w:kern w:val="2"/>
                <w:sz w:val="18"/>
                <w:szCs w:val="18"/>
                <w:lang w:val="en-US" w:eastAsia="zh-CN" w:bidi="ar-SA"/>
              </w:rPr>
              <w:t>铁精粉</w:t>
            </w:r>
          </w:p>
        </w:tc>
      </w:tr>
      <w:tr w14:paraId="5366A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0" w:hRule="atLeast"/>
          <w:jc w:val="center"/>
        </w:trPr>
        <w:tc>
          <w:tcPr>
            <w:tcW w:w="1513" w:type="dxa"/>
            <w:noWrap w:val="0"/>
            <w:tcMar>
              <w:top w:w="-1" w:type="dxa"/>
              <w:left w:w="-1" w:type="dxa"/>
              <w:bottom w:w="-1" w:type="dxa"/>
              <w:right w:w="-1" w:type="dxa"/>
            </w:tcMar>
            <w:vAlign w:val="center"/>
          </w:tcPr>
          <w:p w14:paraId="635C0834">
            <w:pPr>
              <w:snapToGrid w:val="0"/>
              <w:ind w:left="0" w:leftChars="0" w:right="0" w:rightChars="0" w:firstLine="0" w:firstLineChars="0"/>
              <w:jc w:val="center"/>
              <w:rPr>
                <w:rFonts w:ascii="宋体" w:eastAsia="宋体"/>
                <w:sz w:val="18"/>
                <w:szCs w:val="18"/>
              </w:rPr>
            </w:pPr>
            <w:r>
              <w:rPr>
                <w:rFonts w:hint="eastAsia" w:ascii="宋体" w:hAnsi="宋体" w:eastAsia="宋体" w:cs="宋体"/>
                <w:kern w:val="2"/>
                <w:sz w:val="18"/>
                <w:szCs w:val="18"/>
                <w:lang w:val="en-US" w:eastAsia="zh-CN" w:bidi="ar-SA"/>
              </w:rPr>
              <w:t>本方案（55%天然矿）</w:t>
            </w:r>
          </w:p>
        </w:tc>
        <w:tc>
          <w:tcPr>
            <w:tcW w:w="1767" w:type="dxa"/>
            <w:noWrap w:val="0"/>
            <w:tcMar>
              <w:top w:w="-1" w:type="dxa"/>
              <w:left w:w="-1" w:type="dxa"/>
              <w:bottom w:w="-1" w:type="dxa"/>
              <w:right w:w="-1" w:type="dxa"/>
            </w:tcMar>
            <w:vAlign w:val="center"/>
          </w:tcPr>
          <w:p w14:paraId="7F30837F">
            <w:pPr>
              <w:snapToGrid w:val="0"/>
              <w:ind w:left="0" w:leftChars="0" w:right="0" w:rightChars="0" w:firstLine="0" w:firstLineChars="0"/>
              <w:jc w:val="center"/>
              <w:rPr>
                <w:rFonts w:ascii="宋体" w:eastAsia="宋体"/>
                <w:sz w:val="18"/>
                <w:szCs w:val="18"/>
              </w:rPr>
            </w:pPr>
            <w:r>
              <w:rPr>
                <w:rFonts w:hint="eastAsia" w:ascii="宋体" w:hAnsi="宋体" w:eastAsia="宋体" w:cs="宋体"/>
                <w:kern w:val="2"/>
                <w:sz w:val="18"/>
                <w:szCs w:val="18"/>
                <w:lang w:val="en-US" w:eastAsia="zh-CN" w:bidi="ar-SA"/>
              </w:rPr>
              <w:t>~2,727</w:t>
            </w:r>
          </w:p>
        </w:tc>
        <w:tc>
          <w:tcPr>
            <w:tcW w:w="1615" w:type="dxa"/>
            <w:noWrap w:val="0"/>
            <w:tcMar>
              <w:top w:w="-1" w:type="dxa"/>
              <w:left w:w="-1" w:type="dxa"/>
              <w:bottom w:w="-1" w:type="dxa"/>
              <w:right w:w="-1" w:type="dxa"/>
            </w:tcMar>
            <w:vAlign w:val="center"/>
          </w:tcPr>
          <w:p w14:paraId="75477852">
            <w:pPr>
              <w:snapToGrid w:val="0"/>
              <w:ind w:left="0" w:leftChars="0" w:right="0" w:rightChars="0" w:firstLine="0" w:firstLineChars="0"/>
              <w:jc w:val="center"/>
              <w:rPr>
                <w:rFonts w:ascii="宋体" w:eastAsia="宋体"/>
                <w:sz w:val="18"/>
                <w:szCs w:val="18"/>
              </w:rPr>
            </w:pPr>
            <w:r>
              <w:rPr>
                <w:rFonts w:hint="eastAsia" w:ascii="宋体" w:hAnsi="宋体" w:eastAsia="宋体" w:cs="宋体"/>
                <w:kern w:val="2"/>
                <w:sz w:val="18"/>
                <w:szCs w:val="18"/>
                <w:lang w:val="en-US" w:eastAsia="zh-CN" w:bidi="ar-SA"/>
              </w:rPr>
              <w:t>~899</w:t>
            </w:r>
          </w:p>
        </w:tc>
        <w:tc>
          <w:tcPr>
            <w:tcW w:w="2505" w:type="dxa"/>
            <w:noWrap w:val="0"/>
            <w:tcMar>
              <w:top w:w="-1" w:type="dxa"/>
              <w:left w:w="-1" w:type="dxa"/>
              <w:bottom w:w="-1" w:type="dxa"/>
              <w:right w:w="-1" w:type="dxa"/>
            </w:tcMar>
            <w:vAlign w:val="center"/>
          </w:tcPr>
          <w:p w14:paraId="31A93DE5">
            <w:pPr>
              <w:snapToGrid w:val="0"/>
              <w:ind w:left="0" w:leftChars="0" w:right="0" w:rightChars="0" w:firstLine="0" w:firstLineChars="0"/>
              <w:jc w:val="center"/>
              <w:rPr>
                <w:rFonts w:ascii="宋体" w:eastAsia="宋体"/>
                <w:sz w:val="18"/>
                <w:szCs w:val="18"/>
              </w:rPr>
            </w:pPr>
            <w:r>
              <w:rPr>
                <w:rFonts w:hint="eastAsia" w:ascii="宋体" w:hAnsi="宋体" w:eastAsia="宋体" w:cs="宋体"/>
                <w:kern w:val="2"/>
                <w:sz w:val="18"/>
                <w:szCs w:val="18"/>
                <w:lang w:val="en-US" w:eastAsia="zh-CN" w:bidi="ar-SA"/>
              </w:rPr>
              <w:t>正向约901元/吨</w:t>
            </w:r>
          </w:p>
        </w:tc>
        <w:tc>
          <w:tcPr>
            <w:tcW w:w="1548" w:type="dxa"/>
            <w:noWrap w:val="0"/>
            <w:tcMar>
              <w:top w:w="-1" w:type="dxa"/>
              <w:left w:w="-1" w:type="dxa"/>
              <w:bottom w:w="-1" w:type="dxa"/>
              <w:right w:w="-1" w:type="dxa"/>
            </w:tcMar>
            <w:vAlign w:val="center"/>
          </w:tcPr>
          <w:p w14:paraId="441D3907">
            <w:pPr>
              <w:snapToGrid w:val="0"/>
              <w:ind w:left="0" w:leftChars="0" w:right="0" w:rightChars="0" w:firstLine="0" w:firstLineChars="0"/>
              <w:jc w:val="center"/>
              <w:rPr>
                <w:rFonts w:ascii="宋体" w:eastAsia="宋体"/>
                <w:sz w:val="18"/>
                <w:szCs w:val="18"/>
              </w:rPr>
            </w:pPr>
            <w:r>
              <w:rPr>
                <w:rFonts w:hint="eastAsia" w:ascii="宋体" w:hAnsi="宋体" w:eastAsia="宋体" w:cs="宋体"/>
                <w:kern w:val="2"/>
                <w:sz w:val="18"/>
                <w:szCs w:val="18"/>
                <w:lang w:val="en-US" w:eastAsia="zh-CN" w:bidi="ar-SA"/>
              </w:rPr>
              <w:t>铁精粉+硅渣</w:t>
            </w:r>
          </w:p>
        </w:tc>
      </w:tr>
      <w:tr w14:paraId="296D7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0" w:hRule="atLeast"/>
          <w:jc w:val="center"/>
        </w:trPr>
        <w:tc>
          <w:tcPr>
            <w:tcW w:w="1513" w:type="dxa"/>
            <w:noWrap w:val="0"/>
            <w:tcMar>
              <w:top w:w="-1" w:type="dxa"/>
              <w:left w:w="-1" w:type="dxa"/>
              <w:bottom w:w="-1" w:type="dxa"/>
              <w:right w:w="-1" w:type="dxa"/>
            </w:tcMar>
            <w:vAlign w:val="center"/>
          </w:tcPr>
          <w:p w14:paraId="4C64835B">
            <w:pPr>
              <w:snapToGrid w:val="0"/>
              <w:ind w:left="0" w:leftChars="0" w:right="0" w:rightChars="0" w:firstLine="0" w:firstLineChars="0"/>
              <w:jc w:val="center"/>
              <w:rPr>
                <w:rFonts w:ascii="宋体" w:eastAsia="宋体"/>
                <w:sz w:val="18"/>
                <w:szCs w:val="18"/>
              </w:rPr>
            </w:pPr>
            <w:r>
              <w:rPr>
                <w:rFonts w:hint="eastAsia" w:ascii="宋体" w:hAnsi="宋体" w:eastAsia="宋体" w:cs="宋体"/>
                <w:kern w:val="2"/>
                <w:sz w:val="18"/>
                <w:szCs w:val="18"/>
                <w:lang w:val="en-US" w:eastAsia="zh-CN" w:bidi="ar-SA"/>
              </w:rPr>
              <w:t>本方案（65%天然矿）</w:t>
            </w:r>
          </w:p>
        </w:tc>
        <w:tc>
          <w:tcPr>
            <w:tcW w:w="1767" w:type="dxa"/>
            <w:noWrap w:val="0"/>
            <w:tcMar>
              <w:top w:w="-1" w:type="dxa"/>
              <w:left w:w="-1" w:type="dxa"/>
              <w:bottom w:w="-1" w:type="dxa"/>
              <w:right w:w="-1" w:type="dxa"/>
            </w:tcMar>
            <w:vAlign w:val="center"/>
          </w:tcPr>
          <w:p w14:paraId="49567840">
            <w:pPr>
              <w:snapToGrid w:val="0"/>
              <w:ind w:left="0" w:leftChars="0" w:right="0" w:rightChars="0" w:firstLine="0" w:firstLineChars="0"/>
              <w:jc w:val="center"/>
              <w:rPr>
                <w:rFonts w:ascii="宋体" w:eastAsia="宋体"/>
                <w:sz w:val="18"/>
                <w:szCs w:val="18"/>
              </w:rPr>
            </w:pPr>
            <w:r>
              <w:rPr>
                <w:rFonts w:hint="eastAsia" w:ascii="宋体" w:hAnsi="宋体" w:eastAsia="宋体" w:cs="宋体"/>
                <w:kern w:val="2"/>
                <w:sz w:val="18"/>
                <w:szCs w:val="18"/>
                <w:lang w:val="en-US" w:eastAsia="zh-CN" w:bidi="ar-SA"/>
              </w:rPr>
              <w:t>~2,350</w:t>
            </w:r>
          </w:p>
        </w:tc>
        <w:tc>
          <w:tcPr>
            <w:tcW w:w="1615" w:type="dxa"/>
            <w:noWrap w:val="0"/>
            <w:tcMar>
              <w:top w:w="-1" w:type="dxa"/>
              <w:left w:w="-1" w:type="dxa"/>
              <w:bottom w:w="-1" w:type="dxa"/>
              <w:right w:w="-1" w:type="dxa"/>
            </w:tcMar>
            <w:vAlign w:val="center"/>
          </w:tcPr>
          <w:p w14:paraId="5C94A37C">
            <w:pPr>
              <w:snapToGrid w:val="0"/>
              <w:ind w:left="0" w:leftChars="0" w:right="0" w:rightChars="0" w:firstLine="0" w:firstLineChars="0"/>
              <w:jc w:val="center"/>
              <w:rPr>
                <w:rFonts w:ascii="宋体" w:eastAsia="宋体"/>
                <w:sz w:val="18"/>
                <w:szCs w:val="18"/>
              </w:rPr>
            </w:pPr>
            <w:r>
              <w:rPr>
                <w:rFonts w:hint="eastAsia" w:ascii="宋体" w:hAnsi="宋体" w:eastAsia="宋体" w:cs="宋体"/>
                <w:kern w:val="2"/>
                <w:sz w:val="18"/>
                <w:szCs w:val="18"/>
                <w:lang w:val="en-US" w:eastAsia="zh-CN" w:bidi="ar-SA"/>
              </w:rPr>
              <w:t>~775</w:t>
            </w:r>
          </w:p>
        </w:tc>
        <w:tc>
          <w:tcPr>
            <w:tcW w:w="2505" w:type="dxa"/>
            <w:noWrap w:val="0"/>
            <w:tcMar>
              <w:top w:w="-1" w:type="dxa"/>
              <w:left w:w="-1" w:type="dxa"/>
              <w:bottom w:w="-1" w:type="dxa"/>
              <w:right w:w="-1" w:type="dxa"/>
            </w:tcMar>
            <w:vAlign w:val="center"/>
          </w:tcPr>
          <w:p w14:paraId="3069455D">
            <w:pPr>
              <w:snapToGrid w:val="0"/>
              <w:ind w:left="0" w:leftChars="0" w:right="0" w:rightChars="0" w:firstLine="0" w:firstLineChars="0"/>
              <w:jc w:val="center"/>
              <w:rPr>
                <w:rFonts w:ascii="宋体" w:eastAsia="宋体"/>
                <w:sz w:val="18"/>
                <w:szCs w:val="18"/>
              </w:rPr>
            </w:pPr>
            <w:r>
              <w:rPr>
                <w:rFonts w:hint="eastAsia" w:ascii="宋体" w:hAnsi="宋体" w:eastAsia="宋体" w:cs="宋体"/>
                <w:kern w:val="2"/>
                <w:sz w:val="18"/>
                <w:szCs w:val="18"/>
                <w:lang w:val="en-US" w:eastAsia="zh-CN" w:bidi="ar-SA"/>
              </w:rPr>
              <w:t>正向约1,025元/吨</w:t>
            </w:r>
          </w:p>
        </w:tc>
        <w:tc>
          <w:tcPr>
            <w:tcW w:w="1548" w:type="dxa"/>
            <w:noWrap w:val="0"/>
            <w:tcMar>
              <w:top w:w="-1" w:type="dxa"/>
              <w:left w:w="-1" w:type="dxa"/>
              <w:bottom w:w="-1" w:type="dxa"/>
              <w:right w:w="-1" w:type="dxa"/>
            </w:tcMar>
            <w:vAlign w:val="center"/>
          </w:tcPr>
          <w:p w14:paraId="1ACC90E7">
            <w:pPr>
              <w:snapToGrid w:val="0"/>
              <w:ind w:left="0" w:leftChars="0" w:right="0" w:rightChars="0" w:firstLine="0" w:firstLineChars="0"/>
              <w:jc w:val="center"/>
              <w:rPr>
                <w:rFonts w:ascii="宋体" w:eastAsia="宋体"/>
                <w:sz w:val="18"/>
                <w:szCs w:val="18"/>
              </w:rPr>
            </w:pPr>
            <w:r>
              <w:rPr>
                <w:rFonts w:hint="eastAsia" w:ascii="宋体" w:hAnsi="宋体" w:eastAsia="宋体" w:cs="宋体"/>
                <w:kern w:val="2"/>
                <w:sz w:val="18"/>
                <w:szCs w:val="18"/>
                <w:lang w:val="en-US" w:eastAsia="zh-CN" w:bidi="ar-SA"/>
              </w:rPr>
              <w:t>铁精粉+硅渣</w:t>
            </w:r>
          </w:p>
        </w:tc>
      </w:tr>
      <w:tr w14:paraId="5A4DB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0" w:hRule="atLeast"/>
          <w:jc w:val="center"/>
        </w:trPr>
        <w:tc>
          <w:tcPr>
            <w:tcW w:w="1513" w:type="dxa"/>
            <w:noWrap w:val="0"/>
            <w:tcMar>
              <w:top w:w="-1" w:type="dxa"/>
              <w:left w:w="-1" w:type="dxa"/>
              <w:bottom w:w="-1" w:type="dxa"/>
              <w:right w:w="-1" w:type="dxa"/>
            </w:tcMar>
            <w:vAlign w:val="center"/>
          </w:tcPr>
          <w:p w14:paraId="7EFF35FE">
            <w:pPr>
              <w:snapToGrid w:val="0"/>
              <w:ind w:left="0" w:leftChars="0" w:right="0" w:rightChars="0" w:firstLine="0" w:firstLineChars="0"/>
              <w:jc w:val="center"/>
              <w:rPr>
                <w:rFonts w:ascii="宋体" w:eastAsia="宋体"/>
                <w:sz w:val="18"/>
                <w:szCs w:val="18"/>
              </w:rPr>
            </w:pPr>
            <w:r>
              <w:rPr>
                <w:rFonts w:hint="eastAsia" w:ascii="宋体" w:hAnsi="宋体" w:eastAsia="宋体" w:cs="宋体"/>
                <w:kern w:val="2"/>
                <w:sz w:val="18"/>
                <w:szCs w:val="18"/>
                <w:lang w:val="en-US" w:eastAsia="zh-CN" w:bidi="ar-SA"/>
              </w:rPr>
              <w:t>本方案（75%天然矿）</w:t>
            </w:r>
          </w:p>
        </w:tc>
        <w:tc>
          <w:tcPr>
            <w:tcW w:w="1767" w:type="dxa"/>
            <w:noWrap w:val="0"/>
            <w:tcMar>
              <w:top w:w="-1" w:type="dxa"/>
              <w:left w:w="-1" w:type="dxa"/>
              <w:bottom w:w="-1" w:type="dxa"/>
              <w:right w:w="-1" w:type="dxa"/>
            </w:tcMar>
            <w:vAlign w:val="center"/>
          </w:tcPr>
          <w:p w14:paraId="4319CE61">
            <w:pPr>
              <w:snapToGrid w:val="0"/>
              <w:ind w:left="0" w:leftChars="0" w:right="0" w:rightChars="0" w:firstLine="0" w:firstLineChars="0"/>
              <w:jc w:val="center"/>
              <w:rPr>
                <w:rFonts w:ascii="宋体" w:eastAsia="宋体"/>
                <w:sz w:val="18"/>
                <w:szCs w:val="18"/>
              </w:rPr>
            </w:pPr>
            <w:r>
              <w:rPr>
                <w:rFonts w:hint="eastAsia" w:ascii="宋体" w:hAnsi="宋体" w:eastAsia="宋体" w:cs="宋体"/>
                <w:kern w:val="2"/>
                <w:sz w:val="18"/>
                <w:szCs w:val="18"/>
                <w:lang w:val="en-US" w:eastAsia="zh-CN" w:bidi="ar-SA"/>
              </w:rPr>
              <w:t>~2,100</w:t>
            </w:r>
          </w:p>
        </w:tc>
        <w:tc>
          <w:tcPr>
            <w:tcW w:w="1615" w:type="dxa"/>
            <w:noWrap w:val="0"/>
            <w:tcMar>
              <w:top w:w="-1" w:type="dxa"/>
              <w:left w:w="-1" w:type="dxa"/>
              <w:bottom w:w="-1" w:type="dxa"/>
              <w:right w:w="-1" w:type="dxa"/>
            </w:tcMar>
            <w:vAlign w:val="center"/>
          </w:tcPr>
          <w:p w14:paraId="5466CE34">
            <w:pPr>
              <w:snapToGrid w:val="0"/>
              <w:ind w:left="0" w:leftChars="0" w:right="0" w:rightChars="0" w:firstLine="0" w:firstLineChars="0"/>
              <w:jc w:val="center"/>
              <w:rPr>
                <w:rFonts w:ascii="宋体" w:eastAsia="宋体"/>
                <w:sz w:val="18"/>
                <w:szCs w:val="18"/>
              </w:rPr>
            </w:pPr>
            <w:r>
              <w:rPr>
                <w:rFonts w:hint="eastAsia" w:ascii="宋体" w:hAnsi="宋体" w:eastAsia="宋体" w:cs="宋体"/>
                <w:kern w:val="2"/>
                <w:sz w:val="18"/>
                <w:szCs w:val="18"/>
                <w:lang w:val="en-US" w:eastAsia="zh-CN" w:bidi="ar-SA"/>
              </w:rPr>
              <w:t>~693</w:t>
            </w:r>
          </w:p>
        </w:tc>
        <w:tc>
          <w:tcPr>
            <w:tcW w:w="2505" w:type="dxa"/>
            <w:noWrap w:val="0"/>
            <w:tcMar>
              <w:top w:w="-1" w:type="dxa"/>
              <w:left w:w="-1" w:type="dxa"/>
              <w:bottom w:w="-1" w:type="dxa"/>
              <w:right w:w="-1" w:type="dxa"/>
            </w:tcMar>
            <w:vAlign w:val="center"/>
          </w:tcPr>
          <w:p w14:paraId="1EC1BE52">
            <w:pPr>
              <w:snapToGrid w:val="0"/>
              <w:ind w:left="0" w:leftChars="0" w:right="0" w:rightChars="0" w:firstLine="0" w:firstLineChars="0"/>
              <w:jc w:val="center"/>
              <w:rPr>
                <w:rFonts w:ascii="宋体" w:eastAsia="宋体"/>
                <w:sz w:val="18"/>
                <w:szCs w:val="18"/>
              </w:rPr>
            </w:pPr>
            <w:r>
              <w:rPr>
                <w:rFonts w:hint="eastAsia" w:ascii="宋体" w:hAnsi="宋体" w:eastAsia="宋体" w:cs="宋体"/>
                <w:kern w:val="2"/>
                <w:sz w:val="18"/>
                <w:szCs w:val="18"/>
                <w:lang w:val="en-US" w:eastAsia="zh-CN" w:bidi="ar-SA"/>
              </w:rPr>
              <w:t>正向约1,107元/吨</w:t>
            </w:r>
          </w:p>
        </w:tc>
        <w:tc>
          <w:tcPr>
            <w:tcW w:w="1548" w:type="dxa"/>
            <w:noWrap w:val="0"/>
            <w:tcMar>
              <w:top w:w="-1" w:type="dxa"/>
              <w:left w:w="-1" w:type="dxa"/>
              <w:bottom w:w="-1" w:type="dxa"/>
              <w:right w:w="-1" w:type="dxa"/>
            </w:tcMar>
            <w:vAlign w:val="center"/>
          </w:tcPr>
          <w:p w14:paraId="58E51F1C">
            <w:pPr>
              <w:snapToGrid w:val="0"/>
              <w:ind w:left="0" w:leftChars="0" w:right="0" w:rightChars="0" w:firstLine="0" w:firstLineChars="0"/>
              <w:jc w:val="center"/>
              <w:rPr>
                <w:rFonts w:ascii="宋体" w:eastAsia="宋体"/>
                <w:sz w:val="18"/>
                <w:szCs w:val="18"/>
              </w:rPr>
            </w:pPr>
            <w:r>
              <w:rPr>
                <w:rFonts w:hint="eastAsia" w:ascii="宋体" w:hAnsi="宋体" w:eastAsia="宋体" w:cs="宋体"/>
                <w:kern w:val="2"/>
                <w:sz w:val="18"/>
                <w:szCs w:val="18"/>
                <w:lang w:val="en-US" w:eastAsia="zh-CN" w:bidi="ar-SA"/>
              </w:rPr>
              <w:t>铁精粉+硅渣</w:t>
            </w:r>
          </w:p>
        </w:tc>
      </w:tr>
    </w:tbl>
    <w:p w14:paraId="32EB64DA">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rPr>
      </w:pPr>
      <w:r>
        <w:rPr>
          <w:rFonts w:hint="eastAsia" w:ascii="宋体" w:hAnsi="宋体" w:eastAsia="宋体" w:cs="宋体"/>
        </w:rPr>
        <w:t>注：硫磺参考价</w:t>
      </w:r>
      <w:r>
        <w:rPr>
          <w:rFonts w:hint="eastAsia" w:ascii="宋体" w:hAnsi="宋体" w:eastAsia="宋体" w:cs="宋体"/>
          <w:lang w:val="en-US" w:eastAsia="zh-CN"/>
        </w:rPr>
        <w:t>9</w:t>
      </w:r>
      <w:r>
        <w:rPr>
          <w:rFonts w:hint="eastAsia" w:ascii="宋体" w:hAnsi="宋体" w:eastAsia="宋体" w:cs="宋体"/>
        </w:rPr>
        <w:t>,</w:t>
      </w:r>
      <w:r>
        <w:rPr>
          <w:rFonts w:hint="eastAsia" w:ascii="宋体" w:hAnsi="宋体" w:eastAsia="宋体" w:cs="宋体"/>
          <w:lang w:val="en-US" w:eastAsia="zh-CN"/>
        </w:rPr>
        <w:t>2</w:t>
      </w:r>
      <w:r>
        <w:rPr>
          <w:rFonts w:hint="eastAsia" w:ascii="宋体" w:hAnsi="宋体" w:eastAsia="宋体" w:cs="宋体"/>
        </w:rPr>
        <w:t>00元/吨；35%高品位硫铁矿1,780元/吨；22%低品位硫铁矿120元/吨；55%天然矿到港含税价2,700元/吨；98%硫酸出厂价1,800元/吨。高品位天然矿（65%-75%）价格假设为品位溢价有限，矿石品位提升带来的含硫量增幅显著大于价格增幅。吨酸理论原料价差指硫酸售价减去吨酸原料折算成本，不含加工、能耗、折旧、环保、维修及财务成本。是否为最终经营利润，需结合各项实际成本综合判断。所有价格数据截至2026年</w:t>
      </w:r>
      <w:r>
        <w:rPr>
          <w:rFonts w:hint="eastAsia" w:ascii="宋体" w:hAnsi="宋体" w:eastAsia="宋体" w:cs="宋体"/>
          <w:lang w:val="en-US" w:eastAsia="zh-CN"/>
        </w:rPr>
        <w:t>6</w:t>
      </w:r>
      <w:r>
        <w:rPr>
          <w:rFonts w:hint="eastAsia" w:ascii="宋体" w:hAnsi="宋体" w:eastAsia="宋体" w:cs="宋体"/>
        </w:rPr>
        <w:t>月</w:t>
      </w:r>
      <w:r>
        <w:rPr>
          <w:rFonts w:hint="eastAsia" w:ascii="宋体" w:hAnsi="宋体" w:eastAsia="宋体" w:cs="宋体"/>
          <w:lang w:val="en-US" w:eastAsia="zh-CN"/>
        </w:rPr>
        <w:t>9日</w:t>
      </w:r>
      <w:r>
        <w:rPr>
          <w:rFonts w:hint="eastAsia" w:ascii="宋体" w:hAnsi="宋体" w:eastAsia="宋体" w:cs="宋体"/>
        </w:rPr>
        <w:t>。表中各配比的成本测算基于硫含量加权平均理论值，实际运行配比应经梯级掺入法试烧验证后确定，相应的经济效益以工程验证数据为准。</w:t>
      </w:r>
    </w:p>
    <w:p w14:paraId="47CB8F2A">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bCs/>
        </w:rPr>
      </w:pPr>
      <w:r>
        <w:rPr>
          <w:rFonts w:hint="eastAsia" w:ascii="宋体" w:hAnsi="宋体" w:eastAsia="宋体" w:cs="宋体"/>
          <w:b/>
          <w:bCs/>
        </w:rPr>
        <w:t>4.2 抗风险能力</w:t>
      </w:r>
    </w:p>
    <w:p w14:paraId="49A0656D">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rPr>
      </w:pPr>
      <w:r>
        <w:rPr>
          <w:rFonts w:hint="eastAsia" w:ascii="宋体" w:hAnsi="宋体" w:eastAsia="宋体" w:cs="宋体"/>
        </w:rPr>
        <w:t>在本文假设的配比框架和加工费不变的前提下，即使硫酸价格大幅下跌，本方案仍可保持正向原料价差，其抗风险能力显著优于纯硫磺制酸和高品位硫铁矿制酸。随着65%、75%等更高品位天然矿的引入，单位硫成本进一步下降，安全边际持续增厚。但是否形成最终经营利润，需结合加工成本、副产品实际收益、装置运行稳定性和试烧数据综合判断。</w:t>
      </w:r>
    </w:p>
    <w:p w14:paraId="551380C3">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bCs/>
        </w:rPr>
      </w:pPr>
      <w:r>
        <w:rPr>
          <w:rFonts w:hint="eastAsia" w:ascii="宋体" w:hAnsi="宋体" w:eastAsia="宋体" w:cs="宋体"/>
          <w:b/>
          <w:bCs/>
        </w:rPr>
        <w:t>4.3 敏感性分析</w:t>
      </w:r>
    </w:p>
    <w:p w14:paraId="7408C23E">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rPr>
      </w:pPr>
      <w:r>
        <w:rPr>
          <w:rFonts w:hint="eastAsia" w:ascii="宋体" w:hAnsi="宋体" w:eastAsia="宋体" w:cs="宋体"/>
        </w:rPr>
        <w:t>方案经济效益受以下因素影响，按敏感度排序为：硫酸售价 &gt; 硫磺价格 &gt; 天然矿品位 &gt; 低品位矿采购价 &gt; 铁精粉售价。硫酸售价是影响利润的最核心变量，硫磺价格次之。当前硫磺价格高位运行使本方案具备较强的比较优势，但各敏感因素均存在波动可能，具体效益需结合企业实际工况进行测算。</w:t>
      </w:r>
    </w:p>
    <w:p w14:paraId="795E6003">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bCs/>
        </w:rPr>
      </w:pPr>
      <w:r>
        <w:rPr>
          <w:rFonts w:hint="eastAsia" w:ascii="宋体" w:hAnsi="宋体" w:eastAsia="宋体" w:cs="宋体"/>
          <w:b/>
          <w:bCs/>
        </w:rPr>
        <w:t>5 环保合规性论证</w:t>
      </w:r>
    </w:p>
    <w:p w14:paraId="528FF5B0">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rPr>
      </w:pPr>
      <w:r>
        <w:rPr>
          <w:rFonts w:hint="eastAsia" w:ascii="宋体" w:hAnsi="宋体" w:eastAsia="宋体" w:cs="宋体"/>
        </w:rPr>
        <w:t>根据生态环境部《污染影响类建设项目重大变动清单（试行）》（环办环评函〔2020〕688号）</w:t>
      </w:r>
      <w:r>
        <w:rPr>
          <w:rFonts w:hint="eastAsia" w:ascii="宋体" w:hAnsi="宋体" w:eastAsia="宋体" w:cs="宋体"/>
          <w:vertAlign w:val="superscript"/>
        </w:rPr>
        <w:t>[1]</w:t>
      </w:r>
      <w:r>
        <w:rPr>
          <w:rFonts w:hint="eastAsia" w:ascii="宋体" w:hAnsi="宋体" w:eastAsia="宋体" w:cs="宋体"/>
        </w:rPr>
        <w:t>，建设项目变动是否构成重大变动、需要重新报批环评，取决于三项核心判断标准：项目性质是否改变、生产规模是否改变、污染物排放是否加重。</w:t>
      </w:r>
    </w:p>
    <w:p w14:paraId="42930754">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rPr>
      </w:pPr>
      <w:r>
        <w:rPr>
          <w:rFonts w:hint="eastAsia" w:ascii="宋体" w:hAnsi="宋体" w:eastAsia="宋体" w:cs="宋体"/>
          <w:b w:val="0"/>
          <w:bCs w:val="0"/>
        </w:rPr>
        <w:t>本方案逐项对照分析：</w:t>
      </w:r>
    </w:p>
    <w:p w14:paraId="6BF3BBD6">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rPr>
      </w:pPr>
      <w:r>
        <w:rPr>
          <w:rFonts w:hint="eastAsia" w:ascii="宋体" w:hAnsi="宋体" w:eastAsia="宋体" w:cs="宋体"/>
        </w:rPr>
        <w:t>（1）项目性质：仍为硫铁矿制酸，产品仍为98%工业硫酸，生产工艺仍为沸腾炉焙烧-两转两吸，性质未变。</w:t>
      </w:r>
    </w:p>
    <w:p w14:paraId="057E598D">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rPr>
      </w:pPr>
      <w:r>
        <w:rPr>
          <w:rFonts w:hint="eastAsia" w:ascii="宋体" w:hAnsi="宋体" w:eastAsia="宋体" w:cs="宋体"/>
        </w:rPr>
        <w:t>（2）生产规模：不突破原环评批复产能上限，规模未变。</w:t>
      </w:r>
    </w:p>
    <w:p w14:paraId="36CE0F35">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rPr>
      </w:pPr>
      <w:r>
        <w:rPr>
          <w:rFonts w:hint="eastAsia" w:ascii="宋体" w:hAnsi="宋体" w:eastAsia="宋体" w:cs="宋体"/>
        </w:rPr>
        <w:t>（3）污染物排放：新原料有害杂质（砷、铅、锌、氟、氯、汞等）全面低于传统硫铁矿，烟气净化负荷不增加；焙烧废渣以二氧化硅为主，需经检测确认其固废属性，处置方式不变；工艺废水产生量和性质不变。本方案不新增任何污染物排放口，不改变现有环保设施的处理能力和工艺路线。综合判断，污染物排放存在不加重的前景。</w:t>
      </w:r>
    </w:p>
    <w:p w14:paraId="05EA75F9">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rPr>
      </w:pPr>
      <w:r>
        <w:rPr>
          <w:rFonts w:hint="eastAsia" w:ascii="宋体" w:hAnsi="宋体" w:eastAsia="宋体" w:cs="宋体"/>
        </w:rPr>
        <w:t>综合上述分析，在不突破原环评批复产能、不新增排放口、不改变污染治理设施、不增加污染物排放种类和排放量的前提下，本方案作为原料调整和掺烧试验，存在不构成重大变动的可能。但建设项目是否构成重大变动，应结合企业原环评文件、批复内容、排污许可证载明事项、试烧规模、污染物监测结果及属地生态环境主管部门意见综合判断。本文仅为技术交流层面的初步分析，不构成正式环评结论或法律意见。建议企业在试烧前主动向属地生态环境部门沟通，并按要求办理排污许可变更、备案或其他手续。</w:t>
      </w:r>
    </w:p>
    <w:p w14:paraId="0815AF40">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bCs/>
        </w:rPr>
      </w:pPr>
      <w:r>
        <w:rPr>
          <w:rFonts w:hint="eastAsia" w:ascii="宋体" w:hAnsi="宋体" w:eastAsia="宋体" w:cs="宋体"/>
          <w:b/>
          <w:bCs/>
        </w:rPr>
        <w:t>6 工业验证方案</w:t>
      </w:r>
    </w:p>
    <w:p w14:paraId="505ECED7">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rPr>
      </w:pPr>
      <w:r>
        <w:rPr>
          <w:rFonts w:hint="eastAsia" w:ascii="宋体" w:hAnsi="宋体" w:eastAsia="宋体" w:cs="宋体"/>
        </w:rPr>
        <w:t>本方案从物料平衡和成本结构上具备显著优势，但最终适用性必须通过工业试烧验证。建议意向企业采用阶梯式验证策略：</w:t>
      </w:r>
    </w:p>
    <w:p w14:paraId="68E68BAD">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val="0"/>
          <w:bCs w:val="0"/>
        </w:rPr>
      </w:pPr>
      <w:r>
        <w:rPr>
          <w:rFonts w:hint="eastAsia" w:ascii="宋体" w:hAnsi="宋体" w:eastAsia="宋体" w:cs="宋体"/>
          <w:b w:val="0"/>
          <w:bCs w:val="0"/>
        </w:rPr>
        <w:t>第一阶段：实验室小试。 取50-100公斤代表性矿样，在实验室进行热重分析、差热分析和小型焙烧试验，验证燃烧特性、炉温匹配性和渣相组成。此阶段耗时约1-2周，成本低，可快速判断方案的初步可行性。</w:t>
      </w:r>
    </w:p>
    <w:p w14:paraId="54CB2325">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val="0"/>
          <w:bCs w:val="0"/>
        </w:rPr>
      </w:pPr>
      <w:r>
        <w:rPr>
          <w:rFonts w:hint="eastAsia" w:ascii="宋体" w:hAnsi="宋体" w:eastAsia="宋体" w:cs="宋体"/>
          <w:b w:val="0"/>
          <w:bCs w:val="0"/>
        </w:rPr>
        <w:t>第二阶段：小比例工业试烧。 在实验室小试数据良好的前提下，在企业沸腾炉上进行小比例掺烧试验，初期掺烧比例控制在5%-10%，运行时间不少于72小时。重点验证分层进料系统的运行稳定性、炉温控制精度、SO₂浓度波动范围和排渣系统适应性。根据运行数据逐步优化配比和操作参数。试烧过程中，建议采用梯级掺入法：从5%比例起步，每次以2%-3%为步长逐步提高天然硫矿占比，每次调整后稳定运行不少于2小时，以炉温、SO₂浓度、炉渣残硫等实际运行参数为判断依据，确定适合该炉型和该批次原料的运行配比。</w:t>
      </w:r>
    </w:p>
    <w:p w14:paraId="3B564A2F">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rPr>
      </w:pPr>
      <w:r>
        <w:rPr>
          <w:rFonts w:hint="eastAsia" w:ascii="宋体" w:hAnsi="宋体" w:eastAsia="宋体" w:cs="宋体"/>
          <w:b w:val="0"/>
          <w:bCs w:val="0"/>
        </w:rPr>
        <w:t xml:space="preserve">第三阶段：工业化批量验证。 </w:t>
      </w:r>
      <w:r>
        <w:rPr>
          <w:rFonts w:hint="eastAsia" w:ascii="宋体" w:hAnsi="宋体" w:eastAsia="宋体" w:cs="宋体"/>
        </w:rPr>
        <w:t>在小比例试烧稳定的基础上，逐步提高掺烧比例至目标配比，进行连续一个检修周期的稳定运行验证，全面评估设备长期运行影响、检修频率变化和综合经济效益。</w:t>
      </w:r>
    </w:p>
    <w:p w14:paraId="3D429BE1">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rPr>
      </w:pPr>
      <w:r>
        <w:rPr>
          <w:rFonts w:hint="eastAsia" w:ascii="宋体" w:hAnsi="宋体" w:eastAsia="宋体" w:cs="宋体"/>
        </w:rPr>
        <w:t>试烧过程中，建议重点监控以下指标：入炉粒度分布与混料均匀性、分层进料速率匹配与燃烧同步性、炉温与SO₂浓度对应关系、炉膛温度分布与上部二次燃烧风险、给料系统粘结与堵料情况、余热锅炉换热负荷与受热面结灰情况、排渣残硫量与渣相组成及浸出毒性、焙烧渣磁选铁精粉的产率品位和回收率、烟气粉尘负荷与除尘系统负荷、烟气净化系统压降与催化剂活性变化、成品酸品质（浓度、透明度、砷、氟、氯等杂质含量）。</w:t>
      </w:r>
    </w:p>
    <w:p w14:paraId="4A5AC999">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rPr>
      </w:pPr>
      <w:r>
        <w:rPr>
          <w:rFonts w:hint="eastAsia" w:ascii="宋体" w:hAnsi="宋体" w:eastAsia="宋体" w:cs="宋体"/>
        </w:rPr>
        <w:t>试烧期间的技术和安全控制由企业技术团队按规范执行。原料供应方提供矿样、检测报告和技术资料支持。</w:t>
      </w:r>
      <w:bookmarkStart w:id="0" w:name="_GoBack"/>
      <w:bookmarkEnd w:id="0"/>
    </w:p>
    <w:p w14:paraId="4783FB91">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bCs/>
        </w:rPr>
      </w:pPr>
      <w:r>
        <w:rPr>
          <w:rFonts w:hint="eastAsia" w:ascii="宋体" w:hAnsi="宋体" w:eastAsia="宋体" w:cs="宋体"/>
          <w:b/>
          <w:bCs/>
        </w:rPr>
        <w:t>7 结论</w:t>
      </w:r>
    </w:p>
    <w:p w14:paraId="6E09A70B">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rPr>
      </w:pPr>
      <w:r>
        <w:rPr>
          <w:rFonts w:hint="eastAsia" w:ascii="宋体" w:hAnsi="宋体" w:eastAsia="宋体" w:cs="宋体"/>
        </w:rPr>
        <w:t>本文提出了一种以进口天然单质硫磺矿为廉价硫源、以国内低品位硫铁矿为功能性掺混辅料的协同制酸方案。主要结论如下：</w:t>
      </w:r>
    </w:p>
    <w:p w14:paraId="234B395E">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rPr>
      </w:pPr>
      <w:r>
        <w:rPr>
          <w:rFonts w:hint="eastAsia" w:ascii="宋体" w:hAnsi="宋体" w:eastAsia="宋体" w:cs="宋体"/>
        </w:rPr>
        <w:t>（1）天然硫矿单位纯硫成本约2,700元/吨硫（55%品位基准），较工业硫磺低约</w:t>
      </w:r>
      <w:r>
        <w:rPr>
          <w:rFonts w:hint="eastAsia" w:ascii="宋体" w:hAnsi="宋体" w:eastAsia="宋体" w:cs="宋体"/>
          <w:lang w:val="en-US" w:eastAsia="zh-CN"/>
        </w:rPr>
        <w:t>71</w:t>
      </w:r>
      <w:r>
        <w:rPr>
          <w:rFonts w:hint="eastAsia" w:ascii="宋体" w:hAnsi="宋体" w:eastAsia="宋体" w:cs="宋体"/>
        </w:rPr>
        <w:t>%，较高品位硫铁矿低约38%。后续65%-75%高品位矿石的引入将进一步降低成本。</w:t>
      </w:r>
    </w:p>
    <w:p w14:paraId="7ABDCAE5">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rPr>
      </w:pPr>
      <w:r>
        <w:rPr>
          <w:rFonts w:hint="eastAsia" w:ascii="宋体" w:hAnsi="宋体" w:eastAsia="宋体" w:cs="宋体"/>
        </w:rPr>
        <w:t>（2）低品位硫铁矿作为掺混辅料，变废为宝，实现了“硫制酸、铁选铁精粉、脉石调节炉温”三重价值。</w:t>
      </w:r>
    </w:p>
    <w:p w14:paraId="2D286483">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rPr>
      </w:pPr>
      <w:r>
        <w:rPr>
          <w:rFonts w:hint="eastAsia" w:ascii="宋体" w:hAnsi="宋体" w:eastAsia="宋体" w:cs="宋体"/>
        </w:rPr>
        <w:t>（3）分层进料是解决两种原料燃烧速率差异的成熟方案，在本文假设的通用炉型下，技改投入可控，通常无需改动沸腾炉主体结构。最终改造方案和设备投资因具体炉型和现有装置布局而异。</w:t>
      </w:r>
    </w:p>
    <w:p w14:paraId="55DD7320">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rPr>
      </w:pPr>
      <w:r>
        <w:rPr>
          <w:rFonts w:hint="eastAsia" w:ascii="宋体" w:hAnsi="宋体" w:eastAsia="宋体" w:cs="宋体"/>
        </w:rPr>
        <w:t>（4）方案环保合规方面，初步分析存在不构成重大变动的可能，最终应以属地生态环境主管部门意见为准。</w:t>
      </w:r>
    </w:p>
    <w:p w14:paraId="4B9C9A98">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rPr>
      </w:pPr>
      <w:r>
        <w:rPr>
          <w:rFonts w:hint="eastAsia" w:ascii="宋体" w:hAnsi="宋体" w:eastAsia="宋体" w:cs="宋体"/>
        </w:rPr>
        <w:t>（5）本方案为硫酸行业提供了一种低成本、低风险的原料多元化路径，不仅能有效缓解高硫价带来的成本压力，还能实现低品位硫铁矿尾矿的资源化利用，具有显著的经济和环境效益。</w:t>
      </w:r>
    </w:p>
    <w:p w14:paraId="5E0105DA">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rPr>
      </w:pPr>
      <w:r>
        <w:rPr>
          <w:rFonts w:hint="eastAsia" w:ascii="宋体" w:hAnsi="宋体" w:eastAsia="宋体" w:cs="宋体"/>
        </w:rPr>
        <w:t>（6）本方案已申请发明及实用新型专利保护，并符合国家资源综合利用政策导向。采用本方案的企业可依据《财政部 税务总局关于完善资源综合利用增值税政策的公告》（财政部 税务总局公告2021年第40号）、《财政部 税务总局关于增值税法施行后增值税优惠政策衔接事项的公告》（财政部 税务总局公告2026年第10号）、《中华人民共和国企业所得税法》等相关规定，依法申请享受增值税即征即退、企业所得税减计收入等税收优惠；同时可依据《固体废物综合治理行动计划》（国发〔2025〕14号）和《节能降碳中央预算内投资专项管理办法》（发改环资规〔2024〕338号），申请中央预算内投资补贴和地方政府专项奖励。上述政策的具体适用条件和申请流程，以属地税务、工信及生态环境部门的审核意见为准。</w:t>
      </w:r>
    </w:p>
    <w:p w14:paraId="53AD7FB1">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rPr>
      </w:pPr>
      <w:r>
        <w:rPr>
          <w:rFonts w:hint="eastAsia" w:ascii="宋体" w:hAnsi="宋体" w:eastAsia="宋体" w:cs="宋体"/>
        </w:rPr>
        <w:t>需要再次强调，本方案的结论基于理论测算和行业经验推断，最终适用性需通过小试和工业试烧验证。建议意向企业采用“先检测、后试烧、再采购”的阶梯式合作模式，逐步验证方案的工业可行性。</w:t>
      </w:r>
    </w:p>
    <w:p w14:paraId="1B8B5BAE">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rPr>
      </w:pPr>
    </w:p>
    <w:p w14:paraId="155CE3FD">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bCs/>
        </w:rPr>
      </w:pPr>
      <w:r>
        <w:rPr>
          <w:rFonts w:hint="eastAsia" w:ascii="宋体" w:hAnsi="宋体" w:eastAsia="宋体" w:cs="宋体"/>
          <w:b/>
          <w:bCs/>
        </w:rPr>
        <w:t>参考文献</w:t>
      </w:r>
    </w:p>
    <w:p w14:paraId="4F2A7F6A">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rPr>
      </w:pPr>
      <w:r>
        <w:rPr>
          <w:rFonts w:hint="eastAsia" w:ascii="宋体" w:hAnsi="宋体" w:eastAsia="宋体" w:cs="宋体"/>
        </w:rPr>
        <w:t>[1] 生态环境部. 污染影响类建设项目重大变动清单（试行）. 环办环评函〔2020〕688号，2020.</w:t>
      </w:r>
    </w:p>
    <w:p w14:paraId="56B61D06">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rPr>
      </w:pPr>
      <w:r>
        <w:rPr>
          <w:rFonts w:hint="eastAsia" w:ascii="宋体" w:hAnsi="宋体" w:eastAsia="宋体" w:cs="宋体"/>
        </w:rPr>
        <w:t>[2] 国务院. 排污许可管理条例. 国务院令第736号，2021.</w:t>
      </w:r>
    </w:p>
    <w:p w14:paraId="7BE8F086">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rPr>
      </w:pPr>
      <w:r>
        <w:rPr>
          <w:rFonts w:hint="eastAsia" w:ascii="宋体" w:hAnsi="宋体" w:eastAsia="宋体" w:cs="宋体"/>
        </w:rPr>
        <w:t>[3] 全国化学标准化技术委员会. 工业硫磺 第1部分：固体产品：GB/T 2449.1-2021[S]. 北京：中国标准出版社，2021.</w:t>
      </w:r>
    </w:p>
    <w:p w14:paraId="59E3ABA0">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rPr>
      </w:pPr>
      <w:r>
        <w:rPr>
          <w:rFonts w:hint="eastAsia" w:ascii="宋体" w:hAnsi="宋体" w:eastAsia="宋体" w:cs="宋体"/>
        </w:rPr>
        <w:t>[4] 生意社. 硫磺基准价行情[EB/OL]. 2026年</w:t>
      </w:r>
      <w:r>
        <w:rPr>
          <w:rFonts w:hint="eastAsia" w:ascii="宋体" w:hAnsi="宋体" w:eastAsia="宋体" w:cs="宋体"/>
          <w:lang w:val="en-US" w:eastAsia="zh-CN"/>
        </w:rPr>
        <w:t>6</w:t>
      </w:r>
      <w:r>
        <w:rPr>
          <w:rFonts w:hint="eastAsia" w:ascii="宋体" w:hAnsi="宋体" w:eastAsia="宋体" w:cs="宋体"/>
        </w:rPr>
        <w:t>月.</w:t>
      </w:r>
    </w:p>
    <w:p w14:paraId="466D69E4">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rPr>
      </w:pPr>
      <w:r>
        <w:rPr>
          <w:rFonts w:hint="eastAsia" w:ascii="宋体" w:hAnsi="宋体" w:eastAsia="宋体" w:cs="宋体"/>
        </w:rPr>
        <w:t>[5] 铜陵市生态环境局. 铜陵市华兴化工有限公司硫精砂掺烧硫磺渣项目信息公开[EB/OL]. 2024.</w:t>
      </w:r>
    </w:p>
    <w:p w14:paraId="5A089898">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rPr>
      </w:pPr>
      <w:r>
        <w:rPr>
          <w:rFonts w:hint="eastAsia" w:ascii="宋体" w:hAnsi="宋体" w:eastAsia="宋体" w:cs="宋体"/>
        </w:rPr>
        <w:t>[6] 财政部，税务总局. 关于完善资源综合利用增值税政策的公告（2021年第40号）[EB/OL]. 2021.</w:t>
      </w:r>
    </w:p>
    <w:p w14:paraId="0907E84F">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rPr>
      </w:pPr>
      <w:r>
        <w:rPr>
          <w:rFonts w:hint="eastAsia" w:ascii="宋体" w:hAnsi="宋体" w:eastAsia="宋体" w:cs="宋体"/>
        </w:rPr>
        <w:t>[7] 财政部，税务总局. 关于增值税法施行后增值税优惠政策衔接事项的公告（2026年第10号）[EB/OL]. 2026.</w:t>
      </w:r>
    </w:p>
    <w:p w14:paraId="372A6EB5">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rPr>
      </w:pPr>
      <w:r>
        <w:rPr>
          <w:rFonts w:hint="eastAsia" w:ascii="宋体" w:hAnsi="宋体" w:eastAsia="宋体" w:cs="宋体"/>
        </w:rPr>
        <w:t>[8] 国务院. 固体废物综合治理行动计划（国发〔2025〕14号）[EB/OL]. 2026.</w:t>
      </w:r>
    </w:p>
    <w:p w14:paraId="3EED7948">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rPr>
      </w:pPr>
      <w:r>
        <w:rPr>
          <w:rFonts w:hint="eastAsia" w:ascii="宋体" w:hAnsi="宋体" w:eastAsia="宋体" w:cs="宋体"/>
        </w:rPr>
        <w:t>[9] 国家发展改革委. 节能降碳中央预算内投资专项管理办法（发改环资规〔2024〕338号）[EB/OL]. 2024.</w:t>
      </w:r>
    </w:p>
    <w:p w14:paraId="629D3A72">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lang w:val="en-US" w:eastAsia="zh-CN"/>
        </w:rPr>
      </w:pPr>
    </w:p>
    <w:sectPr>
      <w:pgSz w:w="11906" w:h="16838"/>
      <w:pgMar w:top="1814" w:right="1587" w:bottom="1701"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华文楷体">
    <w:panose1 w:val="02010600040101010101"/>
    <w:charset w:val="86"/>
    <w:family w:val="auto"/>
    <w:pitch w:val="default"/>
    <w:sig w:usb0="00000287" w:usb1="080F0000" w:usb2="00000000" w:usb3="00000000" w:csb0="0004009F" w:csb1="DFD70000"/>
  </w:font>
  <w:font w:name="隶书">
    <w:panose1 w:val="02010509060101010101"/>
    <w:charset w:val="86"/>
    <w:family w:val="modern"/>
    <w:pitch w:val="default"/>
    <w:sig w:usb0="00000001" w:usb1="080E0000" w:usb2="00000000" w:usb3="00000000" w:csb0="00040000"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c5ZmMwZTNkY2FjMjU1Y2Y4ZTlkNzhjNmI4MDEyNjcifQ=="/>
  </w:docVars>
  <w:rsids>
    <w:rsidRoot w:val="00DD4CC1"/>
    <w:rsid w:val="00036B5E"/>
    <w:rsid w:val="00047FC0"/>
    <w:rsid w:val="00060599"/>
    <w:rsid w:val="0008730F"/>
    <w:rsid w:val="000A4D30"/>
    <w:rsid w:val="001570A5"/>
    <w:rsid w:val="001653DA"/>
    <w:rsid w:val="00170655"/>
    <w:rsid w:val="001F16B8"/>
    <w:rsid w:val="001F268C"/>
    <w:rsid w:val="00205F95"/>
    <w:rsid w:val="00223CAE"/>
    <w:rsid w:val="00252BF1"/>
    <w:rsid w:val="00264F57"/>
    <w:rsid w:val="002A2FE8"/>
    <w:rsid w:val="002A6E7F"/>
    <w:rsid w:val="002D3AD9"/>
    <w:rsid w:val="0032324D"/>
    <w:rsid w:val="00326DED"/>
    <w:rsid w:val="00452666"/>
    <w:rsid w:val="0046021A"/>
    <w:rsid w:val="0046375D"/>
    <w:rsid w:val="00472F07"/>
    <w:rsid w:val="00495E28"/>
    <w:rsid w:val="004A7308"/>
    <w:rsid w:val="004B658B"/>
    <w:rsid w:val="004E5974"/>
    <w:rsid w:val="004E639D"/>
    <w:rsid w:val="0052555F"/>
    <w:rsid w:val="00550EFD"/>
    <w:rsid w:val="00566B27"/>
    <w:rsid w:val="005A641B"/>
    <w:rsid w:val="005B2031"/>
    <w:rsid w:val="006054C1"/>
    <w:rsid w:val="006278D9"/>
    <w:rsid w:val="006525A5"/>
    <w:rsid w:val="006B4EF3"/>
    <w:rsid w:val="006B523C"/>
    <w:rsid w:val="006C7D50"/>
    <w:rsid w:val="00704818"/>
    <w:rsid w:val="00735E72"/>
    <w:rsid w:val="00756BF6"/>
    <w:rsid w:val="007958E0"/>
    <w:rsid w:val="007A04D9"/>
    <w:rsid w:val="007C2153"/>
    <w:rsid w:val="007D0764"/>
    <w:rsid w:val="007F00BC"/>
    <w:rsid w:val="00844F2C"/>
    <w:rsid w:val="00852987"/>
    <w:rsid w:val="0087425D"/>
    <w:rsid w:val="00874940"/>
    <w:rsid w:val="009168ED"/>
    <w:rsid w:val="0093495B"/>
    <w:rsid w:val="0094356F"/>
    <w:rsid w:val="009819FE"/>
    <w:rsid w:val="00987F1F"/>
    <w:rsid w:val="00A0752B"/>
    <w:rsid w:val="00A1502F"/>
    <w:rsid w:val="00A3470B"/>
    <w:rsid w:val="00A633AE"/>
    <w:rsid w:val="00A81B9E"/>
    <w:rsid w:val="00AA011A"/>
    <w:rsid w:val="00AD6D59"/>
    <w:rsid w:val="00B05911"/>
    <w:rsid w:val="00B226D2"/>
    <w:rsid w:val="00B86F3C"/>
    <w:rsid w:val="00BD25C3"/>
    <w:rsid w:val="00BF5402"/>
    <w:rsid w:val="00C31229"/>
    <w:rsid w:val="00C76433"/>
    <w:rsid w:val="00CF58F8"/>
    <w:rsid w:val="00D203A8"/>
    <w:rsid w:val="00D36A6E"/>
    <w:rsid w:val="00D829F0"/>
    <w:rsid w:val="00DD4CC1"/>
    <w:rsid w:val="00DE0390"/>
    <w:rsid w:val="00DF0139"/>
    <w:rsid w:val="00E52C97"/>
    <w:rsid w:val="00E67BF2"/>
    <w:rsid w:val="00EC1DD6"/>
    <w:rsid w:val="00ED67A0"/>
    <w:rsid w:val="00F153FF"/>
    <w:rsid w:val="00F22786"/>
    <w:rsid w:val="00F834FB"/>
    <w:rsid w:val="00F9257D"/>
    <w:rsid w:val="00FB3EEC"/>
    <w:rsid w:val="00FD2258"/>
    <w:rsid w:val="01520363"/>
    <w:rsid w:val="01C963F3"/>
    <w:rsid w:val="01DE1C5C"/>
    <w:rsid w:val="02203B3A"/>
    <w:rsid w:val="02555ED9"/>
    <w:rsid w:val="02B86B51"/>
    <w:rsid w:val="03304250"/>
    <w:rsid w:val="0374238F"/>
    <w:rsid w:val="03A5079A"/>
    <w:rsid w:val="03C50E3C"/>
    <w:rsid w:val="03C527A5"/>
    <w:rsid w:val="048748A1"/>
    <w:rsid w:val="04CC1D57"/>
    <w:rsid w:val="04DC643E"/>
    <w:rsid w:val="056106F1"/>
    <w:rsid w:val="05AE130F"/>
    <w:rsid w:val="05FB3670"/>
    <w:rsid w:val="06112117"/>
    <w:rsid w:val="062077BC"/>
    <w:rsid w:val="065F10D4"/>
    <w:rsid w:val="0730481F"/>
    <w:rsid w:val="076E5F7E"/>
    <w:rsid w:val="07B471FE"/>
    <w:rsid w:val="07C05BA3"/>
    <w:rsid w:val="07E3246F"/>
    <w:rsid w:val="07F7358F"/>
    <w:rsid w:val="08564759"/>
    <w:rsid w:val="08BA0844"/>
    <w:rsid w:val="091A7E4E"/>
    <w:rsid w:val="09931095"/>
    <w:rsid w:val="09F00295"/>
    <w:rsid w:val="0A2172D5"/>
    <w:rsid w:val="0A4B20AA"/>
    <w:rsid w:val="0AEE6ECB"/>
    <w:rsid w:val="0AFF2E86"/>
    <w:rsid w:val="0B664CB3"/>
    <w:rsid w:val="0C0E77A3"/>
    <w:rsid w:val="0C2B45A8"/>
    <w:rsid w:val="0C580AA0"/>
    <w:rsid w:val="0C8E44C1"/>
    <w:rsid w:val="0CDE6ACB"/>
    <w:rsid w:val="0CE40585"/>
    <w:rsid w:val="0CE82491"/>
    <w:rsid w:val="0CF56428"/>
    <w:rsid w:val="0D525F6F"/>
    <w:rsid w:val="0D731909"/>
    <w:rsid w:val="0DA11FD2"/>
    <w:rsid w:val="0E470192"/>
    <w:rsid w:val="0E5352AC"/>
    <w:rsid w:val="0E792F4F"/>
    <w:rsid w:val="0EC8358F"/>
    <w:rsid w:val="0F543075"/>
    <w:rsid w:val="0FCA3251"/>
    <w:rsid w:val="0FEE51C5"/>
    <w:rsid w:val="0FEF171B"/>
    <w:rsid w:val="0FF00FEF"/>
    <w:rsid w:val="0FF705D0"/>
    <w:rsid w:val="102313C5"/>
    <w:rsid w:val="103C5A23"/>
    <w:rsid w:val="10523A58"/>
    <w:rsid w:val="10667503"/>
    <w:rsid w:val="108035FE"/>
    <w:rsid w:val="108F6A5A"/>
    <w:rsid w:val="10AC13BA"/>
    <w:rsid w:val="10B85FB1"/>
    <w:rsid w:val="10BB15FD"/>
    <w:rsid w:val="10D34B99"/>
    <w:rsid w:val="111156C1"/>
    <w:rsid w:val="111B6540"/>
    <w:rsid w:val="11407D54"/>
    <w:rsid w:val="123F1DBA"/>
    <w:rsid w:val="12CF1390"/>
    <w:rsid w:val="12DB7D35"/>
    <w:rsid w:val="12E60488"/>
    <w:rsid w:val="13001868"/>
    <w:rsid w:val="131D5869"/>
    <w:rsid w:val="132A2A6A"/>
    <w:rsid w:val="13CB5FFB"/>
    <w:rsid w:val="145D3907"/>
    <w:rsid w:val="148A7C64"/>
    <w:rsid w:val="14B4083D"/>
    <w:rsid w:val="156C2EC6"/>
    <w:rsid w:val="15C56B00"/>
    <w:rsid w:val="16132CB9"/>
    <w:rsid w:val="16B20DAC"/>
    <w:rsid w:val="16B25250"/>
    <w:rsid w:val="16B8213B"/>
    <w:rsid w:val="16D2144F"/>
    <w:rsid w:val="17836BED"/>
    <w:rsid w:val="178C5AA1"/>
    <w:rsid w:val="17AD77C6"/>
    <w:rsid w:val="180933FC"/>
    <w:rsid w:val="185C6006"/>
    <w:rsid w:val="18616F2E"/>
    <w:rsid w:val="191221DB"/>
    <w:rsid w:val="19235F91"/>
    <w:rsid w:val="19800B64"/>
    <w:rsid w:val="19836A30"/>
    <w:rsid w:val="199944A6"/>
    <w:rsid w:val="19FD4A34"/>
    <w:rsid w:val="1A533F79"/>
    <w:rsid w:val="1A5A1E87"/>
    <w:rsid w:val="1B2F179A"/>
    <w:rsid w:val="1B6F3710"/>
    <w:rsid w:val="1C250273"/>
    <w:rsid w:val="1D01483C"/>
    <w:rsid w:val="1D2B0339"/>
    <w:rsid w:val="1D5D57EA"/>
    <w:rsid w:val="1E171E3D"/>
    <w:rsid w:val="1EBA2EF4"/>
    <w:rsid w:val="1EC41FC5"/>
    <w:rsid w:val="1EFE3E02"/>
    <w:rsid w:val="1F78690B"/>
    <w:rsid w:val="1FA40E26"/>
    <w:rsid w:val="20181E55"/>
    <w:rsid w:val="20200F8C"/>
    <w:rsid w:val="204B20BB"/>
    <w:rsid w:val="204F1D62"/>
    <w:rsid w:val="205C7FDB"/>
    <w:rsid w:val="20CA763A"/>
    <w:rsid w:val="21294361"/>
    <w:rsid w:val="21661758"/>
    <w:rsid w:val="227635D6"/>
    <w:rsid w:val="22BA5BB9"/>
    <w:rsid w:val="230D784D"/>
    <w:rsid w:val="23B95F13"/>
    <w:rsid w:val="23F21382"/>
    <w:rsid w:val="24174945"/>
    <w:rsid w:val="24212C83"/>
    <w:rsid w:val="244020ED"/>
    <w:rsid w:val="248B32E5"/>
    <w:rsid w:val="24B17D3C"/>
    <w:rsid w:val="24EE1B49"/>
    <w:rsid w:val="25867FD4"/>
    <w:rsid w:val="259C77F7"/>
    <w:rsid w:val="262A3A04"/>
    <w:rsid w:val="269C7383"/>
    <w:rsid w:val="26B66697"/>
    <w:rsid w:val="273D46C2"/>
    <w:rsid w:val="27435A51"/>
    <w:rsid w:val="27466F3A"/>
    <w:rsid w:val="276F4A98"/>
    <w:rsid w:val="283B6E9A"/>
    <w:rsid w:val="28414686"/>
    <w:rsid w:val="287C746C"/>
    <w:rsid w:val="288D3427"/>
    <w:rsid w:val="28C3509B"/>
    <w:rsid w:val="28D44D60"/>
    <w:rsid w:val="29F55569"/>
    <w:rsid w:val="2A6D1762"/>
    <w:rsid w:val="2A9C2048"/>
    <w:rsid w:val="2AF37C49"/>
    <w:rsid w:val="2C1A3224"/>
    <w:rsid w:val="2C5F332D"/>
    <w:rsid w:val="2C6D7F2A"/>
    <w:rsid w:val="2CDC497D"/>
    <w:rsid w:val="2D855015"/>
    <w:rsid w:val="2DA03BFD"/>
    <w:rsid w:val="2DA336ED"/>
    <w:rsid w:val="2DD45655"/>
    <w:rsid w:val="2DD85145"/>
    <w:rsid w:val="2DFE1A7A"/>
    <w:rsid w:val="2E7221A8"/>
    <w:rsid w:val="2EC67693"/>
    <w:rsid w:val="2EE30245"/>
    <w:rsid w:val="2F087CAC"/>
    <w:rsid w:val="2F0E4B96"/>
    <w:rsid w:val="2F1A353B"/>
    <w:rsid w:val="2F1F6DA3"/>
    <w:rsid w:val="2F397E65"/>
    <w:rsid w:val="2F620882"/>
    <w:rsid w:val="2F633134"/>
    <w:rsid w:val="2F882B9B"/>
    <w:rsid w:val="2FA86D99"/>
    <w:rsid w:val="312F3756"/>
    <w:rsid w:val="31496359"/>
    <w:rsid w:val="315E0057"/>
    <w:rsid w:val="318D4498"/>
    <w:rsid w:val="3199108F"/>
    <w:rsid w:val="319F16AA"/>
    <w:rsid w:val="31CC4FC0"/>
    <w:rsid w:val="31F167D5"/>
    <w:rsid w:val="3216448E"/>
    <w:rsid w:val="321D581C"/>
    <w:rsid w:val="323963CE"/>
    <w:rsid w:val="3273368E"/>
    <w:rsid w:val="32963820"/>
    <w:rsid w:val="32E20814"/>
    <w:rsid w:val="337771AE"/>
    <w:rsid w:val="33F94067"/>
    <w:rsid w:val="34480B4A"/>
    <w:rsid w:val="34821AD6"/>
    <w:rsid w:val="35A52FD0"/>
    <w:rsid w:val="35D501BC"/>
    <w:rsid w:val="36080591"/>
    <w:rsid w:val="36407D2B"/>
    <w:rsid w:val="36595A19"/>
    <w:rsid w:val="36BE3BE8"/>
    <w:rsid w:val="36DA26A7"/>
    <w:rsid w:val="36DB5CA6"/>
    <w:rsid w:val="37227431"/>
    <w:rsid w:val="3756532C"/>
    <w:rsid w:val="37B01725"/>
    <w:rsid w:val="38061044"/>
    <w:rsid w:val="381C3783"/>
    <w:rsid w:val="389E342F"/>
    <w:rsid w:val="38C5276A"/>
    <w:rsid w:val="39783C80"/>
    <w:rsid w:val="399551B1"/>
    <w:rsid w:val="39D569DC"/>
    <w:rsid w:val="39D619B3"/>
    <w:rsid w:val="3A445910"/>
    <w:rsid w:val="3A557B1D"/>
    <w:rsid w:val="3A726921"/>
    <w:rsid w:val="3A765FE2"/>
    <w:rsid w:val="3B653D90"/>
    <w:rsid w:val="3B7D732B"/>
    <w:rsid w:val="3BAE3989"/>
    <w:rsid w:val="3BCB70C7"/>
    <w:rsid w:val="3BCC3E0F"/>
    <w:rsid w:val="3BD66A3C"/>
    <w:rsid w:val="3C424796"/>
    <w:rsid w:val="3C9B1713"/>
    <w:rsid w:val="3CC044ED"/>
    <w:rsid w:val="3CC25530"/>
    <w:rsid w:val="3CC52D38"/>
    <w:rsid w:val="3CD13DD3"/>
    <w:rsid w:val="3D0715A3"/>
    <w:rsid w:val="3DA212CB"/>
    <w:rsid w:val="3DBB238D"/>
    <w:rsid w:val="3DBD6105"/>
    <w:rsid w:val="3E4405D4"/>
    <w:rsid w:val="3E9C5D1B"/>
    <w:rsid w:val="3F375A43"/>
    <w:rsid w:val="3FA4757D"/>
    <w:rsid w:val="3FB6105E"/>
    <w:rsid w:val="3FE444E6"/>
    <w:rsid w:val="40583EC3"/>
    <w:rsid w:val="40642868"/>
    <w:rsid w:val="407A652F"/>
    <w:rsid w:val="40923879"/>
    <w:rsid w:val="410F592B"/>
    <w:rsid w:val="411424E0"/>
    <w:rsid w:val="41641264"/>
    <w:rsid w:val="41700BEB"/>
    <w:rsid w:val="42553A5C"/>
    <w:rsid w:val="426C3C56"/>
    <w:rsid w:val="42786A9F"/>
    <w:rsid w:val="42BC1743"/>
    <w:rsid w:val="42DF38B5"/>
    <w:rsid w:val="42EE53FF"/>
    <w:rsid w:val="43E4263E"/>
    <w:rsid w:val="45554E75"/>
    <w:rsid w:val="459D60E3"/>
    <w:rsid w:val="45B70627"/>
    <w:rsid w:val="45CA5863"/>
    <w:rsid w:val="45E5444B"/>
    <w:rsid w:val="46362EF9"/>
    <w:rsid w:val="465515D1"/>
    <w:rsid w:val="468E4AE3"/>
    <w:rsid w:val="46F54E2D"/>
    <w:rsid w:val="46FD57C4"/>
    <w:rsid w:val="47925F0D"/>
    <w:rsid w:val="47A143DA"/>
    <w:rsid w:val="47E81E53"/>
    <w:rsid w:val="48A028AB"/>
    <w:rsid w:val="48B545A9"/>
    <w:rsid w:val="495C0DBE"/>
    <w:rsid w:val="49613F0A"/>
    <w:rsid w:val="49CB1BAA"/>
    <w:rsid w:val="4A070E34"/>
    <w:rsid w:val="4A4F4589"/>
    <w:rsid w:val="4AB60164"/>
    <w:rsid w:val="4B8E06C7"/>
    <w:rsid w:val="4C934BC0"/>
    <w:rsid w:val="4CFB09F8"/>
    <w:rsid w:val="4D057181"/>
    <w:rsid w:val="4D447CA9"/>
    <w:rsid w:val="4D5123C6"/>
    <w:rsid w:val="4D6B792C"/>
    <w:rsid w:val="4DA16EA9"/>
    <w:rsid w:val="4DDA060D"/>
    <w:rsid w:val="4DED1912"/>
    <w:rsid w:val="4E257ADB"/>
    <w:rsid w:val="4E353A96"/>
    <w:rsid w:val="4EAD187E"/>
    <w:rsid w:val="4EB175C0"/>
    <w:rsid w:val="4EB62E28"/>
    <w:rsid w:val="4F0911AA"/>
    <w:rsid w:val="4F78309C"/>
    <w:rsid w:val="4F7E394E"/>
    <w:rsid w:val="50A20D13"/>
    <w:rsid w:val="50AD3DB7"/>
    <w:rsid w:val="50AF7B2F"/>
    <w:rsid w:val="50B02F71"/>
    <w:rsid w:val="50C26CF2"/>
    <w:rsid w:val="50EC0D83"/>
    <w:rsid w:val="50FE0CB7"/>
    <w:rsid w:val="512D188F"/>
    <w:rsid w:val="51363DAD"/>
    <w:rsid w:val="513B5867"/>
    <w:rsid w:val="5144673C"/>
    <w:rsid w:val="519D207E"/>
    <w:rsid w:val="51EC090F"/>
    <w:rsid w:val="51FB00AC"/>
    <w:rsid w:val="52E57838"/>
    <w:rsid w:val="53207705"/>
    <w:rsid w:val="542B3971"/>
    <w:rsid w:val="54335EE7"/>
    <w:rsid w:val="5463310B"/>
    <w:rsid w:val="54AF45A2"/>
    <w:rsid w:val="54C142D5"/>
    <w:rsid w:val="55254864"/>
    <w:rsid w:val="553C395C"/>
    <w:rsid w:val="55805F3E"/>
    <w:rsid w:val="55BA1450"/>
    <w:rsid w:val="56037691"/>
    <w:rsid w:val="56083D8A"/>
    <w:rsid w:val="56135E24"/>
    <w:rsid w:val="564017AC"/>
    <w:rsid w:val="567B0721"/>
    <w:rsid w:val="56F97D56"/>
    <w:rsid w:val="57081D47"/>
    <w:rsid w:val="57E97DCB"/>
    <w:rsid w:val="57EF1159"/>
    <w:rsid w:val="583059FA"/>
    <w:rsid w:val="5847689F"/>
    <w:rsid w:val="58532B2C"/>
    <w:rsid w:val="58984204"/>
    <w:rsid w:val="58C47EF0"/>
    <w:rsid w:val="59285798"/>
    <w:rsid w:val="596F60AE"/>
    <w:rsid w:val="5A01133A"/>
    <w:rsid w:val="5A2A0227"/>
    <w:rsid w:val="5A3E3CD2"/>
    <w:rsid w:val="5A7B0A82"/>
    <w:rsid w:val="5B0311A3"/>
    <w:rsid w:val="5BB5218E"/>
    <w:rsid w:val="5BFE5E0F"/>
    <w:rsid w:val="5CAA564F"/>
    <w:rsid w:val="5E361890"/>
    <w:rsid w:val="5EDA046D"/>
    <w:rsid w:val="5EE237C6"/>
    <w:rsid w:val="5EFF7ED4"/>
    <w:rsid w:val="5F7679C4"/>
    <w:rsid w:val="5F7F2DC3"/>
    <w:rsid w:val="5FBF1411"/>
    <w:rsid w:val="601A09BC"/>
    <w:rsid w:val="601D5BCF"/>
    <w:rsid w:val="60395667"/>
    <w:rsid w:val="60AA0313"/>
    <w:rsid w:val="60D13AF2"/>
    <w:rsid w:val="60F11A9E"/>
    <w:rsid w:val="610D33E8"/>
    <w:rsid w:val="615E35D8"/>
    <w:rsid w:val="619568CD"/>
    <w:rsid w:val="61E67129"/>
    <w:rsid w:val="621A5025"/>
    <w:rsid w:val="62CC27C3"/>
    <w:rsid w:val="635A7DCF"/>
    <w:rsid w:val="637D586B"/>
    <w:rsid w:val="63872EA4"/>
    <w:rsid w:val="63F26259"/>
    <w:rsid w:val="64061D04"/>
    <w:rsid w:val="640A365A"/>
    <w:rsid w:val="640E2967"/>
    <w:rsid w:val="64754794"/>
    <w:rsid w:val="64FD7B2B"/>
    <w:rsid w:val="657B402C"/>
    <w:rsid w:val="65C07C91"/>
    <w:rsid w:val="66CA526B"/>
    <w:rsid w:val="67C12792"/>
    <w:rsid w:val="67DD0FCE"/>
    <w:rsid w:val="687436E1"/>
    <w:rsid w:val="687A681D"/>
    <w:rsid w:val="68D73C6F"/>
    <w:rsid w:val="690B56C7"/>
    <w:rsid w:val="696A4D66"/>
    <w:rsid w:val="69867965"/>
    <w:rsid w:val="699456BD"/>
    <w:rsid w:val="6A4E3ABD"/>
    <w:rsid w:val="6A9A31A7"/>
    <w:rsid w:val="6AD06BC8"/>
    <w:rsid w:val="6B3929BF"/>
    <w:rsid w:val="6B3D425E"/>
    <w:rsid w:val="6B431148"/>
    <w:rsid w:val="6B56531F"/>
    <w:rsid w:val="6B575C91"/>
    <w:rsid w:val="6BB8040C"/>
    <w:rsid w:val="6C5C6966"/>
    <w:rsid w:val="6C6E5E1A"/>
    <w:rsid w:val="6C8E2897"/>
    <w:rsid w:val="6CDF30F3"/>
    <w:rsid w:val="6D282CEC"/>
    <w:rsid w:val="6D921E65"/>
    <w:rsid w:val="6DF606F4"/>
    <w:rsid w:val="6E267136"/>
    <w:rsid w:val="6E2D67FA"/>
    <w:rsid w:val="6E6E0BD2"/>
    <w:rsid w:val="6E91041D"/>
    <w:rsid w:val="6EA12D56"/>
    <w:rsid w:val="6ECB392F"/>
    <w:rsid w:val="6F562B93"/>
    <w:rsid w:val="6FA348AB"/>
    <w:rsid w:val="6FBB39A3"/>
    <w:rsid w:val="6FD23894"/>
    <w:rsid w:val="6FE23626"/>
    <w:rsid w:val="70383246"/>
    <w:rsid w:val="703D260A"/>
    <w:rsid w:val="7060279C"/>
    <w:rsid w:val="70626FA0"/>
    <w:rsid w:val="70756EB2"/>
    <w:rsid w:val="71467BE4"/>
    <w:rsid w:val="71AE13FF"/>
    <w:rsid w:val="71CC633B"/>
    <w:rsid w:val="71E73078"/>
    <w:rsid w:val="7258197D"/>
    <w:rsid w:val="728125EF"/>
    <w:rsid w:val="72C60FDD"/>
    <w:rsid w:val="72EB27F1"/>
    <w:rsid w:val="730241B0"/>
    <w:rsid w:val="731A1328"/>
    <w:rsid w:val="73587D13"/>
    <w:rsid w:val="743B50B2"/>
    <w:rsid w:val="74BF5CE3"/>
    <w:rsid w:val="750977D2"/>
    <w:rsid w:val="75263FB5"/>
    <w:rsid w:val="75693EA1"/>
    <w:rsid w:val="75B25848"/>
    <w:rsid w:val="766528BB"/>
    <w:rsid w:val="768F268A"/>
    <w:rsid w:val="76C92E49"/>
    <w:rsid w:val="77617526"/>
    <w:rsid w:val="777A05E8"/>
    <w:rsid w:val="781A1483"/>
    <w:rsid w:val="781F0851"/>
    <w:rsid w:val="7820118F"/>
    <w:rsid w:val="782A7918"/>
    <w:rsid w:val="78B00E0E"/>
    <w:rsid w:val="78C94F9D"/>
    <w:rsid w:val="78FD502C"/>
    <w:rsid w:val="796450AB"/>
    <w:rsid w:val="79EB30D7"/>
    <w:rsid w:val="7A293F0A"/>
    <w:rsid w:val="7A5E24AA"/>
    <w:rsid w:val="7AAF67FA"/>
    <w:rsid w:val="7ACB4CB6"/>
    <w:rsid w:val="7B02692A"/>
    <w:rsid w:val="7B486307"/>
    <w:rsid w:val="7B5B603A"/>
    <w:rsid w:val="7B5C744A"/>
    <w:rsid w:val="7BA55C3B"/>
    <w:rsid w:val="7BD858DD"/>
    <w:rsid w:val="7BE9361F"/>
    <w:rsid w:val="7C6B49A3"/>
    <w:rsid w:val="7C765821"/>
    <w:rsid w:val="7C856E44"/>
    <w:rsid w:val="7CD24A22"/>
    <w:rsid w:val="7D366D5F"/>
    <w:rsid w:val="7DD722F0"/>
    <w:rsid w:val="7E32210A"/>
    <w:rsid w:val="7EB10D93"/>
    <w:rsid w:val="7EC87E8B"/>
    <w:rsid w:val="7EF70770"/>
    <w:rsid w:val="7F052E8D"/>
    <w:rsid w:val="7F270942"/>
    <w:rsid w:val="7F413799"/>
    <w:rsid w:val="7F480FCB"/>
    <w:rsid w:val="7F5D6825"/>
    <w:rsid w:val="7F671451"/>
    <w:rsid w:val="7F674918"/>
    <w:rsid w:val="7FB83A5B"/>
    <w:rsid w:val="7FBA3C77"/>
    <w:rsid w:val="7FEC7BA9"/>
    <w:rsid w:val="7FF645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0"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30"/>
    <w:qFormat/>
    <w:uiPriority w:val="0"/>
    <w:pPr>
      <w:keepNext/>
      <w:keepLines/>
      <w:spacing w:before="340" w:after="330" w:line="578" w:lineRule="auto"/>
      <w:outlineLvl w:val="0"/>
    </w:pPr>
    <w:rPr>
      <w:rFonts w:ascii="Calibri" w:hAnsi="Calibri" w:eastAsia="宋体" w:cs="Times New Roman"/>
      <w:b/>
      <w:bCs/>
      <w:kern w:val="44"/>
      <w:sz w:val="44"/>
      <w:szCs w:val="44"/>
    </w:rPr>
  </w:style>
  <w:style w:type="paragraph" w:styleId="3">
    <w:name w:val="heading 2"/>
    <w:basedOn w:val="1"/>
    <w:next w:val="1"/>
    <w:link w:val="24"/>
    <w:autoRedefine/>
    <w:unhideWhenUsed/>
    <w:qFormat/>
    <w:uiPriority w:val="9"/>
    <w:pPr>
      <w:keepNext/>
      <w:keepLines/>
      <w:widowControl/>
      <w:adjustRightInd w:val="0"/>
      <w:snapToGrid w:val="0"/>
      <w:spacing w:line="360" w:lineRule="auto"/>
      <w:jc w:val="left"/>
      <w:outlineLvl w:val="1"/>
    </w:pPr>
    <w:rPr>
      <w:rFonts w:ascii="宋体" w:hAnsi="宋体" w:eastAsia="宋体" w:cs="宋体"/>
      <w:b/>
      <w:bCs/>
      <w:kern w:val="0"/>
      <w:sz w:val="28"/>
      <w:szCs w:val="28"/>
    </w:rPr>
  </w:style>
  <w:style w:type="paragraph" w:styleId="4">
    <w:name w:val="heading 3"/>
    <w:basedOn w:val="1"/>
    <w:next w:val="1"/>
    <w:link w:val="25"/>
    <w:autoRedefine/>
    <w:semiHidden/>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26"/>
    <w:autoRedefine/>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6">
    <w:name w:val="heading 7"/>
    <w:basedOn w:val="1"/>
    <w:next w:val="1"/>
    <w:unhideWhenUsed/>
    <w:qFormat/>
    <w:uiPriority w:val="0"/>
    <w:pPr>
      <w:keepNext/>
      <w:keepLines/>
      <w:spacing w:before="260" w:after="120" w:line="320" w:lineRule="auto"/>
      <w:outlineLvl w:val="6"/>
    </w:pPr>
    <w:rPr>
      <w:rFonts w:ascii="Times New Roman" w:hAnsi="Times New Roman" w:eastAsia="楷体" w:cstheme="minorBidi"/>
      <w:b/>
      <w:bCs/>
      <w:sz w:val="24"/>
      <w:szCs w:val="24"/>
    </w:rPr>
  </w:style>
  <w:style w:type="character" w:default="1" w:styleId="19">
    <w:name w:val="Default Paragraph Font"/>
    <w:autoRedefine/>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7">
    <w:name w:val="Body Text"/>
    <w:basedOn w:val="1"/>
    <w:autoRedefine/>
    <w:qFormat/>
    <w:uiPriority w:val="0"/>
    <w:pPr>
      <w:spacing w:after="120" w:afterLines="0" w:afterAutospacing="0"/>
    </w:pPr>
  </w:style>
  <w:style w:type="paragraph" w:styleId="8">
    <w:name w:val="Body Text Indent"/>
    <w:basedOn w:val="1"/>
    <w:next w:val="9"/>
    <w:qFormat/>
    <w:uiPriority w:val="0"/>
    <w:pPr>
      <w:spacing w:after="120" w:afterLines="0" w:afterAutospacing="0"/>
      <w:ind w:left="420" w:leftChars="200"/>
    </w:pPr>
  </w:style>
  <w:style w:type="paragraph" w:customStyle="1" w:styleId="9">
    <w:name w:val="样式 正文文本缩进 + 行距: 1.5 倍行距"/>
    <w:basedOn w:val="1"/>
    <w:qFormat/>
    <w:uiPriority w:val="0"/>
    <w:pPr>
      <w:spacing w:after="120"/>
      <w:ind w:left="90" w:leftChars="32" w:firstLine="560"/>
    </w:pPr>
    <w:rPr>
      <w:rFonts w:cs="宋体"/>
    </w:rPr>
  </w:style>
  <w:style w:type="paragraph" w:styleId="10">
    <w:name w:val="footer"/>
    <w:basedOn w:val="1"/>
    <w:link w:val="29"/>
    <w:autoRedefine/>
    <w:unhideWhenUsed/>
    <w:qFormat/>
    <w:uiPriority w:val="99"/>
    <w:pPr>
      <w:tabs>
        <w:tab w:val="center" w:pos="4153"/>
        <w:tab w:val="right" w:pos="8306"/>
      </w:tabs>
      <w:snapToGrid w:val="0"/>
      <w:jc w:val="left"/>
    </w:pPr>
    <w:rPr>
      <w:sz w:val="18"/>
      <w:szCs w:val="18"/>
    </w:rPr>
  </w:style>
  <w:style w:type="paragraph" w:styleId="11">
    <w:name w:val="header"/>
    <w:basedOn w:val="1"/>
    <w:link w:val="28"/>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link w:val="31"/>
    <w:autoRedefine/>
    <w:qFormat/>
    <w:uiPriority w:val="0"/>
    <w:pPr>
      <w:spacing w:line="400" w:lineRule="exact"/>
      <w:jc w:val="center"/>
    </w:pPr>
    <w:rPr>
      <w:rFonts w:ascii="Calibri" w:hAnsi="Calibri" w:eastAsia="楷体" w:cs="Times New Roman"/>
      <w:b/>
      <w:bCs/>
      <w:kern w:val="28"/>
      <w:szCs w:val="32"/>
    </w:rPr>
  </w:style>
  <w:style w:type="paragraph" w:styleId="13">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4">
    <w:name w:val="Title"/>
    <w:basedOn w:val="5"/>
    <w:next w:val="1"/>
    <w:link w:val="27"/>
    <w:qFormat/>
    <w:uiPriority w:val="10"/>
    <w:pPr>
      <w:adjustRightInd w:val="0"/>
      <w:snapToGrid w:val="0"/>
      <w:spacing w:before="0" w:after="0" w:line="360" w:lineRule="auto"/>
      <w:jc w:val="center"/>
    </w:pPr>
    <w:rPr>
      <w:rFonts w:ascii="黑体" w:hAnsi="黑体" w:eastAsia="黑体" w:cs="黑体"/>
      <w:sz w:val="24"/>
      <w:szCs w:val="24"/>
    </w:rPr>
  </w:style>
  <w:style w:type="paragraph" w:styleId="15">
    <w:name w:val="Body Text First Indent"/>
    <w:basedOn w:val="7"/>
    <w:autoRedefine/>
    <w:qFormat/>
    <w:uiPriority w:val="0"/>
    <w:pPr>
      <w:ind w:firstLine="420" w:firstLineChars="100"/>
    </w:pPr>
  </w:style>
  <w:style w:type="paragraph" w:styleId="16">
    <w:name w:val="Body Text First Indent 2"/>
    <w:basedOn w:val="8"/>
    <w:next w:val="1"/>
    <w:qFormat/>
    <w:uiPriority w:val="0"/>
    <w:pPr>
      <w:ind w:firstLine="420" w:firstLineChars="200"/>
    </w:pPr>
  </w:style>
  <w:style w:type="table" w:styleId="18">
    <w:name w:val="Table Grid"/>
    <w:basedOn w:val="17"/>
    <w:autoRedefine/>
    <w:qFormat/>
    <w:uiPriority w:val="59"/>
    <w:rPr>
      <w:rFonts w:ascii="Calibri" w:hAnsi="Calibri" w:eastAsia="微软雅黑" w:cs="Times New Roman"/>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20">
    <w:name w:val="Strong"/>
    <w:basedOn w:val="19"/>
    <w:qFormat/>
    <w:uiPriority w:val="0"/>
    <w:rPr>
      <w:b/>
    </w:rPr>
  </w:style>
  <w:style w:type="character" w:styleId="21">
    <w:name w:val="Hyperlink"/>
    <w:basedOn w:val="19"/>
    <w:qFormat/>
    <w:uiPriority w:val="0"/>
    <w:rPr>
      <w:color w:val="0000FF"/>
      <w:u w:val="single"/>
    </w:rPr>
  </w:style>
  <w:style w:type="paragraph" w:customStyle="1" w:styleId="22">
    <w:name w:val="0正文"/>
    <w:basedOn w:val="1"/>
    <w:qFormat/>
    <w:uiPriority w:val="0"/>
    <w:pPr>
      <w:ind w:firstLine="480" w:firstLineChars="200"/>
    </w:pPr>
  </w:style>
  <w:style w:type="character" w:customStyle="1" w:styleId="23">
    <w:name w:val="标题 2 字符"/>
    <w:basedOn w:val="19"/>
    <w:autoRedefine/>
    <w:semiHidden/>
    <w:qFormat/>
    <w:uiPriority w:val="9"/>
    <w:rPr>
      <w:rFonts w:asciiTheme="majorHAnsi" w:hAnsiTheme="majorHAnsi" w:eastAsiaTheme="majorEastAsia" w:cstheme="majorBidi"/>
      <w:b/>
      <w:bCs/>
      <w:sz w:val="32"/>
      <w:szCs w:val="32"/>
    </w:rPr>
  </w:style>
  <w:style w:type="character" w:customStyle="1" w:styleId="24">
    <w:name w:val="标题 2 字符1"/>
    <w:link w:val="3"/>
    <w:autoRedefine/>
    <w:qFormat/>
    <w:uiPriority w:val="9"/>
    <w:rPr>
      <w:rFonts w:ascii="宋体" w:hAnsi="宋体" w:eastAsia="宋体" w:cs="宋体"/>
      <w:b/>
      <w:bCs/>
      <w:kern w:val="0"/>
      <w:sz w:val="28"/>
      <w:szCs w:val="28"/>
    </w:rPr>
  </w:style>
  <w:style w:type="character" w:customStyle="1" w:styleId="25">
    <w:name w:val="标题 3 字符"/>
    <w:basedOn w:val="19"/>
    <w:link w:val="4"/>
    <w:autoRedefine/>
    <w:semiHidden/>
    <w:qFormat/>
    <w:uiPriority w:val="9"/>
    <w:rPr>
      <w:b/>
      <w:bCs/>
      <w:sz w:val="32"/>
      <w:szCs w:val="32"/>
    </w:rPr>
  </w:style>
  <w:style w:type="character" w:customStyle="1" w:styleId="26">
    <w:name w:val="标题 4 字符"/>
    <w:basedOn w:val="19"/>
    <w:link w:val="5"/>
    <w:autoRedefine/>
    <w:semiHidden/>
    <w:qFormat/>
    <w:uiPriority w:val="9"/>
    <w:rPr>
      <w:rFonts w:asciiTheme="majorHAnsi" w:hAnsiTheme="majorHAnsi" w:eastAsiaTheme="majorEastAsia" w:cstheme="majorBidi"/>
      <w:b/>
      <w:bCs/>
      <w:sz w:val="28"/>
      <w:szCs w:val="28"/>
    </w:rPr>
  </w:style>
  <w:style w:type="character" w:customStyle="1" w:styleId="27">
    <w:name w:val="标题 字符"/>
    <w:basedOn w:val="19"/>
    <w:link w:val="14"/>
    <w:autoRedefine/>
    <w:qFormat/>
    <w:uiPriority w:val="10"/>
    <w:rPr>
      <w:rFonts w:ascii="黑体" w:hAnsi="黑体" w:eastAsia="黑体" w:cs="黑体"/>
      <w:b/>
      <w:bCs/>
      <w:sz w:val="24"/>
      <w:szCs w:val="24"/>
    </w:rPr>
  </w:style>
  <w:style w:type="character" w:customStyle="1" w:styleId="28">
    <w:name w:val="页眉 字符"/>
    <w:basedOn w:val="19"/>
    <w:link w:val="11"/>
    <w:autoRedefine/>
    <w:qFormat/>
    <w:uiPriority w:val="99"/>
    <w:rPr>
      <w:sz w:val="18"/>
      <w:szCs w:val="18"/>
    </w:rPr>
  </w:style>
  <w:style w:type="character" w:customStyle="1" w:styleId="29">
    <w:name w:val="页脚 字符"/>
    <w:basedOn w:val="19"/>
    <w:link w:val="10"/>
    <w:autoRedefine/>
    <w:qFormat/>
    <w:uiPriority w:val="99"/>
    <w:rPr>
      <w:sz w:val="18"/>
      <w:szCs w:val="18"/>
    </w:rPr>
  </w:style>
  <w:style w:type="character" w:customStyle="1" w:styleId="30">
    <w:name w:val="标题 1 字符"/>
    <w:basedOn w:val="19"/>
    <w:link w:val="2"/>
    <w:autoRedefine/>
    <w:qFormat/>
    <w:uiPriority w:val="0"/>
    <w:rPr>
      <w:rFonts w:ascii="Calibri" w:hAnsi="Calibri" w:eastAsia="宋体" w:cs="Times New Roman"/>
      <w:b/>
      <w:bCs/>
      <w:kern w:val="44"/>
      <w:sz w:val="44"/>
      <w:szCs w:val="44"/>
    </w:rPr>
  </w:style>
  <w:style w:type="character" w:customStyle="1" w:styleId="31">
    <w:name w:val="副标题 字符"/>
    <w:basedOn w:val="19"/>
    <w:link w:val="12"/>
    <w:autoRedefine/>
    <w:qFormat/>
    <w:uiPriority w:val="0"/>
    <w:rPr>
      <w:rFonts w:ascii="Calibri" w:hAnsi="Calibri" w:eastAsia="楷体" w:cs="Times New Roman"/>
      <w:b/>
      <w:bCs/>
      <w:kern w:val="28"/>
      <w:szCs w:val="32"/>
    </w:rPr>
  </w:style>
  <w:style w:type="paragraph" w:styleId="32">
    <w:name w:val="List Paragraph"/>
    <w:basedOn w:val="1"/>
    <w:autoRedefine/>
    <w:qFormat/>
    <w:uiPriority w:val="34"/>
    <w:pPr>
      <w:ind w:firstLine="420" w:firstLineChars="200"/>
    </w:pPr>
  </w:style>
  <w:style w:type="paragraph" w:customStyle="1" w:styleId="33">
    <w:name w:val="普通(网站) Char"/>
    <w:basedOn w:val="1"/>
    <w:autoRedefine/>
    <w:qFormat/>
    <w:uiPriority w:val="0"/>
    <w:pPr>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paragraph" w:customStyle="1" w:styleId="34">
    <w:name w:val="普通(网站) Char Char"/>
    <w:basedOn w:val="1"/>
    <w:autoRedefine/>
    <w:qFormat/>
    <w:uiPriority w:val="0"/>
    <w:pPr>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paragraph" w:customStyle="1" w:styleId="35">
    <w:name w:val="+正文"/>
    <w:basedOn w:val="1"/>
    <w:qFormat/>
    <w:uiPriority w:val="99"/>
    <w:pPr>
      <w:spacing w:line="360" w:lineRule="auto"/>
      <w:ind w:firstLine="200" w:firstLineChars="200"/>
    </w:pPr>
    <w:rPr>
      <w:rFonts w:ascii="Times New Roman" w:hAnsi="Times New Roman" w:cs="Times New Roman"/>
      <w:sz w:val="24"/>
      <w:szCs w:val="24"/>
    </w:rPr>
  </w:style>
  <w:style w:type="paragraph" w:customStyle="1" w:styleId="36">
    <w:name w:val="表格内容"/>
    <w:basedOn w:val="1"/>
    <w:qFormat/>
    <w:uiPriority w:val="99"/>
    <w:pPr>
      <w:widowControl/>
      <w:overflowPunct w:val="0"/>
      <w:autoSpaceDE w:val="0"/>
      <w:autoSpaceDN w:val="0"/>
      <w:adjustRightInd w:val="0"/>
      <w:jc w:val="center"/>
      <w:textAlignment w:val="baseline"/>
    </w:pPr>
    <w:rPr>
      <w:rFonts w:ascii="Times New Roman" w:hAnsi="Times New Roman" w:cs="Times New Roman"/>
      <w:kern w:val="0"/>
    </w:rPr>
  </w:style>
  <w:style w:type="paragraph" w:customStyle="1" w:styleId="37">
    <w:name w:val="表格内容-居中"/>
    <w:basedOn w:val="1"/>
    <w:qFormat/>
    <w:uiPriority w:val="99"/>
    <w:pPr>
      <w:widowControl/>
      <w:overflowPunct w:val="0"/>
      <w:autoSpaceDE w:val="0"/>
      <w:autoSpaceDN w:val="0"/>
      <w:adjustRightInd w:val="0"/>
      <w:spacing w:before="40" w:after="40" w:line="300" w:lineRule="exact"/>
      <w:jc w:val="center"/>
      <w:textAlignment w:val="baseline"/>
    </w:pPr>
    <w:rPr>
      <w:rFonts w:ascii="Times New Roman" w:hAnsi="Times New Roman" w:cs="Times New Roman"/>
      <w:kern w:val="0"/>
      <w:sz w:val="24"/>
      <w:szCs w:val="24"/>
    </w:rPr>
  </w:style>
  <w:style w:type="character" w:customStyle="1" w:styleId="38">
    <w:name w:val="font31"/>
    <w:basedOn w:val="19"/>
    <w:qFormat/>
    <w:uiPriority w:val="0"/>
    <w:rPr>
      <w:rFonts w:hint="eastAsia" w:ascii="华文楷体" w:hAnsi="华文楷体" w:eastAsia="华文楷体" w:cs="华文楷体"/>
      <w:color w:val="000000"/>
      <w:sz w:val="22"/>
      <w:szCs w:val="22"/>
      <w:u w:val="none"/>
      <w:vertAlign w:val="subscript"/>
    </w:rPr>
  </w:style>
  <w:style w:type="character" w:customStyle="1" w:styleId="39">
    <w:name w:val="font21"/>
    <w:basedOn w:val="19"/>
    <w:qFormat/>
    <w:uiPriority w:val="0"/>
    <w:rPr>
      <w:rFonts w:hint="eastAsia" w:ascii="华文楷体" w:hAnsi="华文楷体" w:eastAsia="华文楷体" w:cs="华文楷体"/>
      <w:color w:val="000000"/>
      <w:sz w:val="22"/>
      <w:szCs w:val="22"/>
      <w:u w:val="none"/>
    </w:rPr>
  </w:style>
  <w:style w:type="character" w:customStyle="1" w:styleId="40">
    <w:name w:val="font41"/>
    <w:basedOn w:val="19"/>
    <w:qFormat/>
    <w:uiPriority w:val="0"/>
    <w:rPr>
      <w:rFonts w:hint="eastAsia" w:ascii="华文楷体" w:hAnsi="华文楷体" w:eastAsia="华文楷体" w:cs="华文楷体"/>
      <w:color w:val="000000"/>
      <w:sz w:val="22"/>
      <w:szCs w:val="22"/>
      <w:u w:val="none"/>
      <w:vertAlign w:val="superscript"/>
    </w:rPr>
  </w:style>
  <w:style w:type="character" w:customStyle="1" w:styleId="41">
    <w:name w:val="font11"/>
    <w:basedOn w:val="19"/>
    <w:qFormat/>
    <w:uiPriority w:val="0"/>
    <w:rPr>
      <w:rFonts w:hint="eastAsia" w:ascii="华文楷体" w:hAnsi="华文楷体" w:eastAsia="华文楷体" w:cs="华文楷体"/>
      <w:color w:val="000000"/>
      <w:sz w:val="22"/>
      <w:szCs w:val="22"/>
      <w:u w:val="none"/>
    </w:rPr>
  </w:style>
  <w:style w:type="paragraph" w:customStyle="1" w:styleId="42">
    <w:name w:val="EndNote Bibliography"/>
    <w:basedOn w:val="1"/>
    <w:autoRedefine/>
    <w:qFormat/>
    <w:uiPriority w:val="0"/>
    <w:pPr>
      <w:ind w:firstLine="200" w:firstLineChars="200"/>
      <w:jc w:val="left"/>
    </w:pPr>
    <w:rPr>
      <w:sz w:val="20"/>
    </w:rPr>
  </w:style>
  <w:style w:type="paragraph" w:customStyle="1" w:styleId="43">
    <w:name w:val="列出段落1"/>
    <w:basedOn w:val="1"/>
    <w:qFormat/>
    <w:uiPriority w:val="34"/>
    <w:pPr>
      <w:ind w:firstLine="420" w:firstLineChars="200"/>
    </w:pPr>
  </w:style>
  <w:style w:type="paragraph" w:customStyle="1" w:styleId="44">
    <w:name w:val="正文文本1"/>
    <w:basedOn w:val="1"/>
    <w:qFormat/>
    <w:uiPriority w:val="0"/>
    <w:pPr>
      <w:shd w:val="clear" w:color="auto" w:fill="FFFFFF"/>
      <w:spacing w:line="610" w:lineRule="exact"/>
      <w:jc w:val="center"/>
    </w:pPr>
    <w:rPr>
      <w:rFonts w:ascii="宋体" w:hAnsi="宋体" w:eastAsia="宋体" w:cs="宋体"/>
      <w:sz w:val="28"/>
      <w:szCs w:val="2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339</Words>
  <Characters>352</Characters>
  <Lines>35</Lines>
  <Paragraphs>9</Paragraphs>
  <TotalTime>46</TotalTime>
  <ScaleCrop>false</ScaleCrop>
  <LinksUpToDate>false</LinksUpToDate>
  <CharactersWithSpaces>358</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2022-09-27T07:43:00Z</dcterms:created>
  <dc:creator>Liao KangCheng</dc:creator>
  <cp:lastModifiedBy>白海丹</cp:lastModifiedBy>
  <dcterms:modified xsi:type="dcterms:W3CDTF">2026-06-10T07:30:43Z</dcterms:modified>
  <cp:revision>86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012170A0420347A89154D3512890171D_12</vt:lpwstr>
  </property>
  <property fmtid="{D5CDD505-2E9C-101B-9397-08002B2CF9AE}" pid="4" name="KSOTemplateDocerSaveRecord">
    <vt:lpwstr>eyJoZGlkIjoiYjVlOTE0MGRkN2E0MWU0MDEyNjJkNTdlYmU3ZGQ5YzUiLCJ1c2VySWQiOiI0NDQ3MDkxMjgifQ==</vt:lpwstr>
  </property>
</Properties>
</file>