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700D8C1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化学分析仪器在环保水质检测中的</w:t>
      </w:r>
    </w:p>
    <w:p w14:paraId="2D8C3F5B">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运用与质量控制</w:t>
      </w:r>
    </w:p>
    <w:p w14:paraId="273A475D">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金丽梅</w:t>
      </w:r>
    </w:p>
    <w:p w14:paraId="1E82C306">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云南三环中化化肥有限公司</w:t>
      </w:r>
    </w:p>
    <w:p w14:paraId="0543B55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val="0"/>
          <w:sz w:val="21"/>
          <w:szCs w:val="21"/>
          <w:lang w:val="en-US" w:eastAsia="zh-CN"/>
        </w:rPr>
      </w:pPr>
    </w:p>
    <w:p w14:paraId="7D42E8A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val="0"/>
          <w:sz w:val="21"/>
          <w:szCs w:val="21"/>
          <w:lang w:val="en-US" w:eastAsia="zh-CN"/>
        </w:rPr>
      </w:pPr>
      <w:r>
        <w:rPr>
          <w:rFonts w:hint="eastAsia" w:ascii="宋体" w:hAnsi="宋体" w:eastAsia="宋体" w:cs="宋体"/>
          <w:b/>
          <w:bCs w:val="0"/>
          <w:sz w:val="21"/>
          <w:szCs w:val="21"/>
          <w:lang w:val="en-US" w:eastAsia="zh-CN"/>
        </w:rPr>
        <w:t>摘要：</w:t>
      </w:r>
      <w:r>
        <w:rPr>
          <w:rFonts w:hint="eastAsia" w:ascii="宋体" w:hAnsi="宋体" w:eastAsia="宋体" w:cs="宋体"/>
          <w:b w:val="0"/>
          <w:bCs/>
          <w:sz w:val="21"/>
          <w:szCs w:val="21"/>
          <w:lang w:val="en-US" w:eastAsia="zh-CN"/>
        </w:rPr>
        <w:t>由于工业化、城市化迅猛发展，水污染问题日趋严重，水环境安全受到极大威胁，因此水质检测作为保障水环境安全的重要手段，其意义愈加重大。但毋庸讳言，传统人工检测方法在面对现代水环境管理中种种复杂、快速变化的需求时已明显力不从心。与此形成极好补充的是化学分析仪器，其高精度、高效率的特点使它成为现代水质检测工作中当之无愧的核心装备。本文首先阐明水质检测的根本目的，然后将计量检定、标准物质使用等作为仪器应用的基础保障自然、妥帖地引出，然后对仪器使用过程控制下的在线系统集成、在线分析仪应用等关键技术进行系统、分层次的探讨，进而对仪器使用中的常见问题及相应对策进行分析。最终提出了一套真正覆盖水质检测全过程的质量控制方法体系，即为水质评价、污染治理、水资源保护等决策提供有力支撑，同时也为更自然、更合理地推进水资源可持续利用和生态环境保护，以标准化、可操作的流程和严格可控的措施，切实保证获取的水质数据准确可靠。</w:t>
      </w:r>
    </w:p>
    <w:p w14:paraId="323CB91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sz w:val="21"/>
          <w:szCs w:val="21"/>
          <w:lang w:val="en-US" w:eastAsia="zh-CN"/>
        </w:rPr>
      </w:pPr>
      <w:r>
        <w:rPr>
          <w:rFonts w:hint="eastAsia" w:ascii="宋体" w:hAnsi="宋体" w:eastAsia="宋体" w:cs="宋体"/>
          <w:b/>
          <w:bCs w:val="0"/>
          <w:sz w:val="21"/>
          <w:szCs w:val="21"/>
          <w:lang w:val="en-US" w:eastAsia="zh-CN"/>
        </w:rPr>
        <w:t>关键词：</w:t>
      </w:r>
      <w:r>
        <w:rPr>
          <w:rFonts w:hint="eastAsia" w:ascii="宋体" w:hAnsi="宋体" w:eastAsia="宋体" w:cs="宋体"/>
          <w:b w:val="0"/>
          <w:bCs/>
          <w:sz w:val="21"/>
          <w:szCs w:val="21"/>
          <w:lang w:val="en-US" w:eastAsia="zh-CN"/>
        </w:rPr>
        <w:t>化学分析仪器 环保水质检测 计量检定 质量控制 在线监测</w:t>
      </w:r>
    </w:p>
    <w:p w14:paraId="488D4F7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 w:val="21"/>
          <w:szCs w:val="21"/>
          <w:lang w:val="en-US" w:eastAsia="zh-CN"/>
        </w:rPr>
      </w:pPr>
      <w:bookmarkStart w:id="16" w:name="_GoBack"/>
      <w:bookmarkEnd w:id="16"/>
    </w:p>
    <w:p w14:paraId="41335EE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0" w:name="heading_0"/>
      <w:r>
        <w:rPr>
          <w:rFonts w:hint="eastAsia" w:ascii="宋体" w:hAnsi="宋体" w:eastAsia="宋体" w:cs="宋体"/>
          <w:b/>
          <w:bCs/>
          <w:sz w:val="21"/>
          <w:szCs w:val="21"/>
          <w:lang w:val="en-US" w:eastAsia="zh-CN"/>
        </w:rPr>
        <w:t>引言</w:t>
      </w:r>
      <w:bookmarkEnd w:id="0"/>
    </w:p>
    <w:p w14:paraId="6CA02ECB">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水是人类生存和发展的根基，没了水，一切都无从谈起。可如今，人们毫无节制地开发水资源，还大量排放各种污染物，这使得水污染的状况越来越糟，生态环境的平衡被打破，我们每个人的身体健康也跟着受到了严重威胁。精密化学分析仪器的发展与应用，为水质检测提供了技术支撑，其已深度渗透到水质科研与检测生产的各个领域。相较于传统人工检测，化学分析仪器能实现对水质的实时、准确监测与评估，为水环境管理、水资源可持续利用提供科学的数据依据。要想显著提升水质检测工作水平，就必须将化学分析仪器在水质检测中的应用管理与质量控制工作落到实处，这不仅是关键所在，更是我们当前必须全力以赴推进的核心任务。</w:t>
      </w:r>
    </w:p>
    <w:p w14:paraId="76C9199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 w:name="heading_1"/>
      <w:r>
        <w:rPr>
          <w:rFonts w:hint="eastAsia" w:ascii="宋体" w:hAnsi="宋体" w:eastAsia="宋体" w:cs="宋体"/>
          <w:b/>
          <w:bCs/>
          <w:sz w:val="21"/>
          <w:szCs w:val="21"/>
          <w:lang w:val="en-US" w:eastAsia="zh-CN"/>
        </w:rPr>
        <w:t>1 水质检测的核心目标</w:t>
      </w:r>
      <w:bookmarkEnd w:id="1"/>
    </w:p>
    <w:p w14:paraId="1C377E3E">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bCs w:val="0"/>
          <w:sz w:val="21"/>
          <w:szCs w:val="21"/>
        </w:rPr>
      </w:pPr>
      <w:r>
        <w:rPr>
          <w:rFonts w:hint="eastAsia" w:ascii="宋体" w:hAnsi="宋体" w:eastAsia="宋体" w:cs="宋体"/>
          <w:b w:val="0"/>
          <w:bCs/>
          <w:sz w:val="21"/>
          <w:szCs w:val="21"/>
        </w:rPr>
        <w:t>水质检测的根本目的是对水体中各类化学成分开展定性与定量分析，以此评估水体使用的安全性，其核心任务主要包含两方面：</w:t>
      </w:r>
    </w:p>
    <w:p w14:paraId="7B6BF0E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1.1 成分监控</w:t>
      </w:r>
    </w:p>
    <w:p w14:paraId="254FEDD6">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持续监测水体中重金属、有机物、营养盐等各类元素、化合物的含量，掌握其动态变化规律，及时捕捉水体成分的异常波动。</w:t>
      </w:r>
    </w:p>
    <w:p w14:paraId="7B3F14B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1.2 安全评估</w:t>
      </w:r>
    </w:p>
    <w:p w14:paraId="29120EDC">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精准判定水中是否存在过量有毒有害物质，对比国家饮用水、地表水、工业用水等相关水质标准，评估水体是否符合使用要求，从检测层面保障用水安全</w:t>
      </w:r>
      <w:r>
        <w:rPr>
          <w:rFonts w:hint="eastAsia" w:ascii="宋体" w:hAnsi="宋体" w:eastAsia="宋体" w:cs="宋体"/>
          <w:b w:val="0"/>
          <w:bCs/>
          <w:sz w:val="21"/>
          <w:szCs w:val="21"/>
          <w:vertAlign w:val="superscript"/>
          <w:lang w:val="en-US" w:eastAsia="zh-CN"/>
        </w:rPr>
        <w:t>[5]</w:t>
      </w:r>
      <w:r>
        <w:rPr>
          <w:rFonts w:hint="eastAsia" w:ascii="宋体" w:hAnsi="宋体" w:eastAsia="宋体" w:cs="宋体"/>
          <w:b w:val="0"/>
          <w:bCs/>
          <w:sz w:val="21"/>
          <w:szCs w:val="21"/>
        </w:rPr>
        <w:t>。</w:t>
      </w:r>
    </w:p>
    <w:p w14:paraId="0E05FEC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2" w:name="heading_2"/>
      <w:r>
        <w:rPr>
          <w:rFonts w:hint="eastAsia" w:ascii="宋体" w:hAnsi="宋体" w:eastAsia="宋体" w:cs="宋体"/>
          <w:b/>
          <w:bCs/>
          <w:sz w:val="21"/>
          <w:szCs w:val="21"/>
          <w:lang w:val="en-US" w:eastAsia="zh-CN"/>
        </w:rPr>
        <w:t>2 化学分析仪器应用的基础保障</w:t>
      </w:r>
      <w:bookmarkEnd w:id="2"/>
    </w:p>
    <w:p w14:paraId="59C99081">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为保证化学分析仪器测量数据的准确性、可比性与溯源性，需夯实计量检定与标准物质使用两大基础，为仪器的正常、有效应用筑牢根基。</w:t>
      </w:r>
    </w:p>
    <w:p w14:paraId="3E0B5DE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3" w:name="heading_3"/>
      <w:r>
        <w:rPr>
          <w:rFonts w:hint="eastAsia" w:ascii="宋体" w:hAnsi="宋体" w:eastAsia="宋体" w:cs="宋体"/>
          <w:b/>
          <w:bCs/>
          <w:sz w:val="21"/>
          <w:szCs w:val="21"/>
          <w:lang w:val="en-US" w:eastAsia="zh-CN"/>
        </w:rPr>
        <w:t>2.1 严格的计量检定与校准管理</w:t>
      </w:r>
      <w:bookmarkEnd w:id="3"/>
    </w:p>
    <w:p w14:paraId="68769AC2">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仪器的计量检定、校准直接关系到测量数据的准确性，因此必须按有关规范对整个过程加以严格管理</w:t>
      </w:r>
      <w:r>
        <w:rPr>
          <w:rFonts w:hint="eastAsia" w:ascii="宋体" w:hAnsi="宋体" w:eastAsia="宋体" w:cs="宋体"/>
          <w:b w:val="0"/>
          <w:bCs/>
          <w:sz w:val="21"/>
          <w:szCs w:val="21"/>
          <w:vertAlign w:val="superscript"/>
          <w:lang w:val="en-US" w:eastAsia="zh-CN"/>
        </w:rPr>
        <w:t>[4]</w:t>
      </w:r>
      <w:r>
        <w:rPr>
          <w:rFonts w:hint="eastAsia" w:ascii="宋体" w:hAnsi="宋体" w:eastAsia="宋体" w:cs="宋体"/>
          <w:b w:val="0"/>
          <w:bCs/>
          <w:sz w:val="21"/>
          <w:szCs w:val="21"/>
        </w:rPr>
        <w:t>。</w:t>
      </w:r>
    </w:p>
    <w:p w14:paraId="2934CBF9">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2.1.1 化学分析仪器使用前都按国家有关部门所制定的计量检定规程或校准规范予以统一管理</w:t>
      </w:r>
      <w:r>
        <w:rPr>
          <w:rFonts w:hint="eastAsia" w:ascii="宋体" w:hAnsi="宋体" w:eastAsia="宋体" w:cs="宋体"/>
          <w:b w:val="0"/>
          <w:bCs/>
          <w:sz w:val="21"/>
          <w:szCs w:val="21"/>
          <w:vertAlign w:val="superscript"/>
          <w:lang w:val="en-US" w:eastAsia="zh-CN"/>
        </w:rPr>
        <w:t>[3]</w:t>
      </w:r>
      <w:r>
        <w:rPr>
          <w:rFonts w:hint="eastAsia" w:ascii="宋体" w:hAnsi="宋体" w:eastAsia="宋体" w:cs="宋体"/>
          <w:b w:val="0"/>
          <w:bCs/>
          <w:sz w:val="21"/>
          <w:szCs w:val="21"/>
        </w:rPr>
        <w:t>，因此可很自然、妥帖地做到所有检定、校准工作有统一依据。</w:t>
      </w:r>
    </w:p>
    <w:p w14:paraId="36F1096F">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2.1.2 严格执行强制检定制度：对于被纳入《中华人民共和国强制检定的工作计量器具目录》的各类仪器，相关使用单位或个人必须严格依照规定，将其送至具备资质的国家法定计量检定机构进行强制检定。只有当仪器经检定被判定为合格后，才允许投入后续的检测工作，以此从源头上杜绝不合格仪器进入检测流程，确保检测数据的准确性和可靠性</w:t>
      </w:r>
      <w:r>
        <w:rPr>
          <w:rFonts w:hint="eastAsia" w:ascii="宋体" w:hAnsi="宋体" w:eastAsia="宋体" w:cs="宋体"/>
          <w:b w:val="0"/>
          <w:bCs/>
          <w:sz w:val="21"/>
          <w:szCs w:val="21"/>
          <w:vertAlign w:val="superscript"/>
          <w:lang w:val="en-US" w:eastAsia="zh-CN"/>
        </w:rPr>
        <w:t>[4]</w:t>
      </w:r>
      <w:r>
        <w:rPr>
          <w:rFonts w:hint="eastAsia" w:ascii="宋体" w:hAnsi="宋体" w:eastAsia="宋体" w:cs="宋体"/>
          <w:b w:val="0"/>
          <w:bCs/>
          <w:sz w:val="21"/>
          <w:szCs w:val="21"/>
        </w:rPr>
        <w:t>。</w:t>
      </w:r>
    </w:p>
    <w:p w14:paraId="38015844">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2.1.3 规范非强制检定/校准：未纳入强制检定目录的仪器，需遵循国际、国家或行业标准，委托具备相应资质的专业技术机构进行校准或检定，确保仪器量值可溯源至国家或国际基准</w:t>
      </w:r>
      <w:r>
        <w:rPr>
          <w:rFonts w:hint="eastAsia" w:ascii="宋体" w:hAnsi="宋体" w:eastAsia="宋体" w:cs="宋体"/>
          <w:b w:val="0"/>
          <w:bCs/>
          <w:sz w:val="21"/>
          <w:szCs w:val="21"/>
          <w:vertAlign w:val="superscript"/>
          <w:lang w:val="en-US" w:eastAsia="zh-CN"/>
        </w:rPr>
        <w:t>[3]</w:t>
      </w:r>
      <w:r>
        <w:rPr>
          <w:rFonts w:hint="eastAsia" w:ascii="宋体" w:hAnsi="宋体" w:eastAsia="宋体" w:cs="宋体"/>
          <w:b w:val="0"/>
          <w:bCs/>
          <w:sz w:val="21"/>
          <w:szCs w:val="21"/>
        </w:rPr>
        <w:t>。</w:t>
      </w:r>
    </w:p>
    <w:p w14:paraId="5046F04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4" w:name="heading_4"/>
      <w:r>
        <w:rPr>
          <w:rFonts w:hint="eastAsia" w:ascii="宋体" w:hAnsi="宋体" w:eastAsia="宋体" w:cs="宋体"/>
          <w:b/>
          <w:bCs/>
          <w:sz w:val="21"/>
          <w:szCs w:val="21"/>
          <w:lang w:val="en-US" w:eastAsia="zh-CN"/>
        </w:rPr>
        <w:t>2.2 规范的标准物质使用</w:t>
      </w:r>
      <w:bookmarkEnd w:id="4"/>
    </w:p>
    <w:p w14:paraId="57694816">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标准物质作为化学分析中的“标尺”，具备均匀、稳定、特性量值已知的特点，是保障测量结果准确性的关键，其使用需遵循三大原则</w:t>
      </w:r>
      <w:r>
        <w:rPr>
          <w:rFonts w:hint="eastAsia" w:ascii="宋体" w:hAnsi="宋体" w:eastAsia="宋体" w:cs="宋体"/>
          <w:b w:val="0"/>
          <w:bCs/>
          <w:sz w:val="21"/>
          <w:szCs w:val="21"/>
          <w:vertAlign w:val="superscript"/>
          <w:lang w:val="en-US" w:eastAsia="zh-CN"/>
        </w:rPr>
        <w:t>[4]</w:t>
      </w:r>
      <w:r>
        <w:rPr>
          <w:rFonts w:hint="eastAsia" w:ascii="宋体" w:hAnsi="宋体" w:eastAsia="宋体" w:cs="宋体"/>
          <w:b w:val="0"/>
          <w:bCs/>
          <w:sz w:val="21"/>
          <w:szCs w:val="21"/>
        </w:rPr>
        <w:t>：</w:t>
      </w:r>
    </w:p>
    <w:p w14:paraId="4D008D1D">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2.2.1 正确选用：优先选用经国务院计量行政部门批准、颁布的有证标准物质，且所选标准物质的量值需能溯源到国际单位制，从源头保证标准物质的有效性。</w:t>
      </w:r>
    </w:p>
    <w:p w14:paraId="00D9DB3C">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2.2.2 规范储存：规范储存就是按标准物质说明书所列的要求严格控制储存条件，故宜保证标准物质在有效期内性能稳定、性质不变，从而自然避免测量结果的偏差。</w:t>
      </w:r>
    </w:p>
    <w:p w14:paraId="7AFF3A42">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2.2.3 合理使用：因标准溶液、标准物质用于仪器校准及方法验证时极易引入人为误差，因此合理使用的原则就是严格按标准操作规程操作，规范实验步骤</w:t>
      </w:r>
      <w:r>
        <w:rPr>
          <w:rFonts w:hint="eastAsia" w:ascii="宋体" w:hAnsi="宋体" w:eastAsia="宋体" w:cs="宋体"/>
          <w:b w:val="0"/>
          <w:bCs/>
          <w:sz w:val="21"/>
          <w:szCs w:val="21"/>
          <w:vertAlign w:val="superscript"/>
          <w:lang w:val="en-US" w:eastAsia="zh-CN"/>
        </w:rPr>
        <w:t>[1]</w:t>
      </w:r>
      <w:r>
        <w:rPr>
          <w:rFonts w:hint="eastAsia" w:ascii="宋体" w:hAnsi="宋体" w:eastAsia="宋体" w:cs="宋体"/>
          <w:b w:val="0"/>
          <w:bCs/>
          <w:sz w:val="21"/>
          <w:szCs w:val="21"/>
        </w:rPr>
        <w:t>。</w:t>
      </w:r>
    </w:p>
    <w:p w14:paraId="7BB8D53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5" w:name="heading_5"/>
      <w:r>
        <w:rPr>
          <w:rFonts w:hint="eastAsia" w:ascii="宋体" w:hAnsi="宋体" w:eastAsia="宋体" w:cs="宋体"/>
          <w:b/>
          <w:bCs/>
          <w:sz w:val="21"/>
          <w:szCs w:val="21"/>
          <w:lang w:val="en-US" w:eastAsia="zh-CN"/>
        </w:rPr>
        <w:t>3 水质检测中化学分析仪器的关键技术应用</w:t>
      </w:r>
      <w:bookmarkEnd w:id="5"/>
    </w:p>
    <w:p w14:paraId="1DB86F6D">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目前，水质检测领域现在正在经历重大变革，已经彻底摆脱过去单纯依靠手工进行单一分析的传统模式，正在大步走向自动化、智能化的在线监测新阶段</w:t>
      </w:r>
      <w:r>
        <w:rPr>
          <w:rFonts w:hint="eastAsia" w:ascii="宋体" w:hAnsi="宋体" w:eastAsia="宋体" w:cs="宋体"/>
          <w:b w:val="0"/>
          <w:bCs/>
          <w:sz w:val="21"/>
          <w:szCs w:val="21"/>
          <w:vertAlign w:val="superscript"/>
          <w:lang w:val="en-US" w:eastAsia="zh-CN"/>
        </w:rPr>
        <w:t>[2]</w:t>
      </w:r>
      <w:r>
        <w:rPr>
          <w:rFonts w:hint="eastAsia" w:ascii="宋体" w:hAnsi="宋体" w:eastAsia="宋体" w:cs="宋体"/>
          <w:b w:val="0"/>
          <w:bCs/>
          <w:sz w:val="21"/>
          <w:szCs w:val="21"/>
        </w:rPr>
        <w:t>。与此进程相伴而生，在线水质分析系统的集成技术及用于过程控制的在线分析仪应用技术，自然地成为现代水质检测发展的两大核心技术。</w:t>
      </w:r>
    </w:p>
    <w:p w14:paraId="7C55E22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6" w:name="heading_6"/>
      <w:r>
        <w:rPr>
          <w:rFonts w:hint="eastAsia" w:ascii="宋体" w:hAnsi="宋体" w:eastAsia="宋体" w:cs="宋体"/>
          <w:b/>
          <w:bCs/>
          <w:sz w:val="21"/>
          <w:szCs w:val="21"/>
          <w:lang w:val="en-US" w:eastAsia="zh-CN"/>
        </w:rPr>
        <w:t>3.1 在线水质分析系统集成技术</w:t>
      </w:r>
      <w:bookmarkEnd w:id="6"/>
    </w:p>
    <w:p w14:paraId="322A49B1">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bCs w:val="0"/>
          <w:sz w:val="21"/>
          <w:szCs w:val="21"/>
        </w:rPr>
      </w:pPr>
      <w:r>
        <w:rPr>
          <w:rFonts w:hint="eastAsia" w:ascii="宋体" w:hAnsi="宋体" w:eastAsia="宋体" w:cs="宋体"/>
          <w:b w:val="0"/>
          <w:bCs/>
          <w:sz w:val="21"/>
          <w:szCs w:val="21"/>
        </w:rPr>
        <w:t>由于在线水质分析仪可实现无人值守、连续自动运行，故能及时、可靠地反映水质变化，因此它是今后水质监测的重要发展方向</w:t>
      </w:r>
      <w:r>
        <w:rPr>
          <w:rFonts w:hint="eastAsia" w:ascii="宋体" w:hAnsi="宋体" w:eastAsia="宋体" w:cs="宋体"/>
          <w:b w:val="0"/>
          <w:bCs/>
          <w:sz w:val="21"/>
          <w:szCs w:val="21"/>
          <w:vertAlign w:val="superscript"/>
          <w:lang w:val="en-US" w:eastAsia="zh-CN"/>
        </w:rPr>
        <w:t>[2]</w:t>
      </w:r>
      <w:r>
        <w:rPr>
          <w:rFonts w:hint="eastAsia" w:ascii="宋体" w:hAnsi="宋体" w:eastAsia="宋体" w:cs="宋体"/>
          <w:b w:val="0"/>
          <w:bCs/>
          <w:sz w:val="21"/>
          <w:szCs w:val="21"/>
        </w:rPr>
        <w:t>，而其最根本的问题就是系统集成及样品前处理</w:t>
      </w:r>
      <w:r>
        <w:rPr>
          <w:rFonts w:hint="eastAsia" w:ascii="宋体" w:hAnsi="宋体" w:eastAsia="宋体" w:cs="宋体"/>
          <w:b w:val="0"/>
          <w:bCs/>
          <w:sz w:val="21"/>
          <w:szCs w:val="21"/>
          <w:vertAlign w:val="superscript"/>
          <w:lang w:val="en-US" w:eastAsia="zh-CN"/>
        </w:rPr>
        <w:t>[6]</w:t>
      </w:r>
      <w:r>
        <w:rPr>
          <w:rFonts w:hint="eastAsia" w:ascii="宋体" w:hAnsi="宋体" w:eastAsia="宋体" w:cs="宋体"/>
          <w:b w:val="0"/>
          <w:bCs/>
          <w:sz w:val="21"/>
          <w:szCs w:val="21"/>
        </w:rPr>
        <w:t>。</w:t>
      </w:r>
    </w:p>
    <w:p w14:paraId="36A9D008">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3.1.1 一体化系统集成方案：该方案把样品采集及预处理模块、多参数水质分析仪器、数据采集及传输单元、远程监控中心诸部分很好地结合起来，因此用该方案建立在线监测系统后，可对若干监测点、若干水质参数作同步监测，故能切实扩大水质监测的覆盖范围，也大大提高了监测工作效率</w:t>
      </w:r>
      <w:r>
        <w:rPr>
          <w:rFonts w:hint="eastAsia" w:ascii="宋体" w:hAnsi="宋体" w:eastAsia="宋体" w:cs="宋体"/>
          <w:b w:val="0"/>
          <w:bCs/>
          <w:sz w:val="21"/>
          <w:szCs w:val="21"/>
          <w:vertAlign w:val="superscript"/>
          <w:lang w:val="en-US" w:eastAsia="zh-CN"/>
        </w:rPr>
        <w:t>[2]</w:t>
      </w:r>
      <w:r>
        <w:rPr>
          <w:rFonts w:hint="eastAsia" w:ascii="宋体" w:hAnsi="宋体" w:eastAsia="宋体" w:cs="宋体"/>
          <w:b w:val="0"/>
          <w:bCs/>
          <w:sz w:val="21"/>
          <w:szCs w:val="21"/>
        </w:rPr>
        <w:t>。</w:t>
      </w:r>
    </w:p>
    <w:p w14:paraId="5F90029C">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3.1.2 精细化样品前处理：在线监测中所用的水质样品主要是原水、废水，成分十分复杂，所以精细化样品前处理十分必要:即用过滤、沉淀、消解等合适的预处理方法除去悬浮物及干扰杂质，方能保证所测参数的准确性，也使分析结果更有代表性</w:t>
      </w:r>
      <w:r>
        <w:rPr>
          <w:rFonts w:hint="eastAsia" w:ascii="宋体" w:hAnsi="宋体" w:eastAsia="宋体" w:cs="宋体"/>
          <w:b w:val="0"/>
          <w:bCs/>
          <w:sz w:val="21"/>
          <w:szCs w:val="21"/>
          <w:vertAlign w:val="superscript"/>
          <w:lang w:val="en-US" w:eastAsia="zh-CN"/>
        </w:rPr>
        <w:t>[1][6]</w:t>
      </w:r>
      <w:r>
        <w:rPr>
          <w:rFonts w:hint="eastAsia" w:ascii="宋体" w:hAnsi="宋体" w:eastAsia="宋体" w:cs="宋体"/>
          <w:b w:val="0"/>
          <w:bCs/>
          <w:sz w:val="21"/>
          <w:szCs w:val="21"/>
        </w:rPr>
        <w:t>。</w:t>
      </w:r>
    </w:p>
    <w:p w14:paraId="353179F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7" w:name="heading_7"/>
      <w:r>
        <w:rPr>
          <w:rFonts w:hint="eastAsia" w:ascii="宋体" w:hAnsi="宋体" w:eastAsia="宋体" w:cs="宋体"/>
          <w:b/>
          <w:bCs/>
          <w:sz w:val="21"/>
          <w:szCs w:val="21"/>
          <w:lang w:val="en-US" w:eastAsia="zh-CN"/>
        </w:rPr>
        <w:t>3.2 基于过程控制的在线分析仪应用技术</w:t>
      </w:r>
      <w:bookmarkEnd w:id="7"/>
    </w:p>
    <w:p w14:paraId="0D0D3378">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针对水体中部分复杂综合指标的监测难题，该技术通过科学的方法实现水质的实时监控与自动控制，主要包含两方面内容</w:t>
      </w:r>
      <w:r>
        <w:rPr>
          <w:rFonts w:hint="eastAsia" w:ascii="宋体" w:hAnsi="宋体" w:eastAsia="宋体" w:cs="宋体"/>
          <w:b w:val="0"/>
          <w:bCs/>
          <w:sz w:val="21"/>
          <w:szCs w:val="21"/>
          <w:vertAlign w:val="superscript"/>
          <w:lang w:val="en-US" w:eastAsia="zh-CN"/>
        </w:rPr>
        <w:t>[2]</w:t>
      </w:r>
      <w:r>
        <w:rPr>
          <w:rFonts w:hint="eastAsia" w:ascii="宋体" w:hAnsi="宋体" w:eastAsia="宋体" w:cs="宋体"/>
          <w:b w:val="0"/>
          <w:bCs/>
          <w:sz w:val="21"/>
          <w:szCs w:val="21"/>
        </w:rPr>
        <w:t>：</w:t>
      </w:r>
    </w:p>
    <w:p w14:paraId="2D158AEF">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3.2.1 “参数替代”技术的实践应用：水体环境监测中总有机碳（TOC）、化学需氧量（COD）等综合指标所含组分复杂，直接对各组分做在线监测极难实现，故而“参数替代”技术给出了十分明确、巧妙的解决方案，即挑选易于在线监测且与所测目标污染物浓度高度相关的替代参数(以TOC替代具体有机物种类)，由此顺理成章地实现对水处理过程的实时动态监测及自动化控制</w:t>
      </w:r>
      <w:r>
        <w:rPr>
          <w:rFonts w:hint="eastAsia" w:ascii="宋体" w:hAnsi="宋体" w:eastAsia="宋体" w:cs="宋体"/>
          <w:b w:val="0"/>
          <w:bCs/>
          <w:sz w:val="21"/>
          <w:szCs w:val="21"/>
          <w:vertAlign w:val="superscript"/>
          <w:lang w:val="en-US" w:eastAsia="zh-CN"/>
        </w:rPr>
        <w:t>[1]</w:t>
      </w:r>
      <w:r>
        <w:rPr>
          <w:rFonts w:hint="eastAsia" w:ascii="宋体" w:hAnsi="宋体" w:eastAsia="宋体" w:cs="宋体"/>
          <w:b w:val="0"/>
          <w:bCs/>
          <w:sz w:val="21"/>
          <w:szCs w:val="21"/>
        </w:rPr>
        <w:t>。</w:t>
      </w:r>
    </w:p>
    <w:p w14:paraId="584E06BB">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3.2.2 科学设备选型与过程控制：根据监测目的、水质特点（测量范围、响应时间、安装环境等）选择适配的分析仪器；监测过程中，仪器内部逻辑控制器可依据预设程序或远程指令，自动完成采样、分析、清洗、校准等一系列操作，实现检测过程的自动化控制</w:t>
      </w:r>
      <w:r>
        <w:rPr>
          <w:rFonts w:hint="eastAsia" w:ascii="宋体" w:hAnsi="宋体" w:eastAsia="宋体" w:cs="宋体"/>
          <w:b w:val="0"/>
          <w:bCs/>
          <w:sz w:val="21"/>
          <w:szCs w:val="21"/>
          <w:vertAlign w:val="superscript"/>
          <w:lang w:val="en-US" w:eastAsia="zh-CN"/>
        </w:rPr>
        <w:t>[2]</w:t>
      </w:r>
      <w:r>
        <w:rPr>
          <w:rFonts w:hint="eastAsia" w:ascii="宋体" w:hAnsi="宋体" w:eastAsia="宋体" w:cs="宋体"/>
          <w:b w:val="0"/>
          <w:bCs/>
          <w:sz w:val="21"/>
          <w:szCs w:val="21"/>
        </w:rPr>
        <w:t>。</w:t>
      </w:r>
    </w:p>
    <w:p w14:paraId="16FE244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8" w:name="heading_8"/>
      <w:r>
        <w:rPr>
          <w:rFonts w:hint="eastAsia" w:ascii="宋体" w:hAnsi="宋体" w:eastAsia="宋体" w:cs="宋体"/>
          <w:b/>
          <w:bCs/>
          <w:sz w:val="21"/>
          <w:szCs w:val="21"/>
          <w:lang w:val="en-US" w:eastAsia="zh-CN"/>
        </w:rPr>
        <w:t>4 化学分析仪器的常见问题与应对措施</w:t>
      </w:r>
      <w:bookmarkEnd w:id="8"/>
    </w:p>
    <w:p w14:paraId="77E7FE13">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高精度化学分析仪器长期使用时受种种因素影响很容易发生各种问题，因此要弄清问题所在，采取相应措施予以解决，方能保证仪器的检测性能。</w:t>
      </w:r>
    </w:p>
    <w:p w14:paraId="01BEFEDF">
      <w:pPr>
        <w:keepNext w:val="0"/>
        <w:keepLines w:val="0"/>
        <w:pageBreakBefore w:val="0"/>
        <w:widowControl w:val="0"/>
        <w:kinsoku/>
        <w:wordWrap/>
        <w:overflowPunct/>
        <w:topLinePunct w:val="0"/>
        <w:autoSpaceDE/>
        <w:autoSpaceDN/>
        <w:bidi w:val="0"/>
        <w:adjustRightInd/>
        <w:snapToGrid/>
        <w:spacing w:line="400" w:lineRule="exact"/>
        <w:ind w:left="0" w:firstLine="422" w:firstLineChars="200"/>
        <w:jc w:val="left"/>
        <w:textAlignment w:val="auto"/>
        <w:rPr>
          <w:rFonts w:hint="eastAsia" w:ascii="宋体" w:hAnsi="宋体" w:eastAsia="宋体" w:cs="宋体"/>
          <w:b/>
          <w:bCs w:val="0"/>
          <w:sz w:val="21"/>
          <w:szCs w:val="21"/>
        </w:rPr>
      </w:pPr>
      <w:r>
        <w:rPr>
          <w:rFonts w:hint="eastAsia" w:ascii="宋体" w:hAnsi="宋体" w:eastAsia="宋体" w:cs="宋体"/>
          <w:b/>
          <w:bCs w:val="0"/>
          <w:sz w:val="21"/>
          <w:szCs w:val="21"/>
        </w:rPr>
        <w:t>4.1 仪器故障问题：</w:t>
      </w:r>
      <w:r>
        <w:rPr>
          <w:rFonts w:hint="eastAsia" w:ascii="宋体" w:hAnsi="宋体" w:eastAsia="宋体" w:cs="宋体"/>
          <w:b w:val="0"/>
          <w:bCs/>
          <w:sz w:val="21"/>
          <w:szCs w:val="21"/>
        </w:rPr>
        <w:t>由于长期运行、环境振动、温度变化、样品腐蚀诸种因素都容易导致仪器泵阀、检测器、光源等部件老化或参数漂移，而其早期故障又极难察觉，所以对数据准确性有直接重大影响。因此宜建立严谨、可行的定期维护保养计划及期间核查制度，有计划、有规律地对仪器进行检查、维护、校准，及时发现、处理各部件的问题</w:t>
      </w:r>
      <w:r>
        <w:rPr>
          <w:rFonts w:hint="eastAsia" w:ascii="宋体" w:hAnsi="宋体" w:eastAsia="宋体" w:cs="宋体"/>
          <w:b w:val="0"/>
          <w:bCs/>
          <w:sz w:val="21"/>
          <w:szCs w:val="21"/>
          <w:shd w:val="clear" w:color="auto" w:fill="auto"/>
          <w:vertAlign w:val="superscript"/>
          <w:lang w:val="en-US" w:eastAsia="zh-CN"/>
        </w:rPr>
        <w:t>[4]</w:t>
      </w:r>
      <w:r>
        <w:rPr>
          <w:rFonts w:hint="eastAsia" w:ascii="宋体" w:hAnsi="宋体" w:eastAsia="宋体" w:cs="宋体"/>
          <w:b w:val="0"/>
          <w:bCs/>
          <w:sz w:val="21"/>
          <w:szCs w:val="21"/>
        </w:rPr>
        <w:t>。</w:t>
      </w:r>
    </w:p>
    <w:p w14:paraId="28F893FA">
      <w:pPr>
        <w:keepNext w:val="0"/>
        <w:keepLines w:val="0"/>
        <w:pageBreakBefore w:val="0"/>
        <w:widowControl w:val="0"/>
        <w:kinsoku/>
        <w:wordWrap/>
        <w:overflowPunct/>
        <w:topLinePunct w:val="0"/>
        <w:autoSpaceDE/>
        <w:autoSpaceDN/>
        <w:bidi w:val="0"/>
        <w:adjustRightInd/>
        <w:snapToGrid/>
        <w:spacing w:line="400" w:lineRule="exact"/>
        <w:ind w:left="0" w:firstLine="422" w:firstLineChars="200"/>
        <w:jc w:val="left"/>
        <w:textAlignment w:val="auto"/>
        <w:rPr>
          <w:rFonts w:hint="eastAsia" w:ascii="宋体" w:hAnsi="宋体" w:eastAsia="宋体" w:cs="宋体"/>
          <w:b/>
          <w:bCs w:val="0"/>
          <w:sz w:val="21"/>
          <w:szCs w:val="21"/>
        </w:rPr>
      </w:pPr>
      <w:r>
        <w:rPr>
          <w:rFonts w:hint="eastAsia" w:ascii="宋体" w:hAnsi="宋体" w:eastAsia="宋体" w:cs="宋体"/>
          <w:b/>
          <w:bCs w:val="0"/>
          <w:sz w:val="21"/>
          <w:szCs w:val="21"/>
        </w:rPr>
        <w:t>4.2 灵敏度不足问题：</w:t>
      </w:r>
      <w:r>
        <w:rPr>
          <w:rFonts w:hint="eastAsia" w:ascii="宋体" w:hAnsi="宋体" w:eastAsia="宋体" w:cs="宋体"/>
          <w:b w:val="0"/>
          <w:bCs/>
          <w:sz w:val="21"/>
          <w:szCs w:val="21"/>
        </w:rPr>
        <w:t>目前不少多功能仪器受设计理念的限制，在若干检测任务中存在灵敏度不足的问题，尤其在低浓度样品分析时影响十分明显，因此很有必要在仪器选型阶段就根据所要完成的检测任务的具体要求（即检出限要求）来合理选择灵敏度、分辨率诸指标，让仪器与检测任务真正相匹配，从根源上解决灵敏度不足的问题</w:t>
      </w:r>
      <w:r>
        <w:rPr>
          <w:rFonts w:hint="eastAsia" w:ascii="宋体" w:hAnsi="宋体" w:eastAsia="宋体" w:cs="宋体"/>
          <w:b/>
          <w:bCs w:val="0"/>
          <w:sz w:val="21"/>
          <w:szCs w:val="21"/>
        </w:rPr>
        <w:t>。</w:t>
      </w:r>
    </w:p>
    <w:p w14:paraId="09C2000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9" w:name="heading_9"/>
      <w:r>
        <w:rPr>
          <w:rFonts w:hint="eastAsia" w:ascii="宋体" w:hAnsi="宋体" w:eastAsia="宋体" w:cs="宋体"/>
          <w:b/>
          <w:bCs/>
          <w:sz w:val="21"/>
          <w:szCs w:val="21"/>
          <w:lang w:val="en-US" w:eastAsia="zh-CN"/>
        </w:rPr>
        <w:t>5 保障水质检测结果准确性的质量控制措施</w:t>
      </w:r>
      <w:bookmarkEnd w:id="9"/>
    </w:p>
    <w:p w14:paraId="533DDD7F">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水质检测结果的准确性直接关系到水环境评估与管理的科学性，需将质量控制贯穿于检测全过程，从各个环节把控检测质量</w:t>
      </w:r>
      <w:r>
        <w:rPr>
          <w:rFonts w:hint="eastAsia" w:ascii="宋体" w:hAnsi="宋体" w:eastAsia="宋体" w:cs="宋体"/>
          <w:b w:val="0"/>
          <w:bCs/>
          <w:sz w:val="21"/>
          <w:szCs w:val="21"/>
          <w:vertAlign w:val="superscript"/>
          <w:lang w:val="en-US" w:eastAsia="zh-CN"/>
        </w:rPr>
        <w:t>[5]</w:t>
      </w:r>
      <w:r>
        <w:rPr>
          <w:rFonts w:hint="eastAsia" w:ascii="宋体" w:hAnsi="宋体" w:eastAsia="宋体" w:cs="宋体"/>
          <w:b w:val="0"/>
          <w:bCs/>
          <w:sz w:val="21"/>
          <w:szCs w:val="21"/>
        </w:rPr>
        <w:t>。</w:t>
      </w:r>
    </w:p>
    <w:p w14:paraId="4A609A4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0" w:name="heading_10"/>
      <w:r>
        <w:rPr>
          <w:rFonts w:hint="eastAsia" w:ascii="宋体" w:hAnsi="宋体" w:eastAsia="宋体" w:cs="宋体"/>
          <w:b/>
          <w:bCs/>
          <w:sz w:val="21"/>
          <w:szCs w:val="21"/>
          <w:lang w:val="en-US" w:eastAsia="zh-CN"/>
        </w:rPr>
        <w:t>5.1 仪器设备与材料的质量控制</w:t>
      </w:r>
      <w:bookmarkEnd w:id="10"/>
    </w:p>
    <w:p w14:paraId="31146D05">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仪器设备及实验材料是检测工作赖以开展的基础，二者的质量直接关系到检测结果的准确性、可靠性，因此，必须要从仪器设备的质量控制及实验材料的质量保证两个方面入手，做到严格、系统的双重质量管控</w:t>
      </w:r>
      <w:r>
        <w:rPr>
          <w:rFonts w:hint="eastAsia" w:ascii="宋体" w:hAnsi="宋体" w:eastAsia="宋体" w:cs="宋体"/>
          <w:b w:val="0"/>
          <w:bCs/>
          <w:sz w:val="21"/>
          <w:szCs w:val="21"/>
          <w:vertAlign w:val="superscript"/>
          <w:lang w:val="en-US" w:eastAsia="zh-CN"/>
        </w:rPr>
        <w:t>[4]</w:t>
      </w:r>
      <w:r>
        <w:rPr>
          <w:rFonts w:hint="eastAsia" w:ascii="宋体" w:hAnsi="宋体" w:eastAsia="宋体" w:cs="宋体"/>
          <w:b w:val="0"/>
          <w:bCs/>
          <w:sz w:val="21"/>
          <w:szCs w:val="21"/>
        </w:rPr>
        <w:t>。</w:t>
      </w:r>
    </w:p>
    <w:p w14:paraId="5DEC4F85">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5.1.1 仪器核查常态化：把仪器核查工作制度化、规范化，即检测前对玻璃器皿、计量器具、分析仪器诸种检测用具都做系统、严格的检查和校准，保证所用器具状态良好、计量准确</w:t>
      </w:r>
      <w:r>
        <w:rPr>
          <w:rFonts w:hint="eastAsia" w:ascii="宋体" w:hAnsi="宋体" w:eastAsia="宋体" w:cs="宋体"/>
          <w:b w:val="0"/>
          <w:bCs/>
          <w:sz w:val="21"/>
          <w:szCs w:val="21"/>
          <w:vertAlign w:val="superscript"/>
          <w:lang w:val="en-US" w:eastAsia="zh-CN"/>
        </w:rPr>
        <w:t>[3][4]</w:t>
      </w:r>
      <w:r>
        <w:rPr>
          <w:rFonts w:hint="eastAsia" w:ascii="宋体" w:hAnsi="宋体" w:eastAsia="宋体" w:cs="宋体"/>
          <w:b w:val="0"/>
          <w:bCs/>
          <w:sz w:val="21"/>
          <w:szCs w:val="21"/>
        </w:rPr>
        <w:t>。</w:t>
      </w:r>
    </w:p>
    <w:p w14:paraId="7E6F8B98">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5.1.2 试剂与标准物质规范化：确保所有化学试剂在有效期内且无污染；优先使用有证标准物质，若使用自制标准品，必先做可靠的比对实验以确定其量值准确、可溯源。</w:t>
      </w:r>
    </w:p>
    <w:p w14:paraId="70CC583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1" w:name="heading_11"/>
      <w:r>
        <w:rPr>
          <w:rFonts w:hint="eastAsia" w:ascii="宋体" w:hAnsi="宋体" w:eastAsia="宋体" w:cs="宋体"/>
          <w:b/>
          <w:bCs/>
          <w:sz w:val="21"/>
          <w:szCs w:val="21"/>
          <w:lang w:val="en-US" w:eastAsia="zh-CN"/>
        </w:rPr>
        <w:t>5.2 样品采集、保存与运输的质量控制</w:t>
      </w:r>
      <w:bookmarkEnd w:id="11"/>
    </w:p>
    <w:p w14:paraId="552F5011">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水样作为检测对象，其状态的稳定性是检测结果准确的前提，需规范采集、保存与运输全流程。</w:t>
      </w:r>
    </w:p>
    <w:p w14:paraId="5F978F5E">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5.2.1 科学保存：水样采集后，根据检测项目要求，立即采用冷藏、冷冻或添加适当化学防腐剂等方式保存，减缓水样的物理挥发、化学变化与微生物活动，维持水样原有状态</w:t>
      </w:r>
      <w:r>
        <w:rPr>
          <w:rFonts w:hint="eastAsia" w:ascii="宋体" w:hAnsi="宋体" w:eastAsia="宋体" w:cs="宋体"/>
          <w:b w:val="0"/>
          <w:bCs/>
          <w:sz w:val="21"/>
          <w:szCs w:val="21"/>
          <w:vertAlign w:val="superscript"/>
          <w:lang w:val="en-US" w:eastAsia="zh-CN"/>
        </w:rPr>
        <w:t>[6]</w:t>
      </w:r>
      <w:r>
        <w:rPr>
          <w:rFonts w:hint="eastAsia" w:ascii="宋体" w:hAnsi="宋体" w:eastAsia="宋体" w:cs="宋体"/>
          <w:b w:val="0"/>
          <w:bCs/>
          <w:sz w:val="21"/>
          <w:szCs w:val="21"/>
        </w:rPr>
        <w:t>。</w:t>
      </w:r>
    </w:p>
    <w:p w14:paraId="574F8E9B">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5.2.2 规范操作：严格遵循标准方法控制防腐剂的种类与剂量，确保防腐剂不与待测组分发生反应、不干扰测定结果；样品运输过程中采取防护措施，防止水样容器破损、泄漏及水样变质。</w:t>
      </w:r>
    </w:p>
    <w:p w14:paraId="2B84951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2" w:name="heading_12"/>
      <w:r>
        <w:rPr>
          <w:rFonts w:hint="eastAsia" w:ascii="宋体" w:hAnsi="宋体" w:eastAsia="宋体" w:cs="宋体"/>
          <w:b/>
          <w:bCs/>
          <w:sz w:val="21"/>
          <w:szCs w:val="21"/>
          <w:lang w:val="en-US" w:eastAsia="zh-CN"/>
        </w:rPr>
        <w:t>5.3 检测过程的质量控制</w:t>
      </w:r>
      <w:bookmarkEnd w:id="12"/>
    </w:p>
    <w:p w14:paraId="6CB6765B">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检测过程是质量控制的核心环节，所以要严格用各种方法控制检测精度，把误差降到最低。</w:t>
      </w:r>
    </w:p>
    <w:p w14:paraId="1E1C3ECC">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5.3.1 全程空白监控：由于全过程都可能引入污染因素，因此本节提出了全程空白监控的方法，即设置现场空白、运输空白和实验室空白样品，系统、及时地监控污染</w:t>
      </w:r>
      <w:r>
        <w:rPr>
          <w:rFonts w:hint="eastAsia" w:ascii="宋体" w:hAnsi="宋体" w:eastAsia="宋体" w:cs="宋体"/>
          <w:b w:val="0"/>
          <w:bCs/>
          <w:sz w:val="21"/>
          <w:szCs w:val="21"/>
          <w:vertAlign w:val="superscript"/>
          <w:lang w:val="en-US" w:eastAsia="zh-CN"/>
        </w:rPr>
        <w:t>[6]</w:t>
      </w:r>
      <w:r>
        <w:rPr>
          <w:rFonts w:hint="eastAsia" w:ascii="宋体" w:hAnsi="宋体" w:eastAsia="宋体" w:cs="宋体"/>
          <w:b w:val="0"/>
          <w:bCs/>
          <w:sz w:val="21"/>
          <w:szCs w:val="21"/>
        </w:rPr>
        <w:t>。</w:t>
      </w:r>
    </w:p>
    <w:p w14:paraId="549F40F8">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5.3.2 平行样分析：平行样分析是在现场及实验室分析时按一定比例设置平行样，故可用平行样的相对偏差来直接、客观地评价检测工作的精密度，也便于发现偶然误差。</w:t>
      </w:r>
    </w:p>
    <w:p w14:paraId="04C446EE">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5.3.3 加标回收与质控样验证：开展基体加标回收实验或分析有证质控样品，验证检测方法的准确性与可靠性，确保检测结果能真实反映水样实际情况</w:t>
      </w:r>
      <w:r>
        <w:rPr>
          <w:rFonts w:hint="eastAsia" w:ascii="宋体" w:hAnsi="宋体" w:eastAsia="宋体" w:cs="宋体"/>
          <w:b w:val="0"/>
          <w:bCs/>
          <w:sz w:val="21"/>
          <w:szCs w:val="21"/>
          <w:vertAlign w:val="superscript"/>
          <w:lang w:val="en-US" w:eastAsia="zh-CN"/>
        </w:rPr>
        <w:t>[1][4]</w:t>
      </w:r>
      <w:r>
        <w:rPr>
          <w:rFonts w:hint="eastAsia" w:ascii="宋体" w:hAnsi="宋体" w:eastAsia="宋体" w:cs="宋体"/>
          <w:b w:val="0"/>
          <w:bCs/>
          <w:sz w:val="21"/>
          <w:szCs w:val="21"/>
        </w:rPr>
        <w:t>。</w:t>
      </w:r>
    </w:p>
    <w:p w14:paraId="4DB7A007">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rPr>
        <w:t>5.3.4 样品复检留存：对检测后的样品宜适当保留，故样品复检留存的做法很自然：遇到检测结果可疑时即予复检、比对，切实确认结果的准确性</w:t>
      </w:r>
      <w:r>
        <w:rPr>
          <w:rFonts w:hint="eastAsia" w:ascii="宋体" w:hAnsi="宋体" w:eastAsia="宋体" w:cs="宋体"/>
          <w:b w:val="0"/>
          <w:bCs/>
          <w:sz w:val="21"/>
          <w:szCs w:val="21"/>
          <w:vertAlign w:val="superscript"/>
          <w:lang w:val="en-US" w:eastAsia="zh-CN"/>
        </w:rPr>
        <w:t>[6]</w:t>
      </w:r>
      <w:r>
        <w:rPr>
          <w:rFonts w:hint="eastAsia" w:ascii="宋体" w:hAnsi="宋体" w:eastAsia="宋体" w:cs="宋体"/>
          <w:b w:val="0"/>
          <w:bCs/>
          <w:sz w:val="21"/>
          <w:szCs w:val="21"/>
          <w:lang w:val="en-US" w:eastAsia="zh-CN"/>
        </w:rPr>
        <w:t>。</w:t>
      </w:r>
    </w:p>
    <w:p w14:paraId="0B0A77A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3" w:name="heading_13"/>
      <w:r>
        <w:rPr>
          <w:rFonts w:hint="eastAsia" w:ascii="宋体" w:hAnsi="宋体" w:eastAsia="宋体" w:cs="宋体"/>
          <w:b/>
          <w:bCs/>
          <w:sz w:val="21"/>
          <w:szCs w:val="21"/>
          <w:lang w:val="en-US" w:eastAsia="zh-CN"/>
        </w:rPr>
        <w:t>5.4 人员能力与设备更新的质量控制</w:t>
      </w:r>
      <w:bookmarkEnd w:id="13"/>
    </w:p>
    <w:p w14:paraId="6DDC2085">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检测人员的专业能力与仪器设备的先进性是保证检测质量的基本前提，因此必须从人员、设备两方面有计划、有系统地加以优化</w:t>
      </w:r>
      <w:r>
        <w:rPr>
          <w:rFonts w:hint="eastAsia" w:ascii="宋体" w:hAnsi="宋体" w:eastAsia="宋体" w:cs="宋体"/>
          <w:b w:val="0"/>
          <w:bCs/>
          <w:sz w:val="21"/>
          <w:szCs w:val="21"/>
          <w:vertAlign w:val="superscript"/>
          <w:lang w:val="en-US" w:eastAsia="zh-CN"/>
        </w:rPr>
        <w:t>[2][4]</w:t>
      </w:r>
      <w:r>
        <w:rPr>
          <w:rFonts w:hint="eastAsia" w:ascii="宋体" w:hAnsi="宋体" w:eastAsia="宋体" w:cs="宋体"/>
          <w:b w:val="0"/>
          <w:bCs/>
          <w:sz w:val="21"/>
          <w:szCs w:val="21"/>
        </w:rPr>
        <w:t>。</w:t>
      </w:r>
    </w:p>
    <w:p w14:paraId="4876CDC6">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5.4.1 强化人员培训：检测人员的技术水平、工作责任心都直接关系检测结果的质量，因此要强化人员培训，即有计划、有系统地组织检测人员参加理论及操作培训，让其熟练掌握仪器原理、操作规程、应急措施，切实提高其专业素质。</w:t>
      </w:r>
    </w:p>
    <w:p w14:paraId="0609A172">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5.4.2 强化设备更新与维护责任：要强化设备更新、维护的责任，因此首先要引进先进的分析检测设备，有计划、有系统地对现有设备进行维护保养，及时排除故障，而管理部门要切实重视水质监测工作，相应地增加投入，真正为检测工作创造良好条件</w:t>
      </w:r>
      <w:r>
        <w:rPr>
          <w:rFonts w:hint="eastAsia" w:ascii="宋体" w:hAnsi="宋体" w:eastAsia="宋体" w:cs="宋体"/>
          <w:b w:val="0"/>
          <w:bCs/>
          <w:sz w:val="21"/>
          <w:szCs w:val="21"/>
          <w:vertAlign w:val="superscript"/>
          <w:lang w:val="en-US" w:eastAsia="zh-CN"/>
        </w:rPr>
        <w:t>[2]</w:t>
      </w:r>
      <w:r>
        <w:rPr>
          <w:rFonts w:hint="eastAsia" w:ascii="宋体" w:hAnsi="宋体" w:eastAsia="宋体" w:cs="宋体"/>
          <w:b w:val="0"/>
          <w:bCs/>
          <w:sz w:val="21"/>
          <w:szCs w:val="21"/>
        </w:rPr>
        <w:t>。</w:t>
      </w:r>
    </w:p>
    <w:p w14:paraId="4DCB354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4" w:name="heading_14"/>
      <w:r>
        <w:rPr>
          <w:rFonts w:hint="eastAsia" w:ascii="宋体" w:hAnsi="宋体" w:eastAsia="宋体" w:cs="宋体"/>
          <w:b/>
          <w:bCs/>
          <w:sz w:val="21"/>
          <w:szCs w:val="21"/>
          <w:lang w:val="en-US" w:eastAsia="zh-CN"/>
        </w:rPr>
        <w:t>6 结语</w:t>
      </w:r>
      <w:bookmarkEnd w:id="14"/>
    </w:p>
    <w:p w14:paraId="7035375D">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outlineLvl w:val="1"/>
        <w:rPr>
          <w:rFonts w:hint="eastAsia" w:ascii="宋体" w:hAnsi="宋体" w:eastAsia="宋体" w:cs="宋体"/>
          <w:b/>
          <w:bCs w:val="0"/>
          <w:sz w:val="21"/>
          <w:szCs w:val="21"/>
        </w:rPr>
      </w:pPr>
      <w:r>
        <w:rPr>
          <w:rFonts w:hint="eastAsia" w:ascii="宋体" w:hAnsi="宋体" w:eastAsia="宋体" w:cs="宋体"/>
          <w:b w:val="0"/>
          <w:bCs/>
          <w:sz w:val="21"/>
          <w:szCs w:val="21"/>
        </w:rPr>
        <w:t>化学分析仪器是现代环保水质检测工作最有力、最直接的技术支撑，其应用质量直接决定水质检测数据的准确性及可靠性。因此从仪器的计量检定、标准物质的规范使用，到在线水质分析系统集成、过程控制下的在线分析仪应用，以及仪器设备、样品管理、检测过程、人员操作诸种环节，每一步都对最终检测结果有实质性影响。正因如今水环境问题日趋复杂，开展水质检测时除要主动引进、推广应用先进化学分析技术及仪器外，更宜系统、严谨地建立质量管理体系，培养专业化、有素养的检测人才队伍，以技术革新与管理优化双管齐下的方式切实提高水质检测水平，由此为水资源保护、水环境治理提供更科学、更可靠的数据支撑，也更有利于生态环境的可持续发展。</w:t>
      </w:r>
    </w:p>
    <w:p w14:paraId="004C3F5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lang w:val="en-US" w:eastAsia="zh-CN"/>
        </w:rPr>
      </w:pPr>
      <w:bookmarkStart w:id="15" w:name="heading_15"/>
    </w:p>
    <w:p w14:paraId="079E67B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参考文献</w:t>
      </w:r>
      <w:bookmarkEnd w:id="15"/>
    </w:p>
    <w:p w14:paraId="38EE6051">
      <w:pPr>
        <w:keepNext w:val="0"/>
        <w:keepLines w:val="0"/>
        <w:pageBreakBefore w:val="0"/>
        <w:widowControl w:val="0"/>
        <w:kinsoku/>
        <w:wordWrap/>
        <w:overflowPunct/>
        <w:topLinePunct w:val="0"/>
        <w:autoSpaceDE/>
        <w:autoSpaceDN/>
        <w:bidi w:val="0"/>
        <w:adjustRightInd/>
        <w:snapToGrid/>
        <w:spacing w:line="400" w:lineRule="exact"/>
        <w:ind w:left="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[1] 国家环境保护总局《水和废水监测分析方法》编委会.水和废水监测分析方法[M].4版.北京:中国环境科学出版社,2002.</w:t>
      </w:r>
    </w:p>
    <w:p w14:paraId="37B38E71">
      <w:pPr>
        <w:keepNext w:val="0"/>
        <w:keepLines w:val="0"/>
        <w:pageBreakBefore w:val="0"/>
        <w:widowControl w:val="0"/>
        <w:kinsoku/>
        <w:wordWrap/>
        <w:overflowPunct/>
        <w:topLinePunct w:val="0"/>
        <w:autoSpaceDE/>
        <w:autoSpaceDN/>
        <w:bidi w:val="0"/>
        <w:adjustRightInd/>
        <w:snapToGrid/>
        <w:spacing w:line="400" w:lineRule="exact"/>
        <w:ind w:left="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[2] 王颖,李勇.水质在线监测技术的应用与发展趋势[J].环境工程,2020,38(S1):892-895.</w:t>
      </w:r>
    </w:p>
    <w:p w14:paraId="1C0112A6">
      <w:pPr>
        <w:keepNext w:val="0"/>
        <w:keepLines w:val="0"/>
        <w:pageBreakBefore w:val="0"/>
        <w:widowControl w:val="0"/>
        <w:kinsoku/>
        <w:wordWrap/>
        <w:overflowPunct/>
        <w:topLinePunct w:val="0"/>
        <w:autoSpaceDE/>
        <w:autoSpaceDN/>
        <w:bidi w:val="0"/>
        <w:adjustRightInd/>
        <w:snapToGrid/>
        <w:spacing w:line="400" w:lineRule="exact"/>
        <w:ind w:left="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[3] 全国法制计量管理计量技术委员会.JJG 1001-2011通用计量术语及定义[S].北京:中国质检出版社,2011.</w:t>
      </w:r>
    </w:p>
    <w:p w14:paraId="0D3C80F1">
      <w:pPr>
        <w:keepNext w:val="0"/>
        <w:keepLines w:val="0"/>
        <w:pageBreakBefore w:val="0"/>
        <w:widowControl w:val="0"/>
        <w:kinsoku/>
        <w:wordWrap/>
        <w:overflowPunct/>
        <w:topLinePunct w:val="0"/>
        <w:autoSpaceDE/>
        <w:autoSpaceDN/>
        <w:bidi w:val="0"/>
        <w:adjustRightInd/>
        <w:snapToGrid/>
        <w:spacing w:line="400" w:lineRule="exact"/>
        <w:ind w:left="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[4] 张莉,陈昆柏.化学分析仪器的计量检定与质量控制探讨[J].计量技术,2019(05):68-71.</w:t>
      </w:r>
    </w:p>
    <w:p w14:paraId="1A1E7A93">
      <w:pPr>
        <w:keepNext w:val="0"/>
        <w:keepLines w:val="0"/>
        <w:pageBreakBefore w:val="0"/>
        <w:widowControl w:val="0"/>
        <w:kinsoku/>
        <w:wordWrap/>
        <w:overflowPunct/>
        <w:topLinePunct w:val="0"/>
        <w:autoSpaceDE/>
        <w:autoSpaceDN/>
        <w:bidi w:val="0"/>
        <w:adjustRightInd/>
        <w:snapToGrid/>
        <w:spacing w:line="400" w:lineRule="exact"/>
        <w:ind w:left="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[5] 生态环境部.地表水环境质量标准(GB 3838-2002)[S].北京:中国环境科学出版社,2002.</w:t>
      </w:r>
    </w:p>
    <w:p w14:paraId="4982326D">
      <w:pPr>
        <w:keepNext w:val="0"/>
        <w:keepLines w:val="0"/>
        <w:pageBreakBefore w:val="0"/>
        <w:widowControl w:val="0"/>
        <w:kinsoku/>
        <w:wordWrap/>
        <w:overflowPunct/>
        <w:topLinePunct w:val="0"/>
        <w:autoSpaceDE/>
        <w:autoSpaceDN/>
        <w:bidi w:val="0"/>
        <w:adjustRightInd/>
        <w:snapToGrid/>
        <w:spacing w:line="400" w:lineRule="exact"/>
        <w:ind w:left="0"/>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[6] 李红梅,王健.水质检测中样品采集与前处理的质量控制要点[J].环境科学与管理,2021,46(08):176-179</w:t>
      </w:r>
    </w:p>
    <w:p w14:paraId="30CF7D1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Style w:val="20"/>
          <w:rFonts w:hint="eastAsia" w:ascii="Times New Roman" w:hAnsi="Times New Roman" w:eastAsia="宋体" w:cs="Times New Roman"/>
          <w:b/>
          <w:bCs/>
          <w:kern w:val="0"/>
          <w:sz w:val="24"/>
          <w:szCs w:val="24"/>
          <w:lang w:val="en-US" w:eastAsia="zh-CN" w:bidi="ar"/>
        </w:rPr>
      </w:pP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963F3"/>
    <w:rsid w:val="01D46B46"/>
    <w:rsid w:val="01DE1C5C"/>
    <w:rsid w:val="02203B3A"/>
    <w:rsid w:val="02353A89"/>
    <w:rsid w:val="02B86B51"/>
    <w:rsid w:val="03304250"/>
    <w:rsid w:val="0374238F"/>
    <w:rsid w:val="03A5079A"/>
    <w:rsid w:val="03C50E3C"/>
    <w:rsid w:val="03C527A5"/>
    <w:rsid w:val="048748A1"/>
    <w:rsid w:val="04CC1D57"/>
    <w:rsid w:val="04DC643E"/>
    <w:rsid w:val="056106F1"/>
    <w:rsid w:val="05AE130F"/>
    <w:rsid w:val="05FB3670"/>
    <w:rsid w:val="06112117"/>
    <w:rsid w:val="062077BC"/>
    <w:rsid w:val="065F10D4"/>
    <w:rsid w:val="0730481F"/>
    <w:rsid w:val="076E5F7E"/>
    <w:rsid w:val="07B471FE"/>
    <w:rsid w:val="07C05BA3"/>
    <w:rsid w:val="07E3246F"/>
    <w:rsid w:val="07F7358F"/>
    <w:rsid w:val="08564759"/>
    <w:rsid w:val="08BA0844"/>
    <w:rsid w:val="091A7E4E"/>
    <w:rsid w:val="09931095"/>
    <w:rsid w:val="09F00295"/>
    <w:rsid w:val="0A4B20AA"/>
    <w:rsid w:val="0AEE6ECB"/>
    <w:rsid w:val="0AFF2E86"/>
    <w:rsid w:val="0B664CB3"/>
    <w:rsid w:val="0C0E77A3"/>
    <w:rsid w:val="0C2B45A8"/>
    <w:rsid w:val="0C580AA0"/>
    <w:rsid w:val="0C8E44C1"/>
    <w:rsid w:val="0CDE6ACB"/>
    <w:rsid w:val="0CE82491"/>
    <w:rsid w:val="0CF56428"/>
    <w:rsid w:val="0D525F6F"/>
    <w:rsid w:val="0D731909"/>
    <w:rsid w:val="0DA11FD2"/>
    <w:rsid w:val="0E470192"/>
    <w:rsid w:val="0E5352AC"/>
    <w:rsid w:val="0E792F4F"/>
    <w:rsid w:val="0EC8358F"/>
    <w:rsid w:val="0F543075"/>
    <w:rsid w:val="0FEE34C9"/>
    <w:rsid w:val="0FEE51C5"/>
    <w:rsid w:val="0FEF171B"/>
    <w:rsid w:val="0FF00FEF"/>
    <w:rsid w:val="0FF705D0"/>
    <w:rsid w:val="100C0AA7"/>
    <w:rsid w:val="102313C5"/>
    <w:rsid w:val="10345380"/>
    <w:rsid w:val="103C5A23"/>
    <w:rsid w:val="10523A58"/>
    <w:rsid w:val="10667503"/>
    <w:rsid w:val="108035FE"/>
    <w:rsid w:val="108F6A5A"/>
    <w:rsid w:val="10B85FB1"/>
    <w:rsid w:val="10BB15FD"/>
    <w:rsid w:val="10D34B99"/>
    <w:rsid w:val="111156C1"/>
    <w:rsid w:val="111B6540"/>
    <w:rsid w:val="11407D54"/>
    <w:rsid w:val="123F1DBA"/>
    <w:rsid w:val="12CF1390"/>
    <w:rsid w:val="12DB7D35"/>
    <w:rsid w:val="12E60488"/>
    <w:rsid w:val="13001868"/>
    <w:rsid w:val="132A2A6A"/>
    <w:rsid w:val="13CB5FFB"/>
    <w:rsid w:val="145D3907"/>
    <w:rsid w:val="148A7C64"/>
    <w:rsid w:val="14B4083D"/>
    <w:rsid w:val="156C2EC6"/>
    <w:rsid w:val="15C56B00"/>
    <w:rsid w:val="16132CB9"/>
    <w:rsid w:val="16B20DAC"/>
    <w:rsid w:val="16B25250"/>
    <w:rsid w:val="16B8213B"/>
    <w:rsid w:val="16D2144F"/>
    <w:rsid w:val="17836BED"/>
    <w:rsid w:val="178C5AA1"/>
    <w:rsid w:val="17AD77C6"/>
    <w:rsid w:val="180933FC"/>
    <w:rsid w:val="185C6006"/>
    <w:rsid w:val="18616F2E"/>
    <w:rsid w:val="191221DB"/>
    <w:rsid w:val="19235F91"/>
    <w:rsid w:val="19800B64"/>
    <w:rsid w:val="19836A30"/>
    <w:rsid w:val="198B3B37"/>
    <w:rsid w:val="19962C07"/>
    <w:rsid w:val="199944A6"/>
    <w:rsid w:val="19FD4A34"/>
    <w:rsid w:val="1A533F79"/>
    <w:rsid w:val="1A5A1E87"/>
    <w:rsid w:val="1B2F179A"/>
    <w:rsid w:val="1B6F3710"/>
    <w:rsid w:val="1C250273"/>
    <w:rsid w:val="1CA4563B"/>
    <w:rsid w:val="1D01483C"/>
    <w:rsid w:val="1D5D57EA"/>
    <w:rsid w:val="1E171E3D"/>
    <w:rsid w:val="1EBA2EF4"/>
    <w:rsid w:val="1EC41FC5"/>
    <w:rsid w:val="1EFE3E02"/>
    <w:rsid w:val="1F78690B"/>
    <w:rsid w:val="1FA40E26"/>
    <w:rsid w:val="20181E55"/>
    <w:rsid w:val="20200F8C"/>
    <w:rsid w:val="204B20BB"/>
    <w:rsid w:val="204F1D62"/>
    <w:rsid w:val="205C7FDB"/>
    <w:rsid w:val="20CA763A"/>
    <w:rsid w:val="21294361"/>
    <w:rsid w:val="21661758"/>
    <w:rsid w:val="227635D6"/>
    <w:rsid w:val="22BA5BB9"/>
    <w:rsid w:val="22D4654E"/>
    <w:rsid w:val="230D784D"/>
    <w:rsid w:val="23B95F13"/>
    <w:rsid w:val="24174945"/>
    <w:rsid w:val="24212C83"/>
    <w:rsid w:val="244020ED"/>
    <w:rsid w:val="248B32E5"/>
    <w:rsid w:val="24B17D3C"/>
    <w:rsid w:val="24EE1B49"/>
    <w:rsid w:val="25867FD4"/>
    <w:rsid w:val="259C77F7"/>
    <w:rsid w:val="262A3A04"/>
    <w:rsid w:val="269C7383"/>
    <w:rsid w:val="26B66697"/>
    <w:rsid w:val="273D46C2"/>
    <w:rsid w:val="27435A51"/>
    <w:rsid w:val="27466F3A"/>
    <w:rsid w:val="275807AF"/>
    <w:rsid w:val="276F4A98"/>
    <w:rsid w:val="27A44741"/>
    <w:rsid w:val="283B6E9A"/>
    <w:rsid w:val="28414686"/>
    <w:rsid w:val="287C746C"/>
    <w:rsid w:val="288D3427"/>
    <w:rsid w:val="28C3509B"/>
    <w:rsid w:val="28D44D60"/>
    <w:rsid w:val="29F55569"/>
    <w:rsid w:val="2A6D1762"/>
    <w:rsid w:val="2A9A007E"/>
    <w:rsid w:val="2A9C2048"/>
    <w:rsid w:val="2AF37C49"/>
    <w:rsid w:val="2C1A3224"/>
    <w:rsid w:val="2C5F332D"/>
    <w:rsid w:val="2CDC497D"/>
    <w:rsid w:val="2DA03BFD"/>
    <w:rsid w:val="2DA336ED"/>
    <w:rsid w:val="2DD45655"/>
    <w:rsid w:val="2E7221A8"/>
    <w:rsid w:val="2EC67693"/>
    <w:rsid w:val="2EE30245"/>
    <w:rsid w:val="2F087CAC"/>
    <w:rsid w:val="2F0E4B96"/>
    <w:rsid w:val="2F1A353B"/>
    <w:rsid w:val="2F1F6DA3"/>
    <w:rsid w:val="2F397E65"/>
    <w:rsid w:val="2F620882"/>
    <w:rsid w:val="2F633134"/>
    <w:rsid w:val="2F882B9B"/>
    <w:rsid w:val="2FA86D99"/>
    <w:rsid w:val="302208F9"/>
    <w:rsid w:val="312F3756"/>
    <w:rsid w:val="31496359"/>
    <w:rsid w:val="315E0057"/>
    <w:rsid w:val="318D4498"/>
    <w:rsid w:val="3199108F"/>
    <w:rsid w:val="319F16AA"/>
    <w:rsid w:val="31CC4FC0"/>
    <w:rsid w:val="31F167D5"/>
    <w:rsid w:val="3216448E"/>
    <w:rsid w:val="321D581C"/>
    <w:rsid w:val="323963CE"/>
    <w:rsid w:val="32584AA6"/>
    <w:rsid w:val="3273368E"/>
    <w:rsid w:val="32963820"/>
    <w:rsid w:val="32E20814"/>
    <w:rsid w:val="337771AE"/>
    <w:rsid w:val="33F94067"/>
    <w:rsid w:val="34480B4A"/>
    <w:rsid w:val="34821AD6"/>
    <w:rsid w:val="359A53D6"/>
    <w:rsid w:val="35A52FD0"/>
    <w:rsid w:val="35D501BC"/>
    <w:rsid w:val="36407D2B"/>
    <w:rsid w:val="36AC53C0"/>
    <w:rsid w:val="36BE3BE8"/>
    <w:rsid w:val="36DA26A7"/>
    <w:rsid w:val="36DB5CA6"/>
    <w:rsid w:val="37227431"/>
    <w:rsid w:val="3756532C"/>
    <w:rsid w:val="37B01725"/>
    <w:rsid w:val="38061044"/>
    <w:rsid w:val="381C3783"/>
    <w:rsid w:val="389E342F"/>
    <w:rsid w:val="38C5276A"/>
    <w:rsid w:val="39783C80"/>
    <w:rsid w:val="399551B1"/>
    <w:rsid w:val="39A66F77"/>
    <w:rsid w:val="39D619B3"/>
    <w:rsid w:val="3A445910"/>
    <w:rsid w:val="3A557B1D"/>
    <w:rsid w:val="3A726921"/>
    <w:rsid w:val="3A765FE2"/>
    <w:rsid w:val="3B653D90"/>
    <w:rsid w:val="3B7D732B"/>
    <w:rsid w:val="3B881A60"/>
    <w:rsid w:val="3BAE3989"/>
    <w:rsid w:val="3BCC3E0F"/>
    <w:rsid w:val="3BD66A3C"/>
    <w:rsid w:val="3C424796"/>
    <w:rsid w:val="3CC044ED"/>
    <w:rsid w:val="3CC25530"/>
    <w:rsid w:val="3CC52D38"/>
    <w:rsid w:val="3CD13DD3"/>
    <w:rsid w:val="3D0715A3"/>
    <w:rsid w:val="3D100730"/>
    <w:rsid w:val="3D103806"/>
    <w:rsid w:val="3DA212CB"/>
    <w:rsid w:val="3DBB238D"/>
    <w:rsid w:val="3DBD6105"/>
    <w:rsid w:val="3E4405D4"/>
    <w:rsid w:val="3E9C5D1B"/>
    <w:rsid w:val="3EC534C3"/>
    <w:rsid w:val="3F375A43"/>
    <w:rsid w:val="3FA4757D"/>
    <w:rsid w:val="3FB6105E"/>
    <w:rsid w:val="3FE444E6"/>
    <w:rsid w:val="40583EC3"/>
    <w:rsid w:val="40642868"/>
    <w:rsid w:val="407A652F"/>
    <w:rsid w:val="40923879"/>
    <w:rsid w:val="410F592B"/>
    <w:rsid w:val="411424E0"/>
    <w:rsid w:val="41641264"/>
    <w:rsid w:val="41700BEB"/>
    <w:rsid w:val="426C3C56"/>
    <w:rsid w:val="42786A9F"/>
    <w:rsid w:val="42BC1743"/>
    <w:rsid w:val="42EE53FF"/>
    <w:rsid w:val="43E4263E"/>
    <w:rsid w:val="445E331C"/>
    <w:rsid w:val="45554E75"/>
    <w:rsid w:val="459D60E3"/>
    <w:rsid w:val="45B70627"/>
    <w:rsid w:val="45CA5863"/>
    <w:rsid w:val="45E5444B"/>
    <w:rsid w:val="46362EF9"/>
    <w:rsid w:val="465515D1"/>
    <w:rsid w:val="468E4AE3"/>
    <w:rsid w:val="46F54E2D"/>
    <w:rsid w:val="46FD57C4"/>
    <w:rsid w:val="47925F0D"/>
    <w:rsid w:val="47A143DA"/>
    <w:rsid w:val="47E81E53"/>
    <w:rsid w:val="48693111"/>
    <w:rsid w:val="48A028AB"/>
    <w:rsid w:val="48B545A9"/>
    <w:rsid w:val="495C0DBE"/>
    <w:rsid w:val="49CB1BAA"/>
    <w:rsid w:val="4A070E34"/>
    <w:rsid w:val="4A4F4589"/>
    <w:rsid w:val="4AB60164"/>
    <w:rsid w:val="4B8E06C7"/>
    <w:rsid w:val="4C934BC0"/>
    <w:rsid w:val="4CFB09F8"/>
    <w:rsid w:val="4D057181"/>
    <w:rsid w:val="4D447CA9"/>
    <w:rsid w:val="4D5123C6"/>
    <w:rsid w:val="4D6B792C"/>
    <w:rsid w:val="4D897DB2"/>
    <w:rsid w:val="4DA16EA9"/>
    <w:rsid w:val="4DDA060D"/>
    <w:rsid w:val="4DED1912"/>
    <w:rsid w:val="4E257ADB"/>
    <w:rsid w:val="4E353A96"/>
    <w:rsid w:val="4EAD187E"/>
    <w:rsid w:val="4EB175C0"/>
    <w:rsid w:val="4EB250E6"/>
    <w:rsid w:val="4EB62E28"/>
    <w:rsid w:val="4F0911AA"/>
    <w:rsid w:val="4F78309C"/>
    <w:rsid w:val="4F7E394E"/>
    <w:rsid w:val="4FBD1F95"/>
    <w:rsid w:val="50A13664"/>
    <w:rsid w:val="50A20D13"/>
    <w:rsid w:val="50AD3DB7"/>
    <w:rsid w:val="50AF7B2F"/>
    <w:rsid w:val="50B02F71"/>
    <w:rsid w:val="50C26CF2"/>
    <w:rsid w:val="50EC0D83"/>
    <w:rsid w:val="50FE0CB7"/>
    <w:rsid w:val="512D188F"/>
    <w:rsid w:val="51363DAD"/>
    <w:rsid w:val="513B5867"/>
    <w:rsid w:val="5144673C"/>
    <w:rsid w:val="519D207E"/>
    <w:rsid w:val="51EC090F"/>
    <w:rsid w:val="51FB00AC"/>
    <w:rsid w:val="52E57838"/>
    <w:rsid w:val="542B3971"/>
    <w:rsid w:val="54335EE7"/>
    <w:rsid w:val="5463310B"/>
    <w:rsid w:val="54AF45A2"/>
    <w:rsid w:val="54C142D5"/>
    <w:rsid w:val="55254864"/>
    <w:rsid w:val="553C395C"/>
    <w:rsid w:val="55BA1450"/>
    <w:rsid w:val="56037691"/>
    <w:rsid w:val="56083D8A"/>
    <w:rsid w:val="56135E24"/>
    <w:rsid w:val="564017AC"/>
    <w:rsid w:val="567B0721"/>
    <w:rsid w:val="56F97D56"/>
    <w:rsid w:val="57081D47"/>
    <w:rsid w:val="57E97DCB"/>
    <w:rsid w:val="57EF1159"/>
    <w:rsid w:val="57F7381E"/>
    <w:rsid w:val="583059FA"/>
    <w:rsid w:val="5847689F"/>
    <w:rsid w:val="58532B2C"/>
    <w:rsid w:val="58984204"/>
    <w:rsid w:val="58C47EF0"/>
    <w:rsid w:val="59285798"/>
    <w:rsid w:val="596F60AE"/>
    <w:rsid w:val="5A2A0227"/>
    <w:rsid w:val="5A7B0A82"/>
    <w:rsid w:val="5B0311A3"/>
    <w:rsid w:val="5BB5218E"/>
    <w:rsid w:val="5BFE5E0F"/>
    <w:rsid w:val="5CAA564F"/>
    <w:rsid w:val="5E361890"/>
    <w:rsid w:val="5EDA046D"/>
    <w:rsid w:val="5EE237C6"/>
    <w:rsid w:val="5EFF7ED4"/>
    <w:rsid w:val="5F7679C4"/>
    <w:rsid w:val="5F7F2DC3"/>
    <w:rsid w:val="5FBF1411"/>
    <w:rsid w:val="5FF42C6F"/>
    <w:rsid w:val="601A09BC"/>
    <w:rsid w:val="60215D53"/>
    <w:rsid w:val="60395667"/>
    <w:rsid w:val="60AA0313"/>
    <w:rsid w:val="60B92C23"/>
    <w:rsid w:val="610D33E8"/>
    <w:rsid w:val="615E35D8"/>
    <w:rsid w:val="619568CD"/>
    <w:rsid w:val="61E67129"/>
    <w:rsid w:val="621A5025"/>
    <w:rsid w:val="629574EE"/>
    <w:rsid w:val="62CC27C3"/>
    <w:rsid w:val="635A7DCF"/>
    <w:rsid w:val="637D586B"/>
    <w:rsid w:val="63872EA4"/>
    <w:rsid w:val="63F26259"/>
    <w:rsid w:val="64061D04"/>
    <w:rsid w:val="640A365A"/>
    <w:rsid w:val="640E2967"/>
    <w:rsid w:val="64754794"/>
    <w:rsid w:val="64FD7B2B"/>
    <w:rsid w:val="657B402C"/>
    <w:rsid w:val="65C07C91"/>
    <w:rsid w:val="66CA526B"/>
    <w:rsid w:val="67C12792"/>
    <w:rsid w:val="67DD0FCE"/>
    <w:rsid w:val="687436E1"/>
    <w:rsid w:val="687A681D"/>
    <w:rsid w:val="68C55CEA"/>
    <w:rsid w:val="68D73C6F"/>
    <w:rsid w:val="68F93BE6"/>
    <w:rsid w:val="690B56C7"/>
    <w:rsid w:val="696A4D66"/>
    <w:rsid w:val="69867965"/>
    <w:rsid w:val="699456BD"/>
    <w:rsid w:val="6A4E3ABD"/>
    <w:rsid w:val="6A9A31A7"/>
    <w:rsid w:val="6AD06BC8"/>
    <w:rsid w:val="6B3929BF"/>
    <w:rsid w:val="6B3D425E"/>
    <w:rsid w:val="6B431148"/>
    <w:rsid w:val="6B56531F"/>
    <w:rsid w:val="6B575C91"/>
    <w:rsid w:val="6BB8040C"/>
    <w:rsid w:val="6C5C6966"/>
    <w:rsid w:val="6C6E5E1A"/>
    <w:rsid w:val="6C8E2897"/>
    <w:rsid w:val="6CDF30F3"/>
    <w:rsid w:val="6D282CEC"/>
    <w:rsid w:val="6D921E65"/>
    <w:rsid w:val="6DF606F4"/>
    <w:rsid w:val="6E267136"/>
    <w:rsid w:val="6E2D67FA"/>
    <w:rsid w:val="6E6E0BD2"/>
    <w:rsid w:val="6E91041D"/>
    <w:rsid w:val="6ECB392F"/>
    <w:rsid w:val="6F562B93"/>
    <w:rsid w:val="6FA348AB"/>
    <w:rsid w:val="6FBB39A3"/>
    <w:rsid w:val="6FD23894"/>
    <w:rsid w:val="6FE23626"/>
    <w:rsid w:val="700E61C9"/>
    <w:rsid w:val="70383246"/>
    <w:rsid w:val="703D260A"/>
    <w:rsid w:val="7060279C"/>
    <w:rsid w:val="70626FA0"/>
    <w:rsid w:val="70756EB2"/>
    <w:rsid w:val="7258197D"/>
    <w:rsid w:val="72B3358B"/>
    <w:rsid w:val="72BF2BA7"/>
    <w:rsid w:val="72C60FDD"/>
    <w:rsid w:val="72EB27F1"/>
    <w:rsid w:val="730241B0"/>
    <w:rsid w:val="731A1328"/>
    <w:rsid w:val="73587D13"/>
    <w:rsid w:val="743B50B2"/>
    <w:rsid w:val="74BF5CE3"/>
    <w:rsid w:val="750977D2"/>
    <w:rsid w:val="75263FB5"/>
    <w:rsid w:val="75693EA1"/>
    <w:rsid w:val="75B25848"/>
    <w:rsid w:val="766528BB"/>
    <w:rsid w:val="768F268A"/>
    <w:rsid w:val="76C92E49"/>
    <w:rsid w:val="76CD55E1"/>
    <w:rsid w:val="77617526"/>
    <w:rsid w:val="777A05E8"/>
    <w:rsid w:val="781A1483"/>
    <w:rsid w:val="781F0851"/>
    <w:rsid w:val="7820118F"/>
    <w:rsid w:val="782A5B6A"/>
    <w:rsid w:val="782A7918"/>
    <w:rsid w:val="78B00E0E"/>
    <w:rsid w:val="78C94F9D"/>
    <w:rsid w:val="78FD502C"/>
    <w:rsid w:val="796450AB"/>
    <w:rsid w:val="79EB30D7"/>
    <w:rsid w:val="7A293F0A"/>
    <w:rsid w:val="7A5E24AA"/>
    <w:rsid w:val="7ACB4CB6"/>
    <w:rsid w:val="7B02692A"/>
    <w:rsid w:val="7B0E3521"/>
    <w:rsid w:val="7B486307"/>
    <w:rsid w:val="7B5B603A"/>
    <w:rsid w:val="7B5C744A"/>
    <w:rsid w:val="7BA55C3B"/>
    <w:rsid w:val="7BD858DD"/>
    <w:rsid w:val="7BE9361F"/>
    <w:rsid w:val="7C6B49A3"/>
    <w:rsid w:val="7C765821"/>
    <w:rsid w:val="7C856E44"/>
    <w:rsid w:val="7CD24A22"/>
    <w:rsid w:val="7D366D5F"/>
    <w:rsid w:val="7DD722F0"/>
    <w:rsid w:val="7E32210A"/>
    <w:rsid w:val="7EB10D93"/>
    <w:rsid w:val="7EC87E8B"/>
    <w:rsid w:val="7EF70770"/>
    <w:rsid w:val="7F052E8D"/>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29"/>
    <w:autoRedefine/>
    <w:unhideWhenUsed/>
    <w:qFormat/>
    <w:uiPriority w:val="99"/>
    <w:pPr>
      <w:tabs>
        <w:tab w:val="center" w:pos="4153"/>
        <w:tab w:val="right" w:pos="8306"/>
      </w:tabs>
      <w:snapToGrid w:val="0"/>
      <w:jc w:val="left"/>
    </w:pPr>
    <w:rPr>
      <w:sz w:val="18"/>
      <w:szCs w:val="18"/>
    </w:rPr>
  </w:style>
  <w:style w:type="paragraph" w:styleId="11">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14"/>
    <w:autoRedefine/>
    <w:qFormat/>
    <w:uiPriority w:val="10"/>
    <w:rPr>
      <w:rFonts w:ascii="黑体" w:hAnsi="黑体" w:eastAsia="黑体" w:cs="黑体"/>
      <w:b/>
      <w:bCs/>
      <w:sz w:val="24"/>
      <w:szCs w:val="24"/>
    </w:rPr>
  </w:style>
  <w:style w:type="character" w:customStyle="1" w:styleId="28">
    <w:name w:val="页眉 字符"/>
    <w:basedOn w:val="19"/>
    <w:link w:val="11"/>
    <w:autoRedefine/>
    <w:qFormat/>
    <w:uiPriority w:val="99"/>
    <w:rPr>
      <w:sz w:val="18"/>
      <w:szCs w:val="18"/>
    </w:rPr>
  </w:style>
  <w:style w:type="character" w:customStyle="1" w:styleId="29">
    <w:name w:val="页脚 字符"/>
    <w:basedOn w:val="19"/>
    <w:link w:val="10"/>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2"/>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339</Words>
  <Characters>352</Characters>
  <Lines>35</Lines>
  <Paragraphs>9</Paragraphs>
  <TotalTime>4</TotalTime>
  <ScaleCrop>false</ScaleCrop>
  <LinksUpToDate>false</LinksUpToDate>
  <CharactersWithSpaces>358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2026-05-25T08:26:31Z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012170A0420347A89154D3512890171D_12</vt:lpwstr>
  </property>
  <property fmtid="{D5CDD505-2E9C-101B-9397-08002B2CF9AE}" pid="4" name="KSOTemplateDocerSaveRecord">
    <vt:lpwstr>eyJoZGlkIjoiMDc5ZmMwZTNkY2FjMjU1Y2Y4ZTlkNzhjNmI4MDEyNjciLCJ1c2VySWQiOiI0NDQ3MDkxMjgifQ==</vt:lpwstr>
  </property>
</Properties>
</file>