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7E9B0">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p>
    <w:p w14:paraId="2AF44AF0">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default" w:ascii="隶书" w:hAnsi="隶书" w:eastAsia="隶书" w:cs="隶书"/>
          <w:lang w:val="en-US" w:eastAsia="zh-CN"/>
        </w:rPr>
      </w:pPr>
      <w:bookmarkStart w:id="0" w:name="_Hlk88569120"/>
      <w:r>
        <w:rPr>
          <w:rFonts w:hint="eastAsia" w:ascii="隶书" w:hAnsi="隶书" w:eastAsia="隶书" w:cs="隶书"/>
          <w:lang w:val="en-US" w:eastAsia="zh-CN"/>
        </w:rPr>
        <w:t>某难处理硫金矿原料预处理系统改造</w:t>
      </w:r>
    </w:p>
    <w:bookmarkEnd w:id="0"/>
    <w:p w14:paraId="00709F4F">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孙晋琳 王德斌 余琪琪 陈祥华 胡远奇</w:t>
      </w:r>
    </w:p>
    <w:p w14:paraId="204CC2A1">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default" w:ascii="楷体" w:hAnsi="楷体" w:eastAsia="楷体" w:cs="楷体"/>
          <w:sz w:val="21"/>
          <w:szCs w:val="21"/>
          <w:lang w:val="en-US" w:eastAsia="zh-CN"/>
        </w:rPr>
      </w:pPr>
      <w:r>
        <w:rPr>
          <w:rFonts w:hint="eastAsia" w:ascii="楷体" w:hAnsi="楷体" w:eastAsia="楷体" w:cs="楷体"/>
          <w:color w:val="auto"/>
          <w:sz w:val="21"/>
          <w:szCs w:val="21"/>
          <w:lang w:val="en-US" w:eastAsia="zh-CN"/>
        </w:rPr>
        <w:t>云南黄金集团鹤庆北衙矿业有限公司</w:t>
      </w:r>
    </w:p>
    <w:p w14:paraId="7399C64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 w:val="21"/>
          <w:szCs w:val="21"/>
          <w:lang w:val="en-US" w:eastAsia="zh-CN"/>
        </w:rPr>
      </w:pPr>
    </w:p>
    <w:p w14:paraId="1999ECA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val="0"/>
          <w:bCs/>
          <w:sz w:val="21"/>
          <w:szCs w:val="21"/>
          <w:lang w:val="en-US" w:eastAsia="zh-CN"/>
        </w:rPr>
      </w:pPr>
      <w:r>
        <w:rPr>
          <w:rFonts w:hint="eastAsia" w:ascii="宋体" w:hAnsi="宋体" w:eastAsia="宋体" w:cs="宋体"/>
          <w:b/>
          <w:bCs w:val="0"/>
          <w:sz w:val="21"/>
          <w:szCs w:val="21"/>
          <w:lang w:val="en-US" w:eastAsia="zh-CN"/>
        </w:rPr>
        <w:t>摘要：</w:t>
      </w:r>
      <w:r>
        <w:rPr>
          <w:rFonts w:hint="eastAsia" w:ascii="宋体" w:hAnsi="宋体" w:eastAsia="宋体" w:cs="宋体"/>
          <w:b w:val="0"/>
          <w:bCs/>
          <w:sz w:val="21"/>
          <w:szCs w:val="21"/>
          <w:lang w:val="en-US" w:eastAsia="zh-CN"/>
        </w:rPr>
        <w:t>本改造针对现有某硫金矿原料预处理系统在处理高细硫金矿物料时面临的困境，深入且全面地阐述了对其进行改造的详细过程、技术创新点及显著成效。改造后的系统创新性地采用“两级连续干燥 + 筛分前一级破碎”工艺，从根本上有效解决了因原料水分高、易团聚所导致的原料达标困难、沸腾炉焙烧异常等一系列制约生产的关键问题，为沸腾炉稳定供应合格原料，有力保障了后段生产的高效、持续进行，在矿物加工领域具有极高的推广应用价值。</w:t>
      </w:r>
    </w:p>
    <w:p w14:paraId="0CF18956">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default" w:ascii="宋体" w:hAnsi="宋体" w:eastAsia="宋体" w:cs="宋体"/>
          <w:b w:val="0"/>
          <w:bCs/>
          <w:sz w:val="21"/>
          <w:szCs w:val="21"/>
          <w:lang w:val="en-US" w:eastAsia="zh-CN"/>
        </w:rPr>
      </w:pPr>
      <w:r>
        <w:rPr>
          <w:rFonts w:hint="eastAsia" w:ascii="宋体" w:hAnsi="宋体" w:eastAsia="宋体" w:cs="宋体"/>
          <w:b/>
          <w:bCs w:val="0"/>
          <w:sz w:val="21"/>
          <w:szCs w:val="21"/>
          <w:lang w:val="en-US" w:eastAsia="zh-CN"/>
        </w:rPr>
        <w:t>关键词：</w:t>
      </w:r>
      <w:r>
        <w:rPr>
          <w:rFonts w:hint="eastAsia" w:ascii="宋体" w:hAnsi="宋体" w:eastAsia="宋体" w:cs="宋体"/>
          <w:b w:val="0"/>
          <w:bCs/>
          <w:sz w:val="21"/>
          <w:szCs w:val="21"/>
          <w:lang w:val="en-US" w:eastAsia="zh-CN"/>
        </w:rPr>
        <w:t>硫金矿；原料；预处理系统；两级连续干燥；技术改造</w:t>
      </w:r>
    </w:p>
    <w:p w14:paraId="294AF25A">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p>
    <w:p w14:paraId="60A44F6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某金矿是一座规模宏大但品位较低的特殊矿山，上部为氧化矿，下部为原生矿，且伴生铁、银、铜、铅等多种金属，资源储量极为可观。原生矿中的金银，部分粒度细微，与黄铁矿共生关系密切。在选矿时，这部分金银大多富集于硫金矿中，并被黄铁矿紧紧包裹，从而形成了回收难度极大的硫铁金矿。经检测，该硫铁金矿粒度较细，-0.038mm含量达到61.84%。其成分复杂，除了较高的硫含量外，水分、粒度分布以及杂质种类和含量等情况也特殊。若直接用于沸腾炉焙烧，会导致焙烧效率低下、设备损耗加剧，甚至影响后续的冶炼流程。因此，必须对高细硫金矿进行预处理，以满足沸腾炉焙烧要求。</w:t>
      </w:r>
    </w:p>
    <w:p w14:paraId="605AFE18">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default" w:ascii="宋体" w:hAnsi="宋体" w:eastAsia="宋体" w:cs="宋体"/>
          <w:b/>
          <w:bCs/>
          <w:sz w:val="21"/>
          <w:szCs w:val="21"/>
          <w:lang w:val="en-US" w:eastAsia="zh-CN"/>
        </w:rPr>
      </w:pPr>
      <w:r>
        <w:rPr>
          <w:rFonts w:hint="eastAsia" w:ascii="宋体" w:hAnsi="宋体" w:eastAsia="宋体" w:cs="宋体"/>
          <w:b/>
          <w:bCs/>
          <w:sz w:val="21"/>
          <w:szCs w:val="21"/>
          <w:lang w:val="en-US" w:eastAsia="zh-CN"/>
        </w:rPr>
        <w:t>1</w:t>
      </w:r>
      <w:r>
        <w:rPr>
          <w:rFonts w:hint="default" w:ascii="宋体" w:hAnsi="宋体" w:eastAsia="宋体" w:cs="宋体"/>
          <w:b/>
          <w:bCs/>
          <w:sz w:val="21"/>
          <w:szCs w:val="21"/>
          <w:lang w:val="en-US" w:eastAsia="zh-CN"/>
        </w:rPr>
        <w:t xml:space="preserve"> </w:t>
      </w:r>
      <w:r>
        <w:rPr>
          <w:rFonts w:hint="eastAsia" w:ascii="宋体" w:hAnsi="宋体" w:eastAsia="宋体" w:cs="宋体"/>
          <w:b/>
          <w:bCs/>
          <w:sz w:val="21"/>
          <w:szCs w:val="21"/>
          <w:lang w:val="en-US" w:eastAsia="zh-CN"/>
        </w:rPr>
        <w:t xml:space="preserve"> 矿物性质</w:t>
      </w:r>
    </w:p>
    <w:p w14:paraId="776175E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bookmarkStart w:id="1" w:name="_bookmark5"/>
      <w:bookmarkEnd w:id="1"/>
      <w:bookmarkStart w:id="2" w:name="_bookmark5"/>
      <w:bookmarkEnd w:id="2"/>
      <w:bookmarkStart w:id="3" w:name="3.1.1 光谱及多元素分析"/>
      <w:bookmarkEnd w:id="3"/>
      <w:bookmarkStart w:id="4" w:name="_bookmark1"/>
      <w:bookmarkEnd w:id="4"/>
      <w:bookmarkStart w:id="5" w:name="2 样品制备"/>
      <w:bookmarkEnd w:id="5"/>
      <w:bookmarkStart w:id="6" w:name="_bookmark1"/>
      <w:bookmarkEnd w:id="6"/>
      <w:bookmarkStart w:id="7" w:name="_bookmark6"/>
      <w:bookmarkEnd w:id="7"/>
      <w:bookmarkStart w:id="8" w:name="_bookmark6"/>
      <w:bookmarkEnd w:id="8"/>
      <w:bookmarkStart w:id="9" w:name="3.1 化学分析"/>
      <w:bookmarkEnd w:id="9"/>
      <w:r>
        <w:rPr>
          <w:rFonts w:hint="eastAsia" w:ascii="宋体" w:hAnsi="宋体" w:eastAsia="宋体" w:cs="宋体"/>
          <w:lang w:val="en-US" w:eastAsia="zh-CN"/>
        </w:rPr>
        <w:t>如表1所示，原矿主要化学成分分析结果表明，矿石中主要回收元素为Au、Ag、Cu、Pb、Zn、S、Fe，品位分别为5.29 g/t、36,04 g/t、0.11%、0.062%、0.017%、45.25%和40.35%，有害元素主要为砷，其品位为0.22%。该硫精矿粒度细，小于 200 目几乎占 100%，而小于 400 目占 60%以上。</w:t>
      </w:r>
    </w:p>
    <w:p w14:paraId="126A9B5A">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center"/>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表 1 矿物化学元素分析</w:t>
      </w:r>
    </w:p>
    <w:tbl>
      <w:tblPr>
        <w:tblStyle w:val="17"/>
        <w:tblpPr w:leftFromText="180" w:rightFromText="180" w:vertAnchor="text" w:horzAnchor="page" w:tblpX="1674" w:tblpY="75"/>
        <w:tblOverlap w:val="never"/>
        <w:tblW w:w="499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658"/>
        <w:gridCol w:w="1338"/>
        <w:gridCol w:w="1273"/>
        <w:gridCol w:w="929"/>
        <w:gridCol w:w="994"/>
        <w:gridCol w:w="898"/>
        <w:gridCol w:w="877"/>
        <w:gridCol w:w="760"/>
      </w:tblGrid>
      <w:tr w14:paraId="346D7E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trPr>
        <w:tc>
          <w:tcPr>
            <w:tcW w:w="949" w:type="pct"/>
            <w:tcBorders>
              <w:top w:val="single" w:color="000000" w:sz="6" w:space="0"/>
              <w:left w:val="nil"/>
              <w:bottom w:val="single" w:color="000000" w:sz="6" w:space="0"/>
              <w:right w:val="nil"/>
            </w:tcBorders>
          </w:tcPr>
          <w:p w14:paraId="73C2D647">
            <w:pPr>
              <w:keepNext w:val="0"/>
              <w:keepLines w:val="0"/>
              <w:pageBreakBefore w:val="0"/>
              <w:widowControl w:val="0"/>
              <w:kinsoku/>
              <w:wordWrap/>
              <w:overflowPunct/>
              <w:topLinePunct w:val="0"/>
              <w:autoSpaceDE w:val="0"/>
              <w:autoSpaceDN w:val="0"/>
              <w:bidi w:val="0"/>
              <w:adjustRightInd/>
              <w:snapToGrid/>
              <w:spacing w:before="0" w:after="0" w:line="360" w:lineRule="auto"/>
              <w:ind w:left="0" w:right="0" w:firstLine="360" w:firstLineChars="200"/>
              <w:jc w:val="center"/>
              <w:textAlignment w:val="auto"/>
              <w:rPr>
                <w:rFonts w:hint="eastAsia" w:ascii="宋体" w:hAnsi="宋体" w:eastAsia="宋体" w:cs="宋体"/>
                <w:sz w:val="18"/>
                <w:szCs w:val="18"/>
                <w:lang w:val="en-US" w:eastAsia="zh-CN" w:bidi="ar-SA"/>
              </w:rPr>
            </w:pPr>
            <w:bookmarkStart w:id="10" w:name="_bookmark7"/>
            <w:bookmarkEnd w:id="10"/>
            <w:bookmarkStart w:id="11" w:name="_bookmark7"/>
            <w:bookmarkEnd w:id="11"/>
            <w:bookmarkStart w:id="12" w:name="3.1.2 物相分析"/>
            <w:bookmarkEnd w:id="12"/>
            <w:r>
              <w:rPr>
                <w:rFonts w:hint="eastAsia" w:ascii="宋体" w:hAnsi="宋体" w:eastAsia="宋体" w:cs="宋体"/>
                <w:sz w:val="18"/>
                <w:szCs w:val="18"/>
                <w:lang w:val="en-US" w:eastAsia="zh-CN" w:bidi="ar-SA"/>
              </w:rPr>
              <w:t>元素</w:t>
            </w:r>
          </w:p>
        </w:tc>
        <w:tc>
          <w:tcPr>
            <w:tcW w:w="766" w:type="pct"/>
            <w:tcBorders>
              <w:top w:val="single" w:color="000000" w:sz="6" w:space="0"/>
              <w:left w:val="nil"/>
              <w:bottom w:val="single" w:color="000000" w:sz="6" w:space="0"/>
              <w:right w:val="nil"/>
            </w:tcBorders>
          </w:tcPr>
          <w:p w14:paraId="201E1012">
            <w:pPr>
              <w:keepNext w:val="0"/>
              <w:keepLines w:val="0"/>
              <w:pageBreakBefore w:val="0"/>
              <w:widowControl w:val="0"/>
              <w:kinsoku/>
              <w:wordWrap/>
              <w:overflowPunct/>
              <w:topLinePunct w:val="0"/>
              <w:autoSpaceDE w:val="0"/>
              <w:autoSpaceDN w:val="0"/>
              <w:bidi w:val="0"/>
              <w:adjustRightInd/>
              <w:snapToGrid/>
              <w:spacing w:before="0" w:after="0" w:line="360" w:lineRule="auto"/>
              <w:ind w:right="0"/>
              <w:jc w:val="center"/>
              <w:textAlignment w:val="auto"/>
              <w:rPr>
                <w:rFonts w:hint="eastAsia" w:ascii="宋体" w:hAnsi="宋体" w:eastAsia="宋体" w:cs="宋体"/>
                <w:sz w:val="18"/>
                <w:szCs w:val="18"/>
                <w:lang w:val="en-US" w:eastAsia="zh-CN" w:bidi="ar-SA"/>
              </w:rPr>
            </w:pPr>
            <w:r>
              <w:rPr>
                <w:rFonts w:hint="eastAsia" w:ascii="宋体" w:hAnsi="宋体" w:eastAsia="宋体" w:cs="宋体"/>
                <w:sz w:val="18"/>
                <w:szCs w:val="18"/>
                <w:lang w:val="en-US" w:eastAsia="zh-CN" w:bidi="ar-SA"/>
              </w:rPr>
              <w:t>Au（g/t）</w:t>
            </w:r>
          </w:p>
        </w:tc>
        <w:tc>
          <w:tcPr>
            <w:tcW w:w="729" w:type="pct"/>
            <w:tcBorders>
              <w:top w:val="single" w:color="000000" w:sz="6" w:space="0"/>
              <w:left w:val="nil"/>
              <w:bottom w:val="single" w:color="000000" w:sz="6" w:space="0"/>
              <w:right w:val="nil"/>
            </w:tcBorders>
          </w:tcPr>
          <w:p w14:paraId="4B3EE973">
            <w:pPr>
              <w:keepNext w:val="0"/>
              <w:keepLines w:val="0"/>
              <w:pageBreakBefore w:val="0"/>
              <w:widowControl w:val="0"/>
              <w:kinsoku/>
              <w:wordWrap/>
              <w:overflowPunct/>
              <w:topLinePunct w:val="0"/>
              <w:autoSpaceDE w:val="0"/>
              <w:autoSpaceDN w:val="0"/>
              <w:bidi w:val="0"/>
              <w:adjustRightInd/>
              <w:snapToGrid/>
              <w:spacing w:before="0" w:after="0" w:line="360" w:lineRule="auto"/>
              <w:ind w:right="0"/>
              <w:jc w:val="center"/>
              <w:textAlignment w:val="auto"/>
              <w:rPr>
                <w:rFonts w:hint="eastAsia" w:ascii="宋体" w:hAnsi="宋体" w:eastAsia="宋体" w:cs="宋体"/>
                <w:sz w:val="18"/>
                <w:szCs w:val="18"/>
                <w:lang w:val="en-US" w:eastAsia="zh-CN" w:bidi="ar-SA"/>
              </w:rPr>
            </w:pPr>
            <w:r>
              <w:rPr>
                <w:rFonts w:hint="eastAsia" w:ascii="宋体" w:hAnsi="宋体" w:eastAsia="宋体" w:cs="宋体"/>
                <w:sz w:val="18"/>
                <w:szCs w:val="18"/>
                <w:lang w:val="en-US" w:eastAsia="zh-CN" w:bidi="ar-SA"/>
              </w:rPr>
              <w:t>Ag（g/t）</w:t>
            </w:r>
          </w:p>
        </w:tc>
        <w:tc>
          <w:tcPr>
            <w:tcW w:w="532" w:type="pct"/>
            <w:tcBorders>
              <w:top w:val="single" w:color="000000" w:sz="6" w:space="0"/>
              <w:left w:val="nil"/>
              <w:bottom w:val="single" w:color="000000" w:sz="6" w:space="0"/>
              <w:right w:val="nil"/>
            </w:tcBorders>
          </w:tcPr>
          <w:p w14:paraId="295C0410">
            <w:pPr>
              <w:keepNext w:val="0"/>
              <w:keepLines w:val="0"/>
              <w:pageBreakBefore w:val="0"/>
              <w:widowControl w:val="0"/>
              <w:kinsoku/>
              <w:wordWrap/>
              <w:overflowPunct/>
              <w:topLinePunct w:val="0"/>
              <w:autoSpaceDE w:val="0"/>
              <w:autoSpaceDN w:val="0"/>
              <w:bidi w:val="0"/>
              <w:adjustRightInd/>
              <w:snapToGrid/>
              <w:spacing w:before="0" w:after="0" w:line="360" w:lineRule="auto"/>
              <w:ind w:right="0"/>
              <w:jc w:val="center"/>
              <w:textAlignment w:val="auto"/>
              <w:rPr>
                <w:rFonts w:hint="eastAsia" w:ascii="宋体" w:hAnsi="宋体" w:eastAsia="宋体" w:cs="宋体"/>
                <w:sz w:val="18"/>
                <w:szCs w:val="18"/>
                <w:lang w:val="en-US" w:eastAsia="zh-CN" w:bidi="ar-SA"/>
              </w:rPr>
            </w:pPr>
            <w:r>
              <w:rPr>
                <w:rFonts w:hint="eastAsia" w:ascii="宋体" w:hAnsi="宋体" w:eastAsia="宋体" w:cs="宋体"/>
                <w:sz w:val="18"/>
                <w:szCs w:val="18"/>
                <w:lang w:val="en-US" w:eastAsia="zh-CN" w:bidi="ar-SA"/>
              </w:rPr>
              <w:t>Cu</w:t>
            </w:r>
          </w:p>
        </w:tc>
        <w:tc>
          <w:tcPr>
            <w:tcW w:w="569" w:type="pct"/>
            <w:tcBorders>
              <w:top w:val="single" w:color="000000" w:sz="6" w:space="0"/>
              <w:left w:val="nil"/>
              <w:bottom w:val="single" w:color="000000" w:sz="6" w:space="0"/>
              <w:right w:val="nil"/>
            </w:tcBorders>
          </w:tcPr>
          <w:p w14:paraId="16A54D42">
            <w:pPr>
              <w:keepNext w:val="0"/>
              <w:keepLines w:val="0"/>
              <w:pageBreakBefore w:val="0"/>
              <w:widowControl w:val="0"/>
              <w:kinsoku/>
              <w:wordWrap/>
              <w:overflowPunct/>
              <w:topLinePunct w:val="0"/>
              <w:autoSpaceDE w:val="0"/>
              <w:autoSpaceDN w:val="0"/>
              <w:bidi w:val="0"/>
              <w:adjustRightInd/>
              <w:snapToGrid/>
              <w:spacing w:before="0" w:after="0" w:line="360" w:lineRule="auto"/>
              <w:ind w:right="0"/>
              <w:jc w:val="center"/>
              <w:textAlignment w:val="auto"/>
              <w:rPr>
                <w:rFonts w:hint="eastAsia" w:ascii="宋体" w:hAnsi="宋体" w:eastAsia="宋体" w:cs="宋体"/>
                <w:sz w:val="18"/>
                <w:szCs w:val="18"/>
                <w:lang w:val="en-US" w:eastAsia="zh-CN" w:bidi="ar-SA"/>
              </w:rPr>
            </w:pPr>
            <w:r>
              <w:rPr>
                <w:rFonts w:hint="eastAsia" w:ascii="宋体" w:hAnsi="宋体" w:eastAsia="宋体" w:cs="宋体"/>
                <w:sz w:val="18"/>
                <w:szCs w:val="18"/>
                <w:lang w:val="en-US" w:eastAsia="zh-CN" w:bidi="ar-SA"/>
              </w:rPr>
              <w:t>Fe</w:t>
            </w:r>
          </w:p>
        </w:tc>
        <w:tc>
          <w:tcPr>
            <w:tcW w:w="514" w:type="pct"/>
            <w:tcBorders>
              <w:top w:val="single" w:color="000000" w:sz="6" w:space="0"/>
              <w:left w:val="nil"/>
              <w:bottom w:val="single" w:color="000000" w:sz="6" w:space="0"/>
              <w:right w:val="nil"/>
            </w:tcBorders>
          </w:tcPr>
          <w:p w14:paraId="000B1BE1">
            <w:pPr>
              <w:keepNext w:val="0"/>
              <w:keepLines w:val="0"/>
              <w:pageBreakBefore w:val="0"/>
              <w:widowControl w:val="0"/>
              <w:kinsoku/>
              <w:wordWrap/>
              <w:overflowPunct/>
              <w:topLinePunct w:val="0"/>
              <w:autoSpaceDE w:val="0"/>
              <w:autoSpaceDN w:val="0"/>
              <w:bidi w:val="0"/>
              <w:adjustRightInd/>
              <w:snapToGrid/>
              <w:spacing w:before="0" w:after="0" w:line="360" w:lineRule="auto"/>
              <w:ind w:right="0"/>
              <w:jc w:val="center"/>
              <w:textAlignment w:val="auto"/>
              <w:rPr>
                <w:rFonts w:hint="eastAsia" w:ascii="宋体" w:hAnsi="宋体" w:eastAsia="宋体" w:cs="宋体"/>
                <w:sz w:val="18"/>
                <w:szCs w:val="18"/>
                <w:lang w:val="en-US" w:eastAsia="zh-CN" w:bidi="ar-SA"/>
              </w:rPr>
            </w:pPr>
            <w:r>
              <w:rPr>
                <w:rFonts w:hint="eastAsia" w:ascii="宋体" w:hAnsi="宋体" w:eastAsia="宋体" w:cs="宋体"/>
                <w:sz w:val="18"/>
                <w:szCs w:val="18"/>
                <w:lang w:val="en-US" w:eastAsia="zh-CN" w:bidi="ar-SA"/>
              </w:rPr>
              <w:t>As</w:t>
            </w:r>
          </w:p>
        </w:tc>
        <w:tc>
          <w:tcPr>
            <w:tcW w:w="502" w:type="pct"/>
            <w:tcBorders>
              <w:top w:val="single" w:color="000000" w:sz="6" w:space="0"/>
              <w:left w:val="nil"/>
              <w:bottom w:val="single" w:color="000000" w:sz="6" w:space="0"/>
              <w:right w:val="nil"/>
            </w:tcBorders>
          </w:tcPr>
          <w:p w14:paraId="34F28C38">
            <w:pPr>
              <w:keepNext w:val="0"/>
              <w:keepLines w:val="0"/>
              <w:pageBreakBefore w:val="0"/>
              <w:widowControl w:val="0"/>
              <w:kinsoku/>
              <w:wordWrap/>
              <w:overflowPunct/>
              <w:topLinePunct w:val="0"/>
              <w:autoSpaceDE w:val="0"/>
              <w:autoSpaceDN w:val="0"/>
              <w:bidi w:val="0"/>
              <w:adjustRightInd/>
              <w:snapToGrid/>
              <w:spacing w:before="0" w:after="0" w:line="360" w:lineRule="auto"/>
              <w:ind w:right="0"/>
              <w:jc w:val="center"/>
              <w:textAlignment w:val="auto"/>
              <w:rPr>
                <w:rFonts w:hint="eastAsia" w:ascii="宋体" w:hAnsi="宋体" w:eastAsia="宋体" w:cs="宋体"/>
                <w:sz w:val="18"/>
                <w:szCs w:val="18"/>
                <w:lang w:val="en-US" w:eastAsia="zh-CN" w:bidi="ar-SA"/>
              </w:rPr>
            </w:pPr>
            <w:r>
              <w:rPr>
                <w:rFonts w:hint="eastAsia" w:ascii="宋体" w:hAnsi="宋体" w:eastAsia="宋体" w:cs="宋体"/>
                <w:sz w:val="18"/>
                <w:szCs w:val="18"/>
                <w:lang w:val="en-US" w:eastAsia="zh-CN" w:bidi="ar-SA"/>
              </w:rPr>
              <w:t>C</w:t>
            </w:r>
          </w:p>
        </w:tc>
        <w:tc>
          <w:tcPr>
            <w:tcW w:w="435" w:type="pct"/>
            <w:tcBorders>
              <w:top w:val="single" w:color="000000" w:sz="6" w:space="0"/>
              <w:left w:val="nil"/>
              <w:bottom w:val="single" w:color="000000" w:sz="6" w:space="0"/>
              <w:right w:val="nil"/>
            </w:tcBorders>
          </w:tcPr>
          <w:p w14:paraId="2E2ACB3E">
            <w:pPr>
              <w:keepNext w:val="0"/>
              <w:keepLines w:val="0"/>
              <w:pageBreakBefore w:val="0"/>
              <w:widowControl w:val="0"/>
              <w:kinsoku/>
              <w:wordWrap/>
              <w:overflowPunct/>
              <w:topLinePunct w:val="0"/>
              <w:autoSpaceDE w:val="0"/>
              <w:autoSpaceDN w:val="0"/>
              <w:bidi w:val="0"/>
              <w:adjustRightInd/>
              <w:snapToGrid/>
              <w:spacing w:before="0" w:after="0" w:line="360" w:lineRule="auto"/>
              <w:ind w:right="0"/>
              <w:jc w:val="center"/>
              <w:textAlignment w:val="auto"/>
              <w:rPr>
                <w:rFonts w:hint="eastAsia" w:ascii="宋体" w:hAnsi="宋体" w:eastAsia="宋体" w:cs="宋体"/>
                <w:sz w:val="18"/>
                <w:szCs w:val="18"/>
                <w:lang w:val="en-US" w:eastAsia="zh-CN" w:bidi="ar-SA"/>
              </w:rPr>
            </w:pPr>
            <w:r>
              <w:rPr>
                <w:rFonts w:hint="eastAsia" w:ascii="宋体" w:hAnsi="宋体" w:eastAsia="宋体" w:cs="宋体"/>
                <w:sz w:val="18"/>
                <w:szCs w:val="18"/>
                <w:lang w:val="en-US" w:eastAsia="zh-CN" w:bidi="ar-SA"/>
              </w:rPr>
              <w:t>S</w:t>
            </w:r>
          </w:p>
        </w:tc>
      </w:tr>
      <w:tr w14:paraId="4B0D25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trPr>
        <w:tc>
          <w:tcPr>
            <w:tcW w:w="949" w:type="pct"/>
            <w:tcBorders>
              <w:top w:val="single" w:color="000000" w:sz="6" w:space="0"/>
              <w:left w:val="nil"/>
              <w:bottom w:val="single" w:color="000000" w:sz="6" w:space="0"/>
              <w:right w:val="nil"/>
            </w:tcBorders>
          </w:tcPr>
          <w:p w14:paraId="47F480E5">
            <w:pPr>
              <w:keepNext w:val="0"/>
              <w:keepLines w:val="0"/>
              <w:pageBreakBefore w:val="0"/>
              <w:widowControl w:val="0"/>
              <w:kinsoku/>
              <w:wordWrap/>
              <w:overflowPunct/>
              <w:topLinePunct w:val="0"/>
              <w:autoSpaceDE w:val="0"/>
              <w:autoSpaceDN w:val="0"/>
              <w:bidi w:val="0"/>
              <w:adjustRightInd/>
              <w:snapToGrid/>
              <w:spacing w:before="0" w:after="0" w:line="360" w:lineRule="auto"/>
              <w:ind w:left="0" w:right="0" w:firstLine="356" w:firstLineChars="200"/>
              <w:jc w:val="center"/>
              <w:textAlignment w:val="auto"/>
              <w:rPr>
                <w:rFonts w:hint="eastAsia" w:ascii="宋体" w:hAnsi="宋体" w:eastAsia="宋体" w:cs="宋体"/>
                <w:sz w:val="18"/>
                <w:szCs w:val="18"/>
                <w:lang w:val="en-US" w:eastAsia="zh-CN" w:bidi="ar-SA"/>
              </w:rPr>
            </w:pPr>
            <w:r>
              <w:rPr>
                <w:rFonts w:hint="eastAsia" w:ascii="宋体" w:hAnsi="宋体" w:eastAsia="宋体" w:cs="宋体"/>
                <w:spacing w:val="-1"/>
                <w:sz w:val="18"/>
                <w:szCs w:val="18"/>
                <w:lang w:val="en-US" w:eastAsia="zh-CN" w:bidi="ar-SA"/>
              </w:rPr>
              <w:t>含量</w:t>
            </w:r>
            <w:r>
              <w:rPr>
                <w:rFonts w:hint="eastAsia" w:ascii="宋体" w:hAnsi="宋体" w:eastAsia="宋体" w:cs="宋体"/>
                <w:sz w:val="18"/>
                <w:szCs w:val="18"/>
                <w:lang w:val="en-US" w:eastAsia="zh-CN" w:bidi="ar-SA"/>
              </w:rPr>
              <w:t>（%）</w:t>
            </w:r>
          </w:p>
        </w:tc>
        <w:tc>
          <w:tcPr>
            <w:tcW w:w="766" w:type="pct"/>
            <w:tcBorders>
              <w:top w:val="single" w:color="000000" w:sz="6" w:space="0"/>
              <w:left w:val="nil"/>
              <w:bottom w:val="single" w:color="000000" w:sz="6" w:space="0"/>
              <w:right w:val="nil"/>
            </w:tcBorders>
          </w:tcPr>
          <w:p w14:paraId="1DFC3676">
            <w:pPr>
              <w:keepNext w:val="0"/>
              <w:keepLines w:val="0"/>
              <w:pageBreakBefore w:val="0"/>
              <w:widowControl w:val="0"/>
              <w:kinsoku/>
              <w:wordWrap/>
              <w:overflowPunct/>
              <w:topLinePunct w:val="0"/>
              <w:autoSpaceDE w:val="0"/>
              <w:autoSpaceDN w:val="0"/>
              <w:bidi w:val="0"/>
              <w:adjustRightInd/>
              <w:snapToGrid/>
              <w:spacing w:before="0" w:after="0" w:line="360" w:lineRule="auto"/>
              <w:ind w:right="0"/>
              <w:jc w:val="center"/>
              <w:textAlignment w:val="auto"/>
              <w:rPr>
                <w:rFonts w:hint="eastAsia" w:ascii="宋体" w:hAnsi="宋体" w:eastAsia="宋体" w:cs="宋体"/>
                <w:sz w:val="18"/>
                <w:szCs w:val="18"/>
                <w:lang w:val="en-US" w:eastAsia="zh-CN" w:bidi="ar-SA"/>
              </w:rPr>
            </w:pPr>
            <w:r>
              <w:rPr>
                <w:rFonts w:hint="eastAsia" w:ascii="宋体" w:hAnsi="宋体" w:eastAsia="宋体" w:cs="宋体"/>
                <w:sz w:val="18"/>
                <w:szCs w:val="18"/>
                <w:lang w:val="en-US" w:eastAsia="zh-CN" w:bidi="ar-SA"/>
              </w:rPr>
              <w:t>5.29</w:t>
            </w:r>
          </w:p>
        </w:tc>
        <w:tc>
          <w:tcPr>
            <w:tcW w:w="729" w:type="pct"/>
            <w:tcBorders>
              <w:top w:val="single" w:color="000000" w:sz="6" w:space="0"/>
              <w:left w:val="nil"/>
              <w:bottom w:val="single" w:color="000000" w:sz="6" w:space="0"/>
              <w:right w:val="nil"/>
            </w:tcBorders>
          </w:tcPr>
          <w:p w14:paraId="197A0642">
            <w:pPr>
              <w:keepNext w:val="0"/>
              <w:keepLines w:val="0"/>
              <w:pageBreakBefore w:val="0"/>
              <w:widowControl w:val="0"/>
              <w:kinsoku/>
              <w:wordWrap/>
              <w:overflowPunct/>
              <w:topLinePunct w:val="0"/>
              <w:autoSpaceDE w:val="0"/>
              <w:autoSpaceDN w:val="0"/>
              <w:bidi w:val="0"/>
              <w:adjustRightInd/>
              <w:snapToGrid/>
              <w:spacing w:before="0" w:after="0" w:line="360" w:lineRule="auto"/>
              <w:ind w:right="0"/>
              <w:jc w:val="center"/>
              <w:textAlignment w:val="auto"/>
              <w:rPr>
                <w:rFonts w:hint="eastAsia" w:ascii="宋体" w:hAnsi="宋体" w:eastAsia="宋体" w:cs="宋体"/>
                <w:sz w:val="18"/>
                <w:szCs w:val="18"/>
                <w:lang w:val="en-US" w:eastAsia="zh-CN" w:bidi="ar-SA"/>
              </w:rPr>
            </w:pPr>
            <w:r>
              <w:rPr>
                <w:rFonts w:hint="eastAsia" w:ascii="宋体" w:hAnsi="宋体" w:eastAsia="宋体" w:cs="宋体"/>
                <w:sz w:val="18"/>
                <w:szCs w:val="18"/>
                <w:lang w:val="en-US" w:eastAsia="zh-CN" w:bidi="ar-SA"/>
              </w:rPr>
              <w:t>36.04</w:t>
            </w:r>
          </w:p>
        </w:tc>
        <w:tc>
          <w:tcPr>
            <w:tcW w:w="532" w:type="pct"/>
            <w:tcBorders>
              <w:top w:val="single" w:color="000000" w:sz="6" w:space="0"/>
              <w:left w:val="nil"/>
              <w:bottom w:val="single" w:color="000000" w:sz="6" w:space="0"/>
              <w:right w:val="nil"/>
            </w:tcBorders>
          </w:tcPr>
          <w:p w14:paraId="0FC331A6">
            <w:pPr>
              <w:keepNext w:val="0"/>
              <w:keepLines w:val="0"/>
              <w:pageBreakBefore w:val="0"/>
              <w:widowControl w:val="0"/>
              <w:kinsoku/>
              <w:wordWrap/>
              <w:overflowPunct/>
              <w:topLinePunct w:val="0"/>
              <w:autoSpaceDE w:val="0"/>
              <w:autoSpaceDN w:val="0"/>
              <w:bidi w:val="0"/>
              <w:adjustRightInd/>
              <w:snapToGrid/>
              <w:spacing w:before="0" w:after="0" w:line="360" w:lineRule="auto"/>
              <w:ind w:right="0"/>
              <w:jc w:val="center"/>
              <w:textAlignment w:val="auto"/>
              <w:rPr>
                <w:rFonts w:hint="eastAsia" w:ascii="宋体" w:hAnsi="宋体" w:eastAsia="宋体" w:cs="宋体"/>
                <w:sz w:val="18"/>
                <w:szCs w:val="18"/>
                <w:lang w:val="en-US" w:eastAsia="zh-CN" w:bidi="ar-SA"/>
              </w:rPr>
            </w:pPr>
            <w:r>
              <w:rPr>
                <w:rFonts w:hint="eastAsia" w:ascii="宋体" w:hAnsi="宋体" w:eastAsia="宋体" w:cs="宋体"/>
                <w:sz w:val="18"/>
                <w:szCs w:val="18"/>
                <w:lang w:val="en-US" w:eastAsia="zh-CN" w:bidi="ar-SA"/>
              </w:rPr>
              <w:t>0.11</w:t>
            </w:r>
          </w:p>
        </w:tc>
        <w:tc>
          <w:tcPr>
            <w:tcW w:w="569" w:type="pct"/>
            <w:tcBorders>
              <w:top w:val="single" w:color="000000" w:sz="6" w:space="0"/>
              <w:left w:val="nil"/>
              <w:bottom w:val="single" w:color="000000" w:sz="6" w:space="0"/>
              <w:right w:val="nil"/>
            </w:tcBorders>
          </w:tcPr>
          <w:p w14:paraId="2DB477E8">
            <w:pPr>
              <w:keepNext w:val="0"/>
              <w:keepLines w:val="0"/>
              <w:pageBreakBefore w:val="0"/>
              <w:widowControl w:val="0"/>
              <w:kinsoku/>
              <w:wordWrap/>
              <w:overflowPunct/>
              <w:topLinePunct w:val="0"/>
              <w:autoSpaceDE w:val="0"/>
              <w:autoSpaceDN w:val="0"/>
              <w:bidi w:val="0"/>
              <w:adjustRightInd/>
              <w:snapToGrid/>
              <w:spacing w:before="0" w:after="0" w:line="360" w:lineRule="auto"/>
              <w:ind w:right="0"/>
              <w:jc w:val="center"/>
              <w:textAlignment w:val="auto"/>
              <w:rPr>
                <w:rFonts w:hint="eastAsia" w:ascii="宋体" w:hAnsi="宋体" w:eastAsia="宋体" w:cs="宋体"/>
                <w:sz w:val="18"/>
                <w:szCs w:val="18"/>
                <w:lang w:val="en-US" w:eastAsia="zh-CN" w:bidi="ar-SA"/>
              </w:rPr>
            </w:pPr>
            <w:r>
              <w:rPr>
                <w:rFonts w:hint="eastAsia" w:ascii="宋体" w:hAnsi="宋体" w:eastAsia="宋体" w:cs="宋体"/>
                <w:sz w:val="18"/>
                <w:szCs w:val="18"/>
                <w:lang w:val="en-US" w:eastAsia="zh-CN" w:bidi="ar-SA"/>
              </w:rPr>
              <w:t>40.35</w:t>
            </w:r>
          </w:p>
        </w:tc>
        <w:tc>
          <w:tcPr>
            <w:tcW w:w="514" w:type="pct"/>
            <w:tcBorders>
              <w:top w:val="single" w:color="000000" w:sz="6" w:space="0"/>
              <w:left w:val="nil"/>
              <w:bottom w:val="single" w:color="000000" w:sz="6" w:space="0"/>
              <w:right w:val="nil"/>
            </w:tcBorders>
          </w:tcPr>
          <w:p w14:paraId="5195B5CA">
            <w:pPr>
              <w:keepNext w:val="0"/>
              <w:keepLines w:val="0"/>
              <w:pageBreakBefore w:val="0"/>
              <w:widowControl w:val="0"/>
              <w:kinsoku/>
              <w:wordWrap/>
              <w:overflowPunct/>
              <w:topLinePunct w:val="0"/>
              <w:autoSpaceDE w:val="0"/>
              <w:autoSpaceDN w:val="0"/>
              <w:bidi w:val="0"/>
              <w:adjustRightInd/>
              <w:snapToGrid/>
              <w:spacing w:before="0" w:after="0" w:line="360" w:lineRule="auto"/>
              <w:ind w:right="0"/>
              <w:jc w:val="center"/>
              <w:textAlignment w:val="auto"/>
              <w:rPr>
                <w:rFonts w:hint="eastAsia" w:ascii="宋体" w:hAnsi="宋体" w:eastAsia="宋体" w:cs="宋体"/>
                <w:sz w:val="18"/>
                <w:szCs w:val="18"/>
                <w:lang w:val="en-US" w:eastAsia="zh-CN" w:bidi="ar-SA"/>
              </w:rPr>
            </w:pPr>
            <w:r>
              <w:rPr>
                <w:rFonts w:hint="eastAsia" w:ascii="宋体" w:hAnsi="宋体" w:eastAsia="宋体" w:cs="宋体"/>
                <w:sz w:val="18"/>
                <w:szCs w:val="18"/>
                <w:lang w:val="en-US" w:eastAsia="zh-CN" w:bidi="ar-SA"/>
              </w:rPr>
              <w:t>0.21</w:t>
            </w:r>
          </w:p>
        </w:tc>
        <w:tc>
          <w:tcPr>
            <w:tcW w:w="502" w:type="pct"/>
            <w:tcBorders>
              <w:top w:val="single" w:color="000000" w:sz="6" w:space="0"/>
              <w:left w:val="nil"/>
              <w:bottom w:val="single" w:color="000000" w:sz="6" w:space="0"/>
              <w:right w:val="nil"/>
            </w:tcBorders>
          </w:tcPr>
          <w:p w14:paraId="41640FDE">
            <w:pPr>
              <w:keepNext w:val="0"/>
              <w:keepLines w:val="0"/>
              <w:pageBreakBefore w:val="0"/>
              <w:widowControl w:val="0"/>
              <w:kinsoku/>
              <w:wordWrap/>
              <w:overflowPunct/>
              <w:topLinePunct w:val="0"/>
              <w:autoSpaceDE w:val="0"/>
              <w:autoSpaceDN w:val="0"/>
              <w:bidi w:val="0"/>
              <w:adjustRightInd/>
              <w:snapToGrid/>
              <w:spacing w:before="0" w:after="0" w:line="360" w:lineRule="auto"/>
              <w:ind w:right="0"/>
              <w:jc w:val="center"/>
              <w:textAlignment w:val="auto"/>
              <w:rPr>
                <w:rFonts w:hint="eastAsia" w:ascii="宋体" w:hAnsi="宋体" w:eastAsia="宋体" w:cs="宋体"/>
                <w:sz w:val="18"/>
                <w:szCs w:val="18"/>
                <w:lang w:val="en-US" w:eastAsia="zh-CN" w:bidi="ar-SA"/>
              </w:rPr>
            </w:pPr>
            <w:r>
              <w:rPr>
                <w:rFonts w:hint="eastAsia" w:ascii="宋体" w:hAnsi="宋体" w:eastAsia="宋体" w:cs="宋体"/>
                <w:sz w:val="18"/>
                <w:szCs w:val="18"/>
                <w:lang w:val="en-US" w:eastAsia="zh-CN" w:bidi="ar-SA"/>
              </w:rPr>
              <w:t>0.45</w:t>
            </w:r>
          </w:p>
        </w:tc>
        <w:tc>
          <w:tcPr>
            <w:tcW w:w="435" w:type="pct"/>
            <w:tcBorders>
              <w:top w:val="single" w:color="000000" w:sz="6" w:space="0"/>
              <w:left w:val="nil"/>
              <w:bottom w:val="single" w:color="000000" w:sz="6" w:space="0"/>
              <w:right w:val="nil"/>
            </w:tcBorders>
          </w:tcPr>
          <w:p w14:paraId="57355B64">
            <w:pPr>
              <w:keepNext w:val="0"/>
              <w:keepLines w:val="0"/>
              <w:pageBreakBefore w:val="0"/>
              <w:widowControl w:val="0"/>
              <w:kinsoku/>
              <w:wordWrap/>
              <w:overflowPunct/>
              <w:topLinePunct w:val="0"/>
              <w:autoSpaceDE w:val="0"/>
              <w:autoSpaceDN w:val="0"/>
              <w:bidi w:val="0"/>
              <w:adjustRightInd/>
              <w:snapToGrid/>
              <w:spacing w:before="0" w:after="0" w:line="360" w:lineRule="auto"/>
              <w:ind w:right="0"/>
              <w:jc w:val="center"/>
              <w:textAlignment w:val="auto"/>
              <w:rPr>
                <w:rFonts w:hint="eastAsia" w:ascii="宋体" w:hAnsi="宋体" w:eastAsia="宋体" w:cs="宋体"/>
                <w:sz w:val="18"/>
                <w:szCs w:val="18"/>
                <w:lang w:val="en-US" w:eastAsia="zh-CN" w:bidi="ar-SA"/>
              </w:rPr>
            </w:pPr>
            <w:r>
              <w:rPr>
                <w:rFonts w:hint="eastAsia" w:ascii="宋体" w:hAnsi="宋体" w:eastAsia="宋体" w:cs="宋体"/>
                <w:sz w:val="18"/>
                <w:szCs w:val="18"/>
                <w:lang w:val="en-US" w:eastAsia="zh-CN" w:bidi="ar-SA"/>
              </w:rPr>
              <w:t>45.25</w:t>
            </w:r>
          </w:p>
        </w:tc>
      </w:tr>
      <w:tr w14:paraId="655BBB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trPr>
        <w:tc>
          <w:tcPr>
            <w:tcW w:w="949" w:type="pct"/>
            <w:tcBorders>
              <w:top w:val="single" w:color="000000" w:sz="6" w:space="0"/>
              <w:left w:val="nil"/>
              <w:bottom w:val="single" w:color="000000" w:sz="6" w:space="0"/>
              <w:right w:val="nil"/>
            </w:tcBorders>
          </w:tcPr>
          <w:p w14:paraId="6FAAC727">
            <w:pPr>
              <w:keepNext w:val="0"/>
              <w:keepLines w:val="0"/>
              <w:pageBreakBefore w:val="0"/>
              <w:widowControl w:val="0"/>
              <w:kinsoku/>
              <w:wordWrap/>
              <w:overflowPunct/>
              <w:topLinePunct w:val="0"/>
              <w:autoSpaceDE w:val="0"/>
              <w:autoSpaceDN w:val="0"/>
              <w:bidi w:val="0"/>
              <w:adjustRightInd/>
              <w:snapToGrid/>
              <w:spacing w:before="0" w:after="0" w:line="360" w:lineRule="auto"/>
              <w:ind w:left="0" w:right="0" w:firstLine="360" w:firstLineChars="200"/>
              <w:jc w:val="center"/>
              <w:textAlignment w:val="auto"/>
              <w:rPr>
                <w:rFonts w:hint="eastAsia" w:ascii="宋体" w:hAnsi="宋体" w:eastAsia="宋体" w:cs="宋体"/>
                <w:sz w:val="18"/>
                <w:szCs w:val="18"/>
                <w:lang w:val="en-US" w:eastAsia="zh-CN" w:bidi="ar-SA"/>
              </w:rPr>
            </w:pPr>
            <w:r>
              <w:rPr>
                <w:rFonts w:hint="eastAsia" w:ascii="宋体" w:hAnsi="宋体" w:eastAsia="宋体" w:cs="宋体"/>
                <w:sz w:val="18"/>
                <w:szCs w:val="18"/>
                <w:lang w:val="en-US" w:eastAsia="zh-CN" w:bidi="ar-SA"/>
              </w:rPr>
              <w:t>元素</w:t>
            </w:r>
          </w:p>
        </w:tc>
        <w:tc>
          <w:tcPr>
            <w:tcW w:w="766" w:type="pct"/>
            <w:tcBorders>
              <w:top w:val="single" w:color="000000" w:sz="6" w:space="0"/>
              <w:left w:val="nil"/>
              <w:bottom w:val="single" w:color="000000" w:sz="6" w:space="0"/>
              <w:right w:val="nil"/>
            </w:tcBorders>
          </w:tcPr>
          <w:p w14:paraId="28BC5172">
            <w:pPr>
              <w:keepNext w:val="0"/>
              <w:keepLines w:val="0"/>
              <w:pageBreakBefore w:val="0"/>
              <w:widowControl w:val="0"/>
              <w:kinsoku/>
              <w:wordWrap/>
              <w:overflowPunct/>
              <w:topLinePunct w:val="0"/>
              <w:autoSpaceDE w:val="0"/>
              <w:autoSpaceDN w:val="0"/>
              <w:bidi w:val="0"/>
              <w:adjustRightInd/>
              <w:snapToGrid/>
              <w:spacing w:before="0" w:after="0" w:line="360" w:lineRule="auto"/>
              <w:ind w:right="0"/>
              <w:jc w:val="center"/>
              <w:textAlignment w:val="auto"/>
              <w:rPr>
                <w:rFonts w:hint="eastAsia" w:ascii="宋体" w:hAnsi="宋体" w:eastAsia="宋体" w:cs="宋体"/>
                <w:sz w:val="18"/>
                <w:szCs w:val="18"/>
                <w:lang w:val="en-US" w:eastAsia="zh-CN" w:bidi="ar-SA"/>
              </w:rPr>
            </w:pPr>
            <w:r>
              <w:rPr>
                <w:rFonts w:hint="eastAsia" w:ascii="宋体" w:hAnsi="宋体" w:eastAsia="宋体" w:cs="宋体"/>
                <w:sz w:val="18"/>
                <w:szCs w:val="18"/>
                <w:lang w:val="en-US" w:eastAsia="zh-CN" w:bidi="ar-SA"/>
              </w:rPr>
              <w:t>Zn</w:t>
            </w:r>
          </w:p>
        </w:tc>
        <w:tc>
          <w:tcPr>
            <w:tcW w:w="729" w:type="pct"/>
            <w:tcBorders>
              <w:top w:val="single" w:color="000000" w:sz="6" w:space="0"/>
              <w:left w:val="nil"/>
              <w:bottom w:val="single" w:color="000000" w:sz="6" w:space="0"/>
              <w:right w:val="nil"/>
            </w:tcBorders>
          </w:tcPr>
          <w:p w14:paraId="109742BA">
            <w:pPr>
              <w:keepNext w:val="0"/>
              <w:keepLines w:val="0"/>
              <w:pageBreakBefore w:val="0"/>
              <w:widowControl w:val="0"/>
              <w:kinsoku/>
              <w:wordWrap/>
              <w:overflowPunct/>
              <w:topLinePunct w:val="0"/>
              <w:autoSpaceDE w:val="0"/>
              <w:autoSpaceDN w:val="0"/>
              <w:bidi w:val="0"/>
              <w:adjustRightInd/>
              <w:snapToGrid/>
              <w:spacing w:before="0" w:after="0" w:line="360" w:lineRule="auto"/>
              <w:ind w:right="0"/>
              <w:jc w:val="center"/>
              <w:textAlignment w:val="auto"/>
              <w:rPr>
                <w:rFonts w:hint="eastAsia" w:ascii="宋体" w:hAnsi="宋体" w:eastAsia="宋体" w:cs="宋体"/>
                <w:sz w:val="18"/>
                <w:szCs w:val="18"/>
                <w:lang w:val="en-US" w:eastAsia="zh-CN" w:bidi="ar-SA"/>
              </w:rPr>
            </w:pPr>
            <w:r>
              <w:rPr>
                <w:rFonts w:hint="eastAsia" w:ascii="宋体" w:hAnsi="宋体" w:eastAsia="宋体" w:cs="宋体"/>
                <w:sz w:val="18"/>
                <w:szCs w:val="18"/>
                <w:lang w:val="en-US" w:eastAsia="zh-CN" w:bidi="ar-SA"/>
              </w:rPr>
              <w:t>Pb</w:t>
            </w:r>
          </w:p>
        </w:tc>
        <w:tc>
          <w:tcPr>
            <w:tcW w:w="532" w:type="pct"/>
            <w:tcBorders>
              <w:top w:val="single" w:color="000000" w:sz="6" w:space="0"/>
              <w:left w:val="nil"/>
              <w:bottom w:val="single" w:color="000000" w:sz="6" w:space="0"/>
              <w:right w:val="nil"/>
            </w:tcBorders>
          </w:tcPr>
          <w:p w14:paraId="6A7041BD">
            <w:pPr>
              <w:keepNext w:val="0"/>
              <w:keepLines w:val="0"/>
              <w:pageBreakBefore w:val="0"/>
              <w:widowControl w:val="0"/>
              <w:kinsoku/>
              <w:wordWrap/>
              <w:overflowPunct/>
              <w:topLinePunct w:val="0"/>
              <w:autoSpaceDE w:val="0"/>
              <w:autoSpaceDN w:val="0"/>
              <w:bidi w:val="0"/>
              <w:adjustRightInd/>
              <w:snapToGrid/>
              <w:spacing w:before="0" w:after="0" w:line="360" w:lineRule="auto"/>
              <w:ind w:right="0"/>
              <w:jc w:val="center"/>
              <w:textAlignment w:val="auto"/>
              <w:rPr>
                <w:rFonts w:hint="eastAsia" w:ascii="宋体" w:hAnsi="宋体" w:eastAsia="宋体" w:cs="宋体"/>
                <w:sz w:val="18"/>
                <w:szCs w:val="18"/>
                <w:lang w:val="en-US" w:eastAsia="zh-CN" w:bidi="ar-SA"/>
              </w:rPr>
            </w:pPr>
            <w:r>
              <w:rPr>
                <w:rFonts w:hint="eastAsia" w:ascii="宋体" w:hAnsi="宋体" w:eastAsia="宋体" w:cs="宋体"/>
                <w:sz w:val="18"/>
                <w:szCs w:val="18"/>
                <w:lang w:val="en-US" w:eastAsia="zh-CN" w:bidi="ar-SA"/>
              </w:rPr>
              <w:t>Sb</w:t>
            </w:r>
          </w:p>
        </w:tc>
        <w:tc>
          <w:tcPr>
            <w:tcW w:w="569" w:type="pct"/>
            <w:tcBorders>
              <w:top w:val="single" w:color="000000" w:sz="6" w:space="0"/>
              <w:left w:val="nil"/>
              <w:bottom w:val="single" w:color="000000" w:sz="6" w:space="0"/>
              <w:right w:val="nil"/>
            </w:tcBorders>
          </w:tcPr>
          <w:p w14:paraId="17CBA2AB">
            <w:pPr>
              <w:keepNext w:val="0"/>
              <w:keepLines w:val="0"/>
              <w:pageBreakBefore w:val="0"/>
              <w:widowControl w:val="0"/>
              <w:kinsoku/>
              <w:wordWrap/>
              <w:overflowPunct/>
              <w:topLinePunct w:val="0"/>
              <w:autoSpaceDE w:val="0"/>
              <w:autoSpaceDN w:val="0"/>
              <w:bidi w:val="0"/>
              <w:adjustRightInd/>
              <w:snapToGrid/>
              <w:spacing w:before="0" w:after="0" w:line="360" w:lineRule="auto"/>
              <w:ind w:right="0"/>
              <w:jc w:val="center"/>
              <w:textAlignment w:val="auto"/>
              <w:rPr>
                <w:rFonts w:hint="eastAsia" w:ascii="宋体" w:hAnsi="宋体" w:eastAsia="宋体" w:cs="宋体"/>
                <w:sz w:val="18"/>
                <w:szCs w:val="18"/>
                <w:lang w:val="en-US" w:eastAsia="zh-CN" w:bidi="ar-SA"/>
              </w:rPr>
            </w:pPr>
            <w:r>
              <w:rPr>
                <w:rFonts w:hint="eastAsia" w:ascii="宋体" w:hAnsi="宋体" w:eastAsia="宋体" w:cs="宋体"/>
                <w:sz w:val="18"/>
                <w:szCs w:val="18"/>
                <w:lang w:val="en-US" w:eastAsia="zh-CN" w:bidi="ar-SA"/>
              </w:rPr>
              <w:t>MgO</w:t>
            </w:r>
          </w:p>
        </w:tc>
        <w:tc>
          <w:tcPr>
            <w:tcW w:w="514" w:type="pct"/>
            <w:tcBorders>
              <w:top w:val="single" w:color="000000" w:sz="6" w:space="0"/>
              <w:left w:val="nil"/>
              <w:bottom w:val="single" w:color="000000" w:sz="6" w:space="0"/>
              <w:right w:val="nil"/>
            </w:tcBorders>
          </w:tcPr>
          <w:p w14:paraId="632DC19E">
            <w:pPr>
              <w:keepNext w:val="0"/>
              <w:keepLines w:val="0"/>
              <w:pageBreakBefore w:val="0"/>
              <w:widowControl w:val="0"/>
              <w:kinsoku/>
              <w:wordWrap/>
              <w:overflowPunct/>
              <w:topLinePunct w:val="0"/>
              <w:autoSpaceDE w:val="0"/>
              <w:autoSpaceDN w:val="0"/>
              <w:bidi w:val="0"/>
              <w:adjustRightInd/>
              <w:snapToGrid/>
              <w:spacing w:before="0" w:after="0" w:line="360" w:lineRule="auto"/>
              <w:ind w:right="0"/>
              <w:jc w:val="center"/>
              <w:textAlignment w:val="auto"/>
              <w:rPr>
                <w:rFonts w:hint="eastAsia" w:ascii="宋体" w:hAnsi="宋体" w:eastAsia="宋体" w:cs="宋体"/>
                <w:sz w:val="18"/>
                <w:szCs w:val="18"/>
                <w:lang w:val="en-US" w:eastAsia="zh-CN" w:bidi="ar-SA"/>
              </w:rPr>
            </w:pPr>
            <w:r>
              <w:rPr>
                <w:rFonts w:hint="eastAsia" w:ascii="宋体" w:hAnsi="宋体" w:eastAsia="宋体" w:cs="宋体"/>
                <w:sz w:val="18"/>
                <w:szCs w:val="18"/>
                <w:lang w:val="en-US" w:eastAsia="zh-CN" w:bidi="ar-SA"/>
              </w:rPr>
              <w:t>CaO</w:t>
            </w:r>
          </w:p>
        </w:tc>
        <w:tc>
          <w:tcPr>
            <w:tcW w:w="502" w:type="pct"/>
            <w:tcBorders>
              <w:top w:val="single" w:color="000000" w:sz="6" w:space="0"/>
              <w:left w:val="nil"/>
              <w:bottom w:val="single" w:color="000000" w:sz="6" w:space="0"/>
              <w:right w:val="nil"/>
            </w:tcBorders>
          </w:tcPr>
          <w:p w14:paraId="37055695">
            <w:pPr>
              <w:keepNext w:val="0"/>
              <w:keepLines w:val="0"/>
              <w:pageBreakBefore w:val="0"/>
              <w:widowControl w:val="0"/>
              <w:kinsoku/>
              <w:wordWrap/>
              <w:overflowPunct/>
              <w:topLinePunct w:val="0"/>
              <w:autoSpaceDE w:val="0"/>
              <w:autoSpaceDN w:val="0"/>
              <w:bidi w:val="0"/>
              <w:adjustRightInd/>
              <w:snapToGrid/>
              <w:spacing w:before="0" w:after="0" w:line="360" w:lineRule="auto"/>
              <w:ind w:right="0"/>
              <w:jc w:val="center"/>
              <w:textAlignment w:val="auto"/>
              <w:rPr>
                <w:rFonts w:hint="eastAsia" w:ascii="宋体" w:hAnsi="宋体" w:eastAsia="宋体" w:cs="宋体"/>
                <w:sz w:val="18"/>
                <w:szCs w:val="18"/>
                <w:lang w:val="en-US" w:eastAsia="zh-CN" w:bidi="ar-SA"/>
              </w:rPr>
            </w:pPr>
            <w:r>
              <w:rPr>
                <w:rFonts w:hint="eastAsia" w:ascii="宋体" w:hAnsi="宋体" w:eastAsia="宋体" w:cs="宋体"/>
                <w:position w:val="2"/>
                <w:sz w:val="18"/>
                <w:szCs w:val="18"/>
                <w:lang w:val="en-US" w:eastAsia="zh-CN" w:bidi="ar-SA"/>
              </w:rPr>
              <w:t>SiO</w:t>
            </w:r>
            <w:r>
              <w:rPr>
                <w:rFonts w:hint="eastAsia" w:ascii="宋体" w:hAnsi="宋体" w:eastAsia="宋体" w:cs="宋体"/>
                <w:sz w:val="18"/>
                <w:szCs w:val="18"/>
                <w:lang w:val="en-US" w:eastAsia="zh-CN" w:bidi="ar-SA"/>
              </w:rPr>
              <w:t>2</w:t>
            </w:r>
          </w:p>
        </w:tc>
        <w:tc>
          <w:tcPr>
            <w:tcW w:w="435" w:type="pct"/>
            <w:tcBorders>
              <w:top w:val="single" w:color="000000" w:sz="6" w:space="0"/>
              <w:left w:val="nil"/>
              <w:bottom w:val="single" w:color="000000" w:sz="6" w:space="0"/>
              <w:right w:val="nil"/>
            </w:tcBorders>
          </w:tcPr>
          <w:p w14:paraId="1D3588A4">
            <w:pPr>
              <w:keepNext w:val="0"/>
              <w:keepLines w:val="0"/>
              <w:pageBreakBefore w:val="0"/>
              <w:widowControl w:val="0"/>
              <w:kinsoku/>
              <w:wordWrap/>
              <w:overflowPunct/>
              <w:topLinePunct w:val="0"/>
              <w:autoSpaceDE w:val="0"/>
              <w:autoSpaceDN w:val="0"/>
              <w:bidi w:val="0"/>
              <w:adjustRightInd/>
              <w:snapToGrid/>
              <w:spacing w:before="0" w:after="0" w:line="360" w:lineRule="auto"/>
              <w:ind w:right="0"/>
              <w:jc w:val="center"/>
              <w:textAlignment w:val="auto"/>
              <w:rPr>
                <w:rFonts w:hint="eastAsia" w:ascii="宋体" w:hAnsi="宋体" w:eastAsia="宋体" w:cs="宋体"/>
                <w:sz w:val="18"/>
                <w:szCs w:val="18"/>
                <w:lang w:val="en-US" w:eastAsia="zh-CN" w:bidi="ar-SA"/>
              </w:rPr>
            </w:pPr>
            <w:r>
              <w:rPr>
                <w:rFonts w:hint="eastAsia" w:ascii="宋体" w:hAnsi="宋体" w:eastAsia="宋体" w:cs="宋体"/>
                <w:position w:val="2"/>
                <w:sz w:val="18"/>
                <w:szCs w:val="18"/>
                <w:lang w:val="en-US" w:eastAsia="zh-CN" w:bidi="ar-SA"/>
              </w:rPr>
              <w:t>Al</w:t>
            </w:r>
            <w:r>
              <w:rPr>
                <w:rFonts w:hint="eastAsia" w:ascii="宋体" w:hAnsi="宋体" w:eastAsia="宋体" w:cs="宋体"/>
                <w:sz w:val="18"/>
                <w:szCs w:val="18"/>
                <w:lang w:val="en-US" w:eastAsia="zh-CN" w:bidi="ar-SA"/>
              </w:rPr>
              <w:t>2</w:t>
            </w:r>
            <w:r>
              <w:rPr>
                <w:rFonts w:hint="eastAsia" w:ascii="宋体" w:hAnsi="宋体" w:eastAsia="宋体" w:cs="宋体"/>
                <w:position w:val="2"/>
                <w:sz w:val="18"/>
                <w:szCs w:val="18"/>
                <w:lang w:val="en-US" w:eastAsia="zh-CN" w:bidi="ar-SA"/>
              </w:rPr>
              <w:t>O</w:t>
            </w:r>
            <w:r>
              <w:rPr>
                <w:rFonts w:hint="eastAsia" w:ascii="宋体" w:hAnsi="宋体" w:eastAsia="宋体" w:cs="宋体"/>
                <w:sz w:val="18"/>
                <w:szCs w:val="18"/>
                <w:lang w:val="en-US" w:eastAsia="zh-CN" w:bidi="ar-SA"/>
              </w:rPr>
              <w:t>3</w:t>
            </w:r>
          </w:p>
        </w:tc>
      </w:tr>
      <w:tr w14:paraId="36ABEF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949" w:type="pct"/>
            <w:tcBorders>
              <w:top w:val="single" w:color="000000" w:sz="6" w:space="0"/>
              <w:left w:val="nil"/>
              <w:bottom w:val="single" w:color="000000" w:sz="6" w:space="0"/>
              <w:right w:val="nil"/>
            </w:tcBorders>
          </w:tcPr>
          <w:p w14:paraId="0D66550F">
            <w:pPr>
              <w:keepNext w:val="0"/>
              <w:keepLines w:val="0"/>
              <w:pageBreakBefore w:val="0"/>
              <w:widowControl w:val="0"/>
              <w:kinsoku/>
              <w:wordWrap/>
              <w:overflowPunct/>
              <w:topLinePunct w:val="0"/>
              <w:autoSpaceDE w:val="0"/>
              <w:autoSpaceDN w:val="0"/>
              <w:bidi w:val="0"/>
              <w:adjustRightInd/>
              <w:snapToGrid/>
              <w:spacing w:before="0" w:after="0" w:line="360" w:lineRule="auto"/>
              <w:ind w:left="0" w:right="0" w:firstLine="356" w:firstLineChars="200"/>
              <w:jc w:val="center"/>
              <w:textAlignment w:val="auto"/>
              <w:rPr>
                <w:rFonts w:hint="eastAsia" w:ascii="宋体" w:hAnsi="宋体" w:eastAsia="宋体" w:cs="宋体"/>
                <w:sz w:val="18"/>
                <w:szCs w:val="18"/>
                <w:lang w:val="en-US" w:eastAsia="zh-CN" w:bidi="ar-SA"/>
              </w:rPr>
            </w:pPr>
            <w:r>
              <w:rPr>
                <w:rFonts w:hint="eastAsia" w:ascii="宋体" w:hAnsi="宋体" w:eastAsia="宋体" w:cs="宋体"/>
                <w:spacing w:val="-1"/>
                <w:sz w:val="18"/>
                <w:szCs w:val="18"/>
                <w:lang w:val="en-US" w:eastAsia="zh-CN" w:bidi="ar-SA"/>
              </w:rPr>
              <w:t>含量</w:t>
            </w:r>
            <w:r>
              <w:rPr>
                <w:rFonts w:hint="eastAsia" w:ascii="宋体" w:hAnsi="宋体" w:eastAsia="宋体" w:cs="宋体"/>
                <w:sz w:val="18"/>
                <w:szCs w:val="18"/>
                <w:lang w:val="en-US" w:eastAsia="zh-CN" w:bidi="ar-SA"/>
              </w:rPr>
              <w:t>（%）</w:t>
            </w:r>
          </w:p>
        </w:tc>
        <w:tc>
          <w:tcPr>
            <w:tcW w:w="766" w:type="pct"/>
            <w:tcBorders>
              <w:top w:val="single" w:color="000000" w:sz="6" w:space="0"/>
              <w:left w:val="nil"/>
              <w:bottom w:val="single" w:color="000000" w:sz="6" w:space="0"/>
              <w:right w:val="nil"/>
            </w:tcBorders>
          </w:tcPr>
          <w:p w14:paraId="1EC5EF46">
            <w:pPr>
              <w:keepNext w:val="0"/>
              <w:keepLines w:val="0"/>
              <w:pageBreakBefore w:val="0"/>
              <w:widowControl w:val="0"/>
              <w:kinsoku/>
              <w:wordWrap/>
              <w:overflowPunct/>
              <w:topLinePunct w:val="0"/>
              <w:autoSpaceDE w:val="0"/>
              <w:autoSpaceDN w:val="0"/>
              <w:bidi w:val="0"/>
              <w:adjustRightInd/>
              <w:snapToGrid/>
              <w:spacing w:before="0" w:after="0" w:line="360" w:lineRule="auto"/>
              <w:ind w:right="0"/>
              <w:jc w:val="center"/>
              <w:textAlignment w:val="auto"/>
              <w:rPr>
                <w:rFonts w:hint="eastAsia" w:ascii="宋体" w:hAnsi="宋体" w:eastAsia="宋体" w:cs="宋体"/>
                <w:sz w:val="18"/>
                <w:szCs w:val="18"/>
                <w:lang w:val="en-US" w:eastAsia="zh-CN" w:bidi="ar-SA"/>
              </w:rPr>
            </w:pPr>
            <w:r>
              <w:rPr>
                <w:rFonts w:hint="eastAsia" w:ascii="宋体" w:hAnsi="宋体" w:eastAsia="宋体" w:cs="宋体"/>
                <w:sz w:val="18"/>
                <w:szCs w:val="18"/>
                <w:lang w:val="en-US" w:eastAsia="zh-CN" w:bidi="ar-SA"/>
              </w:rPr>
              <w:t>0.017</w:t>
            </w:r>
          </w:p>
        </w:tc>
        <w:tc>
          <w:tcPr>
            <w:tcW w:w="729" w:type="pct"/>
            <w:tcBorders>
              <w:top w:val="single" w:color="000000" w:sz="6" w:space="0"/>
              <w:left w:val="nil"/>
              <w:bottom w:val="single" w:color="000000" w:sz="6" w:space="0"/>
              <w:right w:val="nil"/>
            </w:tcBorders>
          </w:tcPr>
          <w:p w14:paraId="7C474B43">
            <w:pPr>
              <w:keepNext w:val="0"/>
              <w:keepLines w:val="0"/>
              <w:pageBreakBefore w:val="0"/>
              <w:widowControl w:val="0"/>
              <w:kinsoku/>
              <w:wordWrap/>
              <w:overflowPunct/>
              <w:topLinePunct w:val="0"/>
              <w:autoSpaceDE w:val="0"/>
              <w:autoSpaceDN w:val="0"/>
              <w:bidi w:val="0"/>
              <w:adjustRightInd/>
              <w:snapToGrid/>
              <w:spacing w:before="0" w:after="0" w:line="360" w:lineRule="auto"/>
              <w:ind w:right="0"/>
              <w:jc w:val="center"/>
              <w:textAlignment w:val="auto"/>
              <w:rPr>
                <w:rFonts w:hint="eastAsia" w:ascii="宋体" w:hAnsi="宋体" w:eastAsia="宋体" w:cs="宋体"/>
                <w:sz w:val="18"/>
                <w:szCs w:val="18"/>
                <w:lang w:val="en-US" w:eastAsia="zh-CN" w:bidi="ar-SA"/>
              </w:rPr>
            </w:pPr>
            <w:r>
              <w:rPr>
                <w:rFonts w:hint="eastAsia" w:ascii="宋体" w:hAnsi="宋体" w:eastAsia="宋体" w:cs="宋体"/>
                <w:sz w:val="18"/>
                <w:szCs w:val="18"/>
                <w:lang w:val="en-US" w:eastAsia="zh-CN" w:bidi="ar-SA"/>
              </w:rPr>
              <w:t>0.062</w:t>
            </w:r>
          </w:p>
        </w:tc>
        <w:tc>
          <w:tcPr>
            <w:tcW w:w="532" w:type="pct"/>
            <w:tcBorders>
              <w:top w:val="single" w:color="000000" w:sz="6" w:space="0"/>
              <w:left w:val="nil"/>
              <w:bottom w:val="single" w:color="000000" w:sz="6" w:space="0"/>
              <w:right w:val="nil"/>
            </w:tcBorders>
          </w:tcPr>
          <w:p w14:paraId="583934A3">
            <w:pPr>
              <w:keepNext w:val="0"/>
              <w:keepLines w:val="0"/>
              <w:pageBreakBefore w:val="0"/>
              <w:widowControl w:val="0"/>
              <w:kinsoku/>
              <w:wordWrap/>
              <w:overflowPunct/>
              <w:topLinePunct w:val="0"/>
              <w:autoSpaceDE w:val="0"/>
              <w:autoSpaceDN w:val="0"/>
              <w:bidi w:val="0"/>
              <w:adjustRightInd/>
              <w:snapToGrid/>
              <w:spacing w:before="0" w:after="0" w:line="360" w:lineRule="auto"/>
              <w:ind w:right="0"/>
              <w:jc w:val="center"/>
              <w:textAlignment w:val="auto"/>
              <w:rPr>
                <w:rFonts w:hint="eastAsia" w:ascii="宋体" w:hAnsi="宋体" w:eastAsia="宋体" w:cs="宋体"/>
                <w:sz w:val="18"/>
                <w:szCs w:val="18"/>
                <w:lang w:val="en-US" w:eastAsia="zh-CN" w:bidi="ar-SA"/>
              </w:rPr>
            </w:pPr>
            <w:r>
              <w:rPr>
                <w:rFonts w:hint="eastAsia" w:ascii="宋体" w:hAnsi="宋体" w:eastAsia="宋体" w:cs="宋体"/>
                <w:sz w:val="18"/>
                <w:szCs w:val="18"/>
                <w:lang w:val="en-US" w:eastAsia="zh-CN" w:bidi="ar-SA"/>
              </w:rPr>
              <w:t>0.0043</w:t>
            </w:r>
          </w:p>
        </w:tc>
        <w:tc>
          <w:tcPr>
            <w:tcW w:w="569" w:type="pct"/>
            <w:tcBorders>
              <w:top w:val="single" w:color="000000" w:sz="6" w:space="0"/>
              <w:left w:val="nil"/>
              <w:bottom w:val="single" w:color="000000" w:sz="6" w:space="0"/>
              <w:right w:val="nil"/>
            </w:tcBorders>
          </w:tcPr>
          <w:p w14:paraId="3B33FA8B">
            <w:pPr>
              <w:keepNext w:val="0"/>
              <w:keepLines w:val="0"/>
              <w:pageBreakBefore w:val="0"/>
              <w:widowControl w:val="0"/>
              <w:kinsoku/>
              <w:wordWrap/>
              <w:overflowPunct/>
              <w:topLinePunct w:val="0"/>
              <w:autoSpaceDE w:val="0"/>
              <w:autoSpaceDN w:val="0"/>
              <w:bidi w:val="0"/>
              <w:adjustRightInd/>
              <w:snapToGrid/>
              <w:spacing w:before="0" w:after="0" w:line="360" w:lineRule="auto"/>
              <w:ind w:right="0"/>
              <w:jc w:val="center"/>
              <w:textAlignment w:val="auto"/>
              <w:rPr>
                <w:rFonts w:hint="eastAsia" w:ascii="宋体" w:hAnsi="宋体" w:eastAsia="宋体" w:cs="宋体"/>
                <w:sz w:val="18"/>
                <w:szCs w:val="18"/>
                <w:lang w:val="en-US" w:eastAsia="zh-CN" w:bidi="ar-SA"/>
              </w:rPr>
            </w:pPr>
            <w:r>
              <w:rPr>
                <w:rFonts w:hint="eastAsia" w:ascii="宋体" w:hAnsi="宋体" w:eastAsia="宋体" w:cs="宋体"/>
                <w:sz w:val="18"/>
                <w:szCs w:val="18"/>
                <w:lang w:val="en-US" w:eastAsia="zh-CN" w:bidi="ar-SA"/>
              </w:rPr>
              <w:t>0.40</w:t>
            </w:r>
          </w:p>
        </w:tc>
        <w:tc>
          <w:tcPr>
            <w:tcW w:w="514" w:type="pct"/>
            <w:tcBorders>
              <w:top w:val="single" w:color="000000" w:sz="6" w:space="0"/>
              <w:left w:val="nil"/>
              <w:bottom w:val="single" w:color="000000" w:sz="6" w:space="0"/>
              <w:right w:val="nil"/>
            </w:tcBorders>
          </w:tcPr>
          <w:p w14:paraId="3F7E3A01">
            <w:pPr>
              <w:keepNext w:val="0"/>
              <w:keepLines w:val="0"/>
              <w:pageBreakBefore w:val="0"/>
              <w:widowControl w:val="0"/>
              <w:kinsoku/>
              <w:wordWrap/>
              <w:overflowPunct/>
              <w:topLinePunct w:val="0"/>
              <w:autoSpaceDE w:val="0"/>
              <w:autoSpaceDN w:val="0"/>
              <w:bidi w:val="0"/>
              <w:adjustRightInd/>
              <w:snapToGrid/>
              <w:spacing w:before="0" w:after="0" w:line="360" w:lineRule="auto"/>
              <w:ind w:right="0"/>
              <w:jc w:val="center"/>
              <w:textAlignment w:val="auto"/>
              <w:rPr>
                <w:rFonts w:hint="eastAsia" w:ascii="宋体" w:hAnsi="宋体" w:eastAsia="宋体" w:cs="宋体"/>
                <w:sz w:val="18"/>
                <w:szCs w:val="18"/>
                <w:lang w:val="en-US" w:eastAsia="zh-CN" w:bidi="ar-SA"/>
              </w:rPr>
            </w:pPr>
            <w:r>
              <w:rPr>
                <w:rFonts w:hint="eastAsia" w:ascii="宋体" w:hAnsi="宋体" w:eastAsia="宋体" w:cs="宋体"/>
                <w:sz w:val="18"/>
                <w:szCs w:val="18"/>
                <w:lang w:val="en-US" w:eastAsia="zh-CN" w:bidi="ar-SA"/>
              </w:rPr>
              <w:t>1.15</w:t>
            </w:r>
          </w:p>
        </w:tc>
        <w:tc>
          <w:tcPr>
            <w:tcW w:w="502" w:type="pct"/>
            <w:tcBorders>
              <w:top w:val="single" w:color="000000" w:sz="6" w:space="0"/>
              <w:left w:val="nil"/>
              <w:bottom w:val="single" w:color="000000" w:sz="6" w:space="0"/>
              <w:right w:val="nil"/>
            </w:tcBorders>
          </w:tcPr>
          <w:p w14:paraId="295FF1FF">
            <w:pPr>
              <w:keepNext w:val="0"/>
              <w:keepLines w:val="0"/>
              <w:pageBreakBefore w:val="0"/>
              <w:widowControl w:val="0"/>
              <w:kinsoku/>
              <w:wordWrap/>
              <w:overflowPunct/>
              <w:topLinePunct w:val="0"/>
              <w:autoSpaceDE w:val="0"/>
              <w:autoSpaceDN w:val="0"/>
              <w:bidi w:val="0"/>
              <w:adjustRightInd/>
              <w:snapToGrid/>
              <w:spacing w:before="0" w:after="0" w:line="360" w:lineRule="auto"/>
              <w:ind w:right="0"/>
              <w:jc w:val="center"/>
              <w:textAlignment w:val="auto"/>
              <w:rPr>
                <w:rFonts w:hint="eastAsia" w:ascii="宋体" w:hAnsi="宋体" w:eastAsia="宋体" w:cs="宋体"/>
                <w:sz w:val="18"/>
                <w:szCs w:val="18"/>
                <w:lang w:val="en-US" w:eastAsia="zh-CN" w:bidi="ar-SA"/>
              </w:rPr>
            </w:pPr>
            <w:r>
              <w:rPr>
                <w:rFonts w:hint="eastAsia" w:ascii="宋体" w:hAnsi="宋体" w:eastAsia="宋体" w:cs="宋体"/>
                <w:sz w:val="18"/>
                <w:szCs w:val="18"/>
                <w:lang w:val="en-US" w:eastAsia="zh-CN" w:bidi="ar-SA"/>
              </w:rPr>
              <w:t>6.78</w:t>
            </w:r>
          </w:p>
        </w:tc>
        <w:tc>
          <w:tcPr>
            <w:tcW w:w="435" w:type="pct"/>
            <w:tcBorders>
              <w:top w:val="single" w:color="000000" w:sz="6" w:space="0"/>
              <w:left w:val="nil"/>
              <w:bottom w:val="single" w:color="000000" w:sz="6" w:space="0"/>
              <w:right w:val="nil"/>
            </w:tcBorders>
          </w:tcPr>
          <w:p w14:paraId="500368C8">
            <w:pPr>
              <w:keepNext w:val="0"/>
              <w:keepLines w:val="0"/>
              <w:pageBreakBefore w:val="0"/>
              <w:widowControl w:val="0"/>
              <w:kinsoku/>
              <w:wordWrap/>
              <w:overflowPunct/>
              <w:topLinePunct w:val="0"/>
              <w:autoSpaceDE w:val="0"/>
              <w:autoSpaceDN w:val="0"/>
              <w:bidi w:val="0"/>
              <w:adjustRightInd/>
              <w:snapToGrid/>
              <w:spacing w:before="0" w:after="0" w:line="360" w:lineRule="auto"/>
              <w:ind w:right="0"/>
              <w:jc w:val="center"/>
              <w:textAlignment w:val="auto"/>
              <w:rPr>
                <w:rFonts w:hint="eastAsia" w:ascii="宋体" w:hAnsi="宋体" w:eastAsia="宋体" w:cs="宋体"/>
                <w:sz w:val="18"/>
                <w:szCs w:val="18"/>
                <w:lang w:val="en-US" w:eastAsia="zh-CN" w:bidi="ar-SA"/>
              </w:rPr>
            </w:pPr>
            <w:r>
              <w:rPr>
                <w:rFonts w:hint="eastAsia" w:ascii="宋体" w:hAnsi="宋体" w:eastAsia="宋体" w:cs="宋体"/>
                <w:sz w:val="18"/>
                <w:szCs w:val="18"/>
                <w:lang w:val="en-US" w:eastAsia="zh-CN" w:bidi="ar-SA"/>
              </w:rPr>
              <w:t>0.90</w:t>
            </w:r>
          </w:p>
        </w:tc>
      </w:tr>
    </w:tbl>
    <w:p w14:paraId="5580C2C8">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default" w:ascii="宋体" w:hAnsi="宋体" w:eastAsia="宋体" w:cs="宋体"/>
          <w:b/>
          <w:bCs/>
          <w:sz w:val="21"/>
          <w:szCs w:val="21"/>
          <w:lang w:val="en-US" w:eastAsia="zh-CN"/>
        </w:rPr>
      </w:pPr>
      <w:r>
        <w:rPr>
          <w:rFonts w:hint="eastAsia" w:ascii="宋体" w:hAnsi="宋体" w:eastAsia="宋体" w:cs="宋体"/>
          <w:b/>
          <w:bCs/>
          <w:sz w:val="21"/>
          <w:szCs w:val="21"/>
          <w:lang w:val="en-US" w:eastAsia="zh-CN"/>
        </w:rPr>
        <w:t>2 设备现况</w:t>
      </w:r>
    </w:p>
    <w:p w14:paraId="4176FCD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现焙烧原料预处理系统如图1所示，主要采用“筛分前二级破碎”工序。这一工艺在处理块矿时展现出良好的适应性和处理效果，能够较为顺利地将块矿破碎至合适粒度，满足后续焙烧需求。然而，面对高细硫铁金矿物料时，该传统工艺却暴露出诸多难以克服的弊端。高细硫铁金矿物料粒度极细，-400目以下颗粒占全部物料的60%以上，同时具有黏度大、团聚力强以及水分较高（一般高于15％）等显著特性。这些特性导致在现有预处理系统中，物料极易出现严重的结块现象，过筛过程异常艰难，即便提前采取混配干矿或场地晾晒等措施降低水分含量，依然无法有效解决上述问题。而完成预处理的成品矿料进入沸腾炉后，又会引发一系列更为严重的生产问题，如沸腾炉入料口原料大量堆积、焙烧结疤等，进而致使沸腾炉产气能力大幅下降，烧出率降低，沸腾层内各处温度分布明显不均。这些问题一旦出现，轻者需要短期停车进行紧急处理，若处理无效则不得不长期停车，严重制约了后段生产的连续性和稳定性，给企业带来巨大的经济损失和生产风险。因此，针对现有硫铁金矿原料预处理系统进行全面、深入的改造，已成为行业内亟待解决的关键问题，对于提升硫铁金矿资源利用效率、保障化学选矿生产的高效运行具有至关重要的现实意义。</w:t>
      </w:r>
      <w:r>
        <w:rPr>
          <w:rFonts w:hint="eastAsia" w:ascii="宋体" w:hAnsi="宋体" w:eastAsia="宋体" w:cs="宋体"/>
          <w:vertAlign w:val="superscript"/>
          <w:lang w:val="en-US" w:eastAsia="zh-CN"/>
        </w:rPr>
        <w:t>［1～5］</w:t>
      </w:r>
    </w:p>
    <w:p w14:paraId="1F94F6BB">
      <w:pPr>
        <w:spacing w:line="360" w:lineRule="auto"/>
        <w:jc w:val="center"/>
        <w:rPr>
          <w:rFonts w:hint="default" w:ascii="宋体" w:hAnsi="宋体" w:eastAsia="宋体" w:cs="Times New Roman"/>
          <w:b w:val="0"/>
          <w:bCs w:val="0"/>
          <w:color w:val="000000"/>
          <w:sz w:val="28"/>
          <w:szCs w:val="28"/>
          <w:lang w:val="en-US" w:eastAsia="zh-CN"/>
        </w:rPr>
      </w:pPr>
      <w:r>
        <w:rPr>
          <w:rFonts w:hint="eastAsia" w:ascii="宋体" w:hAnsi="宋体"/>
          <w:b/>
          <w:bCs/>
          <w:sz w:val="24"/>
          <w:szCs w:val="24"/>
          <w:highlight w:val="none"/>
          <w:lang w:eastAsia="zh-CN"/>
        </w:rPr>
        <w:object>
          <v:shape id="_x0000_i1025" o:spt="75" type="#_x0000_t75" style="height:182.85pt;width:449.9pt;" o:ole="t" filled="f" o:preferrelative="t" stroked="f" coordsize="21600,21600">
            <v:path/>
            <v:fill on="f" focussize="0,0"/>
            <v:stroke on="f"/>
            <v:imagedata r:id="rId5" o:title=""/>
            <o:lock v:ext="edit" aspectratio="f"/>
            <w10:wrap type="none"/>
            <w10:anchorlock/>
          </v:shape>
          <o:OLEObject Type="Embed" ProgID="Visio.Drawing.15" ShapeID="_x0000_i1025" DrawAspect="Content" ObjectID="_1468075725" r:id="rId4">
            <o:LockedField>false</o:LockedField>
          </o:OLEObject>
        </w:object>
      </w:r>
      <w:r>
        <w:rPr>
          <w:rFonts w:hint="eastAsia" w:ascii="宋体" w:hAnsi="宋体" w:eastAsia="宋体" w:cs="宋体"/>
          <w:b/>
          <w:bCs/>
          <w:sz w:val="21"/>
          <w:szCs w:val="21"/>
          <w:lang w:val="en-US" w:eastAsia="zh-CN"/>
        </w:rPr>
        <w:t xml:space="preserve">     图1 原料预处理现工艺流程</w:t>
      </w:r>
    </w:p>
    <w:p w14:paraId="7F0C6642">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 系统问题</w:t>
      </w:r>
    </w:p>
    <w:p w14:paraId="696D4421">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3.1物料特性</w:t>
      </w:r>
    </w:p>
    <w:p w14:paraId="5D10343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高细硫铁金矿物料在粒度分布、物理性质等方面呈现出独特而复杂的特性，这些特性是导致现有预处理系统难以有效处理的根本原因。</w:t>
      </w:r>
    </w:p>
    <w:p w14:paraId="44ED984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bookmarkStart w:id="15" w:name="_GoBack"/>
      <w:bookmarkEnd w:id="15"/>
      <w:r>
        <w:rPr>
          <w:rFonts w:hint="eastAsia" w:ascii="宋体" w:hAnsi="宋体" w:eastAsia="宋体" w:cs="宋体"/>
          <w:lang w:val="en-US" w:eastAsia="zh-CN"/>
        </w:rPr>
        <w:t>1、粒度特征：高细硫铁金矿物料粒度极小，其中-400目以下颗粒占比超过60% ，这意味着绝大部分物料颗粒极其细微。如此细的粒度使得物料比表面积大幅增加，表面活性增强，从而加剧了物料之间的相互作用，导致其在后续处理过程中容易发生团聚现象。</w:t>
      </w:r>
    </w:p>
    <w:p w14:paraId="3FF8EB1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2、黏度与团聚特性：该物料具有较大的黏度和极强的团聚力。高黏度使得物料在流动过程中阻力增大，难以顺畅地通过设备管道和筛分装置。而团聚力强则导致细小颗粒之间相互吸引、聚集，形成较大的团聚体，进一步恶化了物料的流动性和分散性，增加了预处理的难度。</w:t>
      </w:r>
    </w:p>
    <w:p w14:paraId="13C72DD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3、水分含量：高细硫铁金矿物料的水分含量一般都高于15％，较高的水分不仅增加了物料的重量和体积，加大了运输和处理成本，还会在物料内部形成水膜，增强颗粒之间的黏结力，促进团聚现象的发生。同时，水分的存在对后续的破碎、筛分等工序也会产生负面影响，降低设备的处理效率和运行稳定性。</w:t>
      </w:r>
    </w:p>
    <w:p w14:paraId="2F75618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3.2系统弊端</w:t>
      </w:r>
    </w:p>
    <w:p w14:paraId="5A23BE0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现有采用“筛分前二级破碎”工序的预处理系统，在面对高细硫铁金矿物料时，存在多方面的严重弊端。</w:t>
      </w:r>
    </w:p>
    <w:p w14:paraId="7E6B6A8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1、原料结块与过筛困难：尽管提前采取混配干矿或者场地晾晒等措施试图降低物料水分含量，但由于高细硫铁金矿物料自身的特性，在预处理过程中仍然会出现严重的原料结块现象。结块后的物料颗粒相互粘连，形成较大的块状物，难以通过筛分设备的筛网，导致过筛效率极低，大量不合格物料进入后续工序，影响产品质量和生产效率。</w:t>
      </w:r>
    </w:p>
    <w:p w14:paraId="1D5DB48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2、沸腾炉焙烧异常：完成预处理的成品矿料进入沸腾炉后，由于物料粒度不均匀、结块等问题，会导致沸腾炉入料口原料堆积。堆积的原料在炉内受热不均，容易形成焙烧结疤，进而影响沸腾炉内的气固两相流分布和传热传质过程。这使得沸腾炉产气能力显著下降，烧出率降低，沸腾层内各处温度明显不均。一旦出现这些问题，轻者需要短期停车对沸腾炉进行清理和调整，若问题严重且无法通过短期处理解决，则需长期停车进行全面检修，这不仅会导致生产中断，增加生产成本，还会对设备造成不同程度的损坏，缩短设备使用寿命。</w:t>
      </w:r>
    </w:p>
    <w:p w14:paraId="4417E8B2">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13" w:name="_Toc15161"/>
      <w:r>
        <w:rPr>
          <w:rFonts w:hint="eastAsia" w:ascii="宋体" w:hAnsi="宋体" w:eastAsia="宋体" w:cs="宋体"/>
          <w:b/>
          <w:bCs/>
          <w:sz w:val="21"/>
          <w:szCs w:val="21"/>
          <w:lang w:val="en-US" w:eastAsia="zh-CN"/>
        </w:rPr>
        <w:t xml:space="preserve">4 </w:t>
      </w:r>
      <w:bookmarkEnd w:id="13"/>
      <w:r>
        <w:rPr>
          <w:rFonts w:hint="eastAsia" w:ascii="宋体" w:hAnsi="宋体" w:eastAsia="宋体" w:cs="宋体"/>
          <w:b/>
          <w:bCs/>
          <w:sz w:val="21"/>
          <w:szCs w:val="21"/>
          <w:lang w:val="en-US" w:eastAsia="zh-CN"/>
        </w:rPr>
        <w:t>工艺改造</w:t>
      </w:r>
    </w:p>
    <w:p w14:paraId="0A9F657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default" w:ascii="宋体" w:hAnsi="宋体" w:eastAsia="宋体" w:cs="宋体"/>
          <w:b/>
          <w:bCs/>
          <w:sz w:val="21"/>
          <w:szCs w:val="21"/>
          <w:lang w:val="en-US" w:eastAsia="zh-CN"/>
        </w:rPr>
      </w:pPr>
      <w:r>
        <w:rPr>
          <w:rFonts w:hint="eastAsia" w:ascii="宋体" w:hAnsi="宋体" w:eastAsia="宋体" w:cs="宋体"/>
          <w:b/>
          <w:bCs/>
          <w:sz w:val="21"/>
          <w:szCs w:val="21"/>
          <w:lang w:val="en-US" w:eastAsia="zh-CN"/>
        </w:rPr>
        <w:t>4.1 工艺变更</w:t>
      </w:r>
    </w:p>
    <w:p w14:paraId="08647CE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eastAsia="宋体"/>
          <w:sz w:val="24"/>
          <w:szCs w:val="24"/>
        </w:rPr>
      </w:pPr>
      <w:r>
        <w:rPr>
          <w:rFonts w:hint="eastAsia" w:ascii="宋体" w:hAnsi="宋体" w:eastAsia="宋体" w:cs="宋体"/>
          <w:lang w:val="en-US" w:eastAsia="zh-CN"/>
        </w:rPr>
        <w:t>针对现有系统存在的问题，对原料预处理系统的整体工艺进行了根本性变更，如图2所示，将原有的“筛分前二级破碎”工艺转变为“两级连续干燥 + 筛分前一级破碎”工艺。这一工艺变革的核心在于，通过在破碎筛分系统前端增设干燥系统，首先对高水分、易团聚的高细硫铁金矿物料进行深度干燥处理，有效降低物料水分含量，减少团聚现象的发生，使物料具备良好的流动性和分散性，然后再进行破碎筛分，从而大幅提高原料预处理的效果和质量，确保为沸腾炉提供粒度均匀、水分合格的优质原料。</w:t>
      </w:r>
    </w:p>
    <w:p w14:paraId="50289D0A">
      <w:pPr>
        <w:spacing w:line="360" w:lineRule="auto"/>
        <w:ind w:firstLine="480" w:firstLineChars="200"/>
        <w:jc w:val="center"/>
        <w:rPr>
          <w:rFonts w:hint="eastAsia" w:ascii="宋体" w:hAnsi="宋体" w:eastAsia="宋体" w:cs="宋体"/>
          <w:b/>
          <w:bCs/>
          <w:sz w:val="21"/>
          <w:szCs w:val="21"/>
          <w:lang w:val="en-US" w:eastAsia="zh-CN"/>
        </w:rPr>
      </w:pPr>
      <w:r>
        <w:rPr>
          <w:rFonts w:hint="eastAsia" w:ascii="宋体" w:hAnsi="宋体"/>
          <w:b/>
          <w:bCs/>
          <w:sz w:val="24"/>
          <w:szCs w:val="24"/>
          <w:highlight w:val="none"/>
          <w:lang w:eastAsia="zh-CN"/>
        </w:rPr>
        <w:object>
          <v:shape id="_x0000_i1026" o:spt="75" type="#_x0000_t75" style="height:265pt;width:400.6pt;" o:ole="t" filled="f" o:preferrelative="t" stroked="f" coordsize="21600,21600">
            <v:path/>
            <v:fill on="f" focussize="0,0"/>
            <v:stroke on="f"/>
            <v:imagedata r:id="rId7" o:title=""/>
            <o:lock v:ext="edit" aspectratio="f"/>
            <w10:wrap type="none"/>
            <w10:anchorlock/>
          </v:shape>
          <o:OLEObject Type="Embed" ProgID="Visio.Drawing.15" ShapeID="_x0000_i1026" DrawAspect="Content" ObjectID="_1468075726" r:id="rId6">
            <o:LockedField>false</o:LockedField>
          </o:OLEObject>
        </w:object>
      </w:r>
      <w:r>
        <w:rPr>
          <w:rFonts w:hint="eastAsia" w:ascii="宋体" w:hAnsi="宋体"/>
          <w:b/>
          <w:bCs/>
          <w:sz w:val="24"/>
          <w:szCs w:val="24"/>
          <w:highlight w:val="none"/>
          <w:lang w:val="en-US" w:eastAsia="zh-CN"/>
        </w:rPr>
        <w:t xml:space="preserve">  </w:t>
      </w:r>
      <w:r>
        <w:rPr>
          <w:rFonts w:hint="eastAsia" w:ascii="宋体" w:hAnsi="宋体" w:eastAsia="宋体" w:cs="宋体"/>
          <w:b/>
          <w:bCs/>
          <w:sz w:val="21"/>
          <w:szCs w:val="21"/>
          <w:lang w:val="en-US" w:eastAsia="zh-CN"/>
        </w:rPr>
        <w:t>图2 原料预处理变更工艺流程</w:t>
      </w:r>
    </w:p>
    <w:p w14:paraId="7431F8F9">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default" w:ascii="宋体" w:hAnsi="宋体" w:eastAsia="宋体" w:cs="宋体"/>
          <w:b/>
          <w:bCs/>
          <w:sz w:val="21"/>
          <w:szCs w:val="21"/>
          <w:lang w:val="en-US" w:eastAsia="zh-CN"/>
        </w:rPr>
      </w:pPr>
      <w:r>
        <w:rPr>
          <w:rFonts w:hint="eastAsia" w:ascii="宋体" w:hAnsi="宋体" w:eastAsia="宋体" w:cs="宋体"/>
          <w:b/>
          <w:bCs/>
          <w:sz w:val="21"/>
          <w:szCs w:val="21"/>
          <w:lang w:val="en-US" w:eastAsia="zh-CN"/>
        </w:rPr>
        <w:t>4.2干燥系统设计</w:t>
      </w:r>
    </w:p>
    <w:p w14:paraId="635229B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干燥系统其设计通过研究讨论，干燥机选用内加热双螺旋干燥机（干燥机Ⅰ）和盘式干燥机（干燥机Ⅱ）。内加热双螺旋干燥机凭借其独特的内部加热结构，能够在物料输送过程中快速对物料进行初步干燥。其内部的加热元件能够直接与物料接触，通过传导和对流的方式将热量传递给物料，使物料中的水分迅速蒸发。盘式干燥机则利用其多层水平圆盘结构，进一步对初步干燥后的物料进行深度干燥。在盘式干燥机内，物料在旋转的耙叶推动下，在各层圆盘之间呈S形路径运动，与热空气充分接触，实现高效的传热传质，确保物料水分达标。</w:t>
      </w:r>
    </w:p>
    <w:p w14:paraId="3EA0955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eastAsia="宋体"/>
          <w:sz w:val="24"/>
          <w:szCs w:val="24"/>
        </w:rPr>
      </w:pPr>
      <w:r>
        <w:rPr>
          <w:rFonts w:hint="eastAsia" w:ascii="宋体" w:hAnsi="宋体" w:eastAsia="宋体" w:cs="宋体"/>
          <w:lang w:val="en-US" w:eastAsia="zh-CN"/>
        </w:rPr>
        <w:t>如图2所示，干燥流程设计为：物料首先进入内加热双螺旋干燥机（干燥机Ⅰ）进行初步干燥。在干燥机Ⅰ内，物料在螺旋叶片的推动下向前移动，同时受到内部加热元件的加热作用，水分迅速蒸发，实现初步干燥。初步干燥后的物料通过圆盘布料机均匀地输送至盘式干燥机（干燥机Ⅱ）进行二次干燥。盘式干燥机通过与给料斗连接，将干燥后的物料输送至破碎筛分系统。为了减少干燥过程中产生的尾气对环境的污染，内加热双螺旋干燥机的排气口连接引风机，用于排出尾气；盘式干燥机的排气口连接水膜除尘塔，水膜除尘塔出口与储水池进口连接，储水池出口通过水泵与水膜除尘塔进口连接，形成循环水系统，对尾气中的粉尘和有害气体进行洗涤和净化。水膜除尘塔的排气口连接至引风机的进气口，使净化后的尾气通过引风机排出，实现尾气处理的循环利用，有效减少了环境污染。</w:t>
      </w:r>
      <w:r>
        <w:rPr>
          <w:rFonts w:hint="eastAsia" w:ascii="宋体" w:hAnsi="宋体" w:eastAsia="宋体" w:cs="宋体"/>
          <w:vertAlign w:val="superscript"/>
          <w:lang w:val="en-US" w:eastAsia="zh-CN"/>
        </w:rPr>
        <w:t>［6～7］</w:t>
      </w:r>
    </w:p>
    <w:p w14:paraId="22240451">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4.3筛分系统改造</w:t>
      </w:r>
    </w:p>
    <w:p w14:paraId="0A0E427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破碎系统其设计充分考虑经过干燥处理后的物料特性和生产要求。破碎筛分系统改造为由振动筛Ⅱ、原料皮带机Ⅲ、振动筛Ⅰ、成品皮带机、返料皮带机和笼式破碎机组成。振动筛Ⅱ的进料口与给料斗的出料口连接，用于对干燥后的物料进行初步筛分。振动筛Ⅱ的出料口下方设置原料皮带机Ⅲ，用于输送筛上物。原料皮带机Ⅲ的终端设置在振动筛Ⅰ进料口的上方，将筛上物输送至振动筛Ⅰ进行再次筛分。振动筛Ⅰ的小颗粒出料口下方设置成品皮带机，用于输送粒度合格的成品矿料，将其输送至沸腾炉进行焙烧。振动筛Ⅰ的大颗粒出料口下方设置返料皮带机，用于输送粒度不合格的大颗粒物料。返料皮带机的终端设置在笼式破碎机进料口的上方，将大颗粒物料输送至笼式破碎机进行破碎。笼式破碎机的出料口设置在原料皮带机Ⅲ上方，将破碎后的物料重新输送回原料皮带机Ⅲ，参与筛分循环，直至物料粒度合格。</w:t>
      </w:r>
    </w:p>
    <w:p w14:paraId="260F39E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14" w:name="_Toc28783"/>
      <w:r>
        <w:rPr>
          <w:rFonts w:hint="eastAsia" w:ascii="宋体" w:hAnsi="宋体" w:eastAsia="宋体" w:cs="宋体"/>
          <w:b/>
          <w:bCs/>
          <w:sz w:val="21"/>
          <w:szCs w:val="21"/>
          <w:lang w:val="en-US" w:eastAsia="zh-CN"/>
        </w:rPr>
        <w:t>5 改造效果</w:t>
      </w:r>
    </w:p>
    <w:p w14:paraId="60B05BAE">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5.1原料处理效果</w:t>
      </w:r>
    </w:p>
    <w:p w14:paraId="11FDB57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通过改造，实现了对物料的高效破碎和精确筛分，确保进入沸腾炉的原料粒度完全符合生产要求。改造后：1.水分控制与团聚减少：通过两级连续干燥工艺，物料水分得到了有效控制，可稳定地控制在满足生产要求的范围内。水分含量的降低极大地减少了物料因水分导致的团聚现象，使物料的流动性和分散性得到明显改善。物料在输送和处理过程中更加顺畅，不再出现严重的结块问题，为后续的破碎筛分工序提供了良好的物料条件。2.过筛效率提高：经过干燥处理后的物料，由于团聚现象减少，粒度分布更加均匀，过筛效率大幅提高。振动筛能够更加有效地对物料进行筛分，将合格粒度的物料快速分离出来，进入后续工序，大大提高了原料预处理的生产效率和产品质量。</w:t>
      </w:r>
    </w:p>
    <w:p w14:paraId="26828EA2">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5.2沸腾炉焙烧状况</w:t>
      </w:r>
    </w:p>
    <w:p w14:paraId="4233AB7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通过改造后，使沸腾炉的焙烧状况得到改善：1.入料口问题解决：有效解决了沸腾炉入料口原料堆积、焙烧结疤等长期困扰生产的难题。合格的原料能够均匀、顺畅地进入沸腾炉，在炉内形成良好的气固两相流分布，保证了焙烧过程的稳定性和连续性。2.产气能力与烧出率提升：沸腾炉产气能力稳定且显著提高，烧出率也得到了大幅提升。由于原料粒度均匀、水分合适，在沸腾炉内能够充分与热空气接触，发生高效的化学反应，使硫铁矿中的硫充分氧化，释放出更多的热量，为后续生产提供了充足的能源和高质量的焙烧产物。3.温度均匀性增强：沸腾层内温度分布更加均匀，有效避免了因局部过热或过冷导致的焙烧异常现象。稳定的温度环境有助于提高焙烧过程的可控性和产品质量的稳定性，减少了因温度波动引起的生产事故和产品质量问题，保障了后段生产的连续性和稳定性，为企业带来了显著的经济效益。</w:t>
      </w:r>
    </w:p>
    <w:p w14:paraId="719C467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6结语</w:t>
      </w:r>
      <w:bookmarkEnd w:id="14"/>
    </w:p>
    <w:p w14:paraId="37AB8D8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通过对难处理硫金矿原料预处理系统进行全面、深入的改造，创新性地采用“两级连续干燥 + 筛分前一级破碎”的新工艺，成功攻克了现有系统在处理高细硫铁金矿物料时面临的重重难题。改造后的系统不仅显著提高了原料预处理系统的适用性和生产效</w:t>
      </w:r>
      <w:r>
        <w:rPr>
          <w:rFonts w:hint="eastAsia" w:ascii="宋体" w:hAnsi="宋体" w:eastAsia="宋体" w:cs="宋体"/>
          <w:lang w:val="en-US" w:eastAsia="zh-CN"/>
        </w:rPr>
        <w:t>能，为硫金矿硫酸化焙烧生产提供了坚实可靠的保障，而且在实际生产应用中展现出良好的经济效益和环境效益，具有极高的推广应用价值。</w:t>
      </w:r>
    </w:p>
    <w:p w14:paraId="530280F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在未来的生产实践中，为了进一步提升系统性能和适应不断变化的生产需求，可从以下几个方面进行持续优化和改进：一是进一步深入研究系统各设备的运行参数，通过实验和模拟分析，优化干燥机的加热温度、物料停留时间、风量等参数，以及破碎筛分设备的转速、筛网孔径等参数，以实现系统的最佳运行状态；二是大力推进系统的自动化改造，引入先进的自动化控制技术和传感器设备，实现对物料水分、粒度、流量等关键参数的实时监测和自动调节，提高系统的智能化水平和运行稳定性；三是加强对高细硫铁金矿物料特性的深入研究，不断探索新的预处理技术和工艺，以应对不同来源、不同特性的硫金矿物料处理需求，为矿物加工和化工冶金行业的可持续发展提供更加强有力的技术支持。</w:t>
      </w:r>
    </w:p>
    <w:p w14:paraId="5D3F0FE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p>
    <w:p w14:paraId="1777B4F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参考文献：</w:t>
      </w:r>
    </w:p>
    <w:p w14:paraId="329967C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lang w:val="en-US" w:eastAsia="zh-CN"/>
        </w:rPr>
      </w:pPr>
      <w:r>
        <w:rPr>
          <w:rFonts w:hint="eastAsia" w:ascii="宋体" w:hAnsi="宋体" w:eastAsia="宋体" w:cs="宋体"/>
          <w:lang w:val="en-US" w:eastAsia="zh-CN"/>
        </w:rPr>
        <w:t>[1]孙晋琳,尹福兴,张映群,等.某难处理硫铁金矿冶炼沸腾炉技术改造[J].硫磷设计与粉体工程,2024,(04):36-40+58.DOI:10.16341/j.cnki.spbmh.2024.04.010.</w:t>
      </w:r>
    </w:p>
    <w:p w14:paraId="52C3926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lang w:val="en-US" w:eastAsia="zh-CN"/>
        </w:rPr>
      </w:pPr>
      <w:r>
        <w:rPr>
          <w:rFonts w:hint="eastAsia" w:ascii="宋体" w:hAnsi="宋体" w:eastAsia="宋体" w:cs="宋体"/>
          <w:lang w:val="en-US" w:eastAsia="zh-CN"/>
        </w:rPr>
        <w:t>[2]孙晋琳,贺振发,段亚林,等.某硫铁矿制酸装置原料硫精矿混合配比探讨[J].硫磷设计与粉体工程,2023,(03):22-25+30+6.DOI:10.16341/j.cnki.spbmh.2023.03.008.</w:t>
      </w:r>
    </w:p>
    <w:p w14:paraId="2265560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lang w:val="en-US" w:eastAsia="zh-CN"/>
        </w:rPr>
      </w:pPr>
      <w:r>
        <w:rPr>
          <w:rFonts w:hint="eastAsia" w:ascii="宋体" w:hAnsi="宋体" w:eastAsia="宋体" w:cs="宋体"/>
          <w:lang w:val="en-US" w:eastAsia="zh-CN"/>
        </w:rPr>
        <w:t>[3]孙晋琳,尹福兴,裴增文,等.含金硫精矿氧化焙烧-氰化浸金工艺生产实践[J].硫酸工业,2022,(10):32-35.</w:t>
      </w:r>
    </w:p>
    <w:p w14:paraId="35A55C4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lang w:val="en-US" w:eastAsia="zh-CN"/>
        </w:rPr>
      </w:pPr>
      <w:r>
        <w:rPr>
          <w:rFonts w:hint="eastAsia" w:ascii="宋体" w:hAnsi="宋体" w:eastAsia="宋体" w:cs="宋体"/>
          <w:lang w:val="en-US" w:eastAsia="zh-CN"/>
        </w:rPr>
        <w:t>[4]裴增文,吴文辉,尹福兴,等.含金高品位硫精矿沸腾焙烧工业试验研究[J].黄金,2022,43(04):58-64.</w:t>
      </w:r>
    </w:p>
    <w:p w14:paraId="0BE5910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lang w:val="en-US" w:eastAsia="zh-CN"/>
        </w:rPr>
      </w:pPr>
      <w:r>
        <w:rPr>
          <w:rFonts w:hint="eastAsia" w:ascii="宋体" w:hAnsi="宋体" w:eastAsia="宋体" w:cs="宋体"/>
          <w:lang w:val="en-US" w:eastAsia="zh-CN"/>
        </w:rPr>
        <w:t>[5]赵志鹏.锌精矿水分对焙烧过程影响的生产实践[J].湖南有色金属,2022,38(01):40-42.</w:t>
      </w:r>
    </w:p>
    <w:p w14:paraId="2B37211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lang w:val="en-US" w:eastAsia="zh-CN"/>
        </w:rPr>
      </w:pPr>
      <w:r>
        <w:rPr>
          <w:rFonts w:hint="eastAsia" w:ascii="宋体" w:hAnsi="宋体" w:eastAsia="宋体" w:cs="宋体"/>
          <w:lang w:val="en-US" w:eastAsia="zh-CN"/>
        </w:rPr>
        <w:t>[6]彭幼林.锌精矿沸腾焙烧稳定运行改造措施[J].世界有色金属,2021,(14):6-7.</w:t>
      </w:r>
    </w:p>
    <w:p w14:paraId="1A93105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lang w:val="en-US" w:eastAsia="zh-CN"/>
        </w:rPr>
      </w:pPr>
      <w:r>
        <w:rPr>
          <w:rFonts w:hint="eastAsia" w:ascii="宋体" w:hAnsi="宋体" w:eastAsia="宋体" w:cs="宋体"/>
          <w:lang w:val="en-US" w:eastAsia="zh-CN"/>
        </w:rPr>
        <w:t xml:space="preserve">[7]杨洪忠.高硫精矿弱氧焙烧制酸技术研究[D].中国科学院大学(中国科学院过程工程研究所),2017. </w:t>
      </w:r>
    </w:p>
    <w:p w14:paraId="1695D36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p>
    <w:sectPr>
      <w:pgSz w:w="11906" w:h="16838"/>
      <w:pgMar w:top="1814"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隶书">
    <w:panose1 w:val="02010509060101010101"/>
    <w:charset w:val="86"/>
    <w:family w:val="modern"/>
    <w:pitch w:val="default"/>
    <w:sig w:usb0="00000001" w:usb1="080E0000" w:usb2="00000000" w:usb3="00000000" w:csb0="00040000" w:csb1="00000000"/>
  </w:font>
  <w:font w:name="方正黑体简体">
    <w:altName w:val="微软雅黑"/>
    <w:panose1 w:val="02010601030101010101"/>
    <w:charset w:val="86"/>
    <w:family w:val="auto"/>
    <w:pitch w:val="default"/>
    <w:sig w:usb0="00000000" w:usb1="00000000" w:usb2="00000000" w:usb3="00000000" w:csb0="00040000" w:csb1="00000000"/>
  </w:font>
  <w:font w:name="方正魏碑_GBK">
    <w:altName w:val="宋体"/>
    <w:panose1 w:val="02000000000000000000"/>
    <w:charset w:val="86"/>
    <w:family w:val="auto"/>
    <w:pitch w:val="default"/>
    <w:sig w:usb0="00000000" w:usb1="00000000" w:usb2="00082016" w:usb3="00000000" w:csb0="00040001" w:csb1="00000000"/>
  </w:font>
  <w:font w:name="Malgun Gothic">
    <w:panose1 w:val="020B0503020000020004"/>
    <w:charset w:val="81"/>
    <w:family w:val="auto"/>
    <w:pitch w:val="default"/>
    <w:sig w:usb0="9000002F" w:usb1="29D77CFB" w:usb2="00000012" w:usb3="00000000" w:csb0="00080001"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5ZmMwZTNkY2FjMjU1Y2Y4ZTlkNzhjNmI4MDEyNjcifQ=="/>
  </w:docVars>
  <w:rsids>
    <w:rsidRoot w:val="00DD4CC1"/>
    <w:rsid w:val="00036B5E"/>
    <w:rsid w:val="00047FC0"/>
    <w:rsid w:val="00060599"/>
    <w:rsid w:val="0008730F"/>
    <w:rsid w:val="000A4D30"/>
    <w:rsid w:val="001570A5"/>
    <w:rsid w:val="001653DA"/>
    <w:rsid w:val="00170655"/>
    <w:rsid w:val="001F16B8"/>
    <w:rsid w:val="001F268C"/>
    <w:rsid w:val="00205F95"/>
    <w:rsid w:val="00223CAE"/>
    <w:rsid w:val="00252BF1"/>
    <w:rsid w:val="00264F57"/>
    <w:rsid w:val="002A2FE8"/>
    <w:rsid w:val="002A6E7F"/>
    <w:rsid w:val="002D3AD9"/>
    <w:rsid w:val="0032324D"/>
    <w:rsid w:val="00326DED"/>
    <w:rsid w:val="003D0404"/>
    <w:rsid w:val="00452666"/>
    <w:rsid w:val="0046021A"/>
    <w:rsid w:val="00472F07"/>
    <w:rsid w:val="00495E28"/>
    <w:rsid w:val="004A7308"/>
    <w:rsid w:val="004B658B"/>
    <w:rsid w:val="004E5974"/>
    <w:rsid w:val="004E639D"/>
    <w:rsid w:val="0052555F"/>
    <w:rsid w:val="00550EFD"/>
    <w:rsid w:val="005A641B"/>
    <w:rsid w:val="005B2031"/>
    <w:rsid w:val="006054C1"/>
    <w:rsid w:val="006278D9"/>
    <w:rsid w:val="006525A5"/>
    <w:rsid w:val="006B4EF3"/>
    <w:rsid w:val="006B523C"/>
    <w:rsid w:val="006C7D50"/>
    <w:rsid w:val="00704818"/>
    <w:rsid w:val="00735E72"/>
    <w:rsid w:val="00756BF6"/>
    <w:rsid w:val="007958E0"/>
    <w:rsid w:val="007A04D9"/>
    <w:rsid w:val="007C2153"/>
    <w:rsid w:val="007D0764"/>
    <w:rsid w:val="007F00BC"/>
    <w:rsid w:val="00844F2C"/>
    <w:rsid w:val="00852987"/>
    <w:rsid w:val="0087425D"/>
    <w:rsid w:val="00874940"/>
    <w:rsid w:val="008F6EB2"/>
    <w:rsid w:val="009168ED"/>
    <w:rsid w:val="0093495B"/>
    <w:rsid w:val="0094356F"/>
    <w:rsid w:val="009819FE"/>
    <w:rsid w:val="00987F1F"/>
    <w:rsid w:val="00A0752B"/>
    <w:rsid w:val="00A1502F"/>
    <w:rsid w:val="00A3470B"/>
    <w:rsid w:val="00A633AE"/>
    <w:rsid w:val="00A81B9E"/>
    <w:rsid w:val="00AA011A"/>
    <w:rsid w:val="00AD6D59"/>
    <w:rsid w:val="00B05911"/>
    <w:rsid w:val="00B226D2"/>
    <w:rsid w:val="00B86F3C"/>
    <w:rsid w:val="00BD25C3"/>
    <w:rsid w:val="00BE32F3"/>
    <w:rsid w:val="00BF5402"/>
    <w:rsid w:val="00C31229"/>
    <w:rsid w:val="00C76433"/>
    <w:rsid w:val="00CF58F8"/>
    <w:rsid w:val="00D203A8"/>
    <w:rsid w:val="00D36A6E"/>
    <w:rsid w:val="00D829F0"/>
    <w:rsid w:val="00DD4CC1"/>
    <w:rsid w:val="00DE0390"/>
    <w:rsid w:val="00DF0139"/>
    <w:rsid w:val="00E52C97"/>
    <w:rsid w:val="00E67BF2"/>
    <w:rsid w:val="00EC1DD6"/>
    <w:rsid w:val="00ED67A0"/>
    <w:rsid w:val="00F153FF"/>
    <w:rsid w:val="00F22786"/>
    <w:rsid w:val="00F834FB"/>
    <w:rsid w:val="00F9257D"/>
    <w:rsid w:val="00FB3EEC"/>
    <w:rsid w:val="00FD2258"/>
    <w:rsid w:val="01520363"/>
    <w:rsid w:val="01C963F3"/>
    <w:rsid w:val="01DE1C5C"/>
    <w:rsid w:val="02203B3A"/>
    <w:rsid w:val="02B86B51"/>
    <w:rsid w:val="02FA082F"/>
    <w:rsid w:val="03304250"/>
    <w:rsid w:val="0374238F"/>
    <w:rsid w:val="03767EB5"/>
    <w:rsid w:val="03A5079A"/>
    <w:rsid w:val="03C50E3C"/>
    <w:rsid w:val="03C527A5"/>
    <w:rsid w:val="043833BC"/>
    <w:rsid w:val="048748A1"/>
    <w:rsid w:val="04CC1D57"/>
    <w:rsid w:val="04DC643E"/>
    <w:rsid w:val="055C30DB"/>
    <w:rsid w:val="056106F1"/>
    <w:rsid w:val="05AE130F"/>
    <w:rsid w:val="05FB3670"/>
    <w:rsid w:val="06112117"/>
    <w:rsid w:val="062077BC"/>
    <w:rsid w:val="065F10D4"/>
    <w:rsid w:val="06AC1E40"/>
    <w:rsid w:val="0730481F"/>
    <w:rsid w:val="076E5F7E"/>
    <w:rsid w:val="07740BAF"/>
    <w:rsid w:val="07B471FE"/>
    <w:rsid w:val="07C05BA3"/>
    <w:rsid w:val="07E21FBD"/>
    <w:rsid w:val="07E3246F"/>
    <w:rsid w:val="07F7358F"/>
    <w:rsid w:val="08564759"/>
    <w:rsid w:val="088F5575"/>
    <w:rsid w:val="08BA0844"/>
    <w:rsid w:val="091A7E4E"/>
    <w:rsid w:val="096B5FE2"/>
    <w:rsid w:val="09931095"/>
    <w:rsid w:val="09F00295"/>
    <w:rsid w:val="0A2C5771"/>
    <w:rsid w:val="0A4B20AA"/>
    <w:rsid w:val="0AEB73DB"/>
    <w:rsid w:val="0AEE6ECB"/>
    <w:rsid w:val="0AFF2E86"/>
    <w:rsid w:val="0B664CB3"/>
    <w:rsid w:val="0C0E77A3"/>
    <w:rsid w:val="0C2B45A8"/>
    <w:rsid w:val="0C3E353A"/>
    <w:rsid w:val="0C580AA0"/>
    <w:rsid w:val="0C8E44C1"/>
    <w:rsid w:val="0CDE6ACB"/>
    <w:rsid w:val="0CE82491"/>
    <w:rsid w:val="0CEC568C"/>
    <w:rsid w:val="0CF56428"/>
    <w:rsid w:val="0D0A78C0"/>
    <w:rsid w:val="0D3F3A0E"/>
    <w:rsid w:val="0D525F6F"/>
    <w:rsid w:val="0D731909"/>
    <w:rsid w:val="0D870F11"/>
    <w:rsid w:val="0DA11FD2"/>
    <w:rsid w:val="0E2844A2"/>
    <w:rsid w:val="0E470192"/>
    <w:rsid w:val="0E5352AC"/>
    <w:rsid w:val="0E792F4F"/>
    <w:rsid w:val="0EC8358F"/>
    <w:rsid w:val="0F543075"/>
    <w:rsid w:val="0FEE51C5"/>
    <w:rsid w:val="0FEF171B"/>
    <w:rsid w:val="0FF00FEF"/>
    <w:rsid w:val="0FF705D0"/>
    <w:rsid w:val="102313C5"/>
    <w:rsid w:val="103C5A23"/>
    <w:rsid w:val="10523A58"/>
    <w:rsid w:val="10667503"/>
    <w:rsid w:val="108035FE"/>
    <w:rsid w:val="108F6A5A"/>
    <w:rsid w:val="10AB3839"/>
    <w:rsid w:val="10B85FB1"/>
    <w:rsid w:val="10BB15FD"/>
    <w:rsid w:val="10BE10ED"/>
    <w:rsid w:val="10D34B99"/>
    <w:rsid w:val="111156C1"/>
    <w:rsid w:val="111B6540"/>
    <w:rsid w:val="11407D54"/>
    <w:rsid w:val="123F1DBA"/>
    <w:rsid w:val="127840D2"/>
    <w:rsid w:val="12CF1390"/>
    <w:rsid w:val="12DB7D35"/>
    <w:rsid w:val="12E60488"/>
    <w:rsid w:val="13001868"/>
    <w:rsid w:val="132A2A6A"/>
    <w:rsid w:val="13CB5FFB"/>
    <w:rsid w:val="14135073"/>
    <w:rsid w:val="145D3907"/>
    <w:rsid w:val="148A7C64"/>
    <w:rsid w:val="14B4083D"/>
    <w:rsid w:val="156C2EC6"/>
    <w:rsid w:val="158C3568"/>
    <w:rsid w:val="15C56B00"/>
    <w:rsid w:val="16132CB9"/>
    <w:rsid w:val="16225C7A"/>
    <w:rsid w:val="16B20DAC"/>
    <w:rsid w:val="16B25250"/>
    <w:rsid w:val="16B8213B"/>
    <w:rsid w:val="16D2144F"/>
    <w:rsid w:val="17367C2F"/>
    <w:rsid w:val="174F2A9F"/>
    <w:rsid w:val="17836BED"/>
    <w:rsid w:val="178C5AA1"/>
    <w:rsid w:val="17AD77C6"/>
    <w:rsid w:val="17FF6273"/>
    <w:rsid w:val="180933FC"/>
    <w:rsid w:val="185C6006"/>
    <w:rsid w:val="18616F2E"/>
    <w:rsid w:val="191221DB"/>
    <w:rsid w:val="19235F91"/>
    <w:rsid w:val="19800B64"/>
    <w:rsid w:val="19836A30"/>
    <w:rsid w:val="199944A6"/>
    <w:rsid w:val="19FD4A34"/>
    <w:rsid w:val="1A533F79"/>
    <w:rsid w:val="1A5A1E87"/>
    <w:rsid w:val="1A6C3968"/>
    <w:rsid w:val="1B2B0CE1"/>
    <w:rsid w:val="1B2F179A"/>
    <w:rsid w:val="1B6F3710"/>
    <w:rsid w:val="1C250273"/>
    <w:rsid w:val="1C4921B3"/>
    <w:rsid w:val="1C676ADD"/>
    <w:rsid w:val="1D01483C"/>
    <w:rsid w:val="1D5D57EA"/>
    <w:rsid w:val="1D743260"/>
    <w:rsid w:val="1E171E3D"/>
    <w:rsid w:val="1EBA2EF4"/>
    <w:rsid w:val="1EC41FC5"/>
    <w:rsid w:val="1EFE3E02"/>
    <w:rsid w:val="1F78690B"/>
    <w:rsid w:val="1FA40E26"/>
    <w:rsid w:val="20181E55"/>
    <w:rsid w:val="20200F8C"/>
    <w:rsid w:val="20484530"/>
    <w:rsid w:val="204B20BB"/>
    <w:rsid w:val="204F1D62"/>
    <w:rsid w:val="205C7FDB"/>
    <w:rsid w:val="20CA763A"/>
    <w:rsid w:val="21294361"/>
    <w:rsid w:val="21661758"/>
    <w:rsid w:val="218D2B42"/>
    <w:rsid w:val="22140AA7"/>
    <w:rsid w:val="227635D6"/>
    <w:rsid w:val="22947F00"/>
    <w:rsid w:val="22BA5BB9"/>
    <w:rsid w:val="230D784D"/>
    <w:rsid w:val="23563407"/>
    <w:rsid w:val="23B95F13"/>
    <w:rsid w:val="24174945"/>
    <w:rsid w:val="24212C83"/>
    <w:rsid w:val="244020ED"/>
    <w:rsid w:val="248B32E5"/>
    <w:rsid w:val="24B17D3C"/>
    <w:rsid w:val="24EE1B49"/>
    <w:rsid w:val="25453733"/>
    <w:rsid w:val="25867FD4"/>
    <w:rsid w:val="259C77F7"/>
    <w:rsid w:val="25FC0296"/>
    <w:rsid w:val="262A3A04"/>
    <w:rsid w:val="269C7383"/>
    <w:rsid w:val="26B66697"/>
    <w:rsid w:val="26C568DA"/>
    <w:rsid w:val="273D46C2"/>
    <w:rsid w:val="27435A51"/>
    <w:rsid w:val="27466F3A"/>
    <w:rsid w:val="276F4A98"/>
    <w:rsid w:val="27F07987"/>
    <w:rsid w:val="283B6E9A"/>
    <w:rsid w:val="28414686"/>
    <w:rsid w:val="285048C9"/>
    <w:rsid w:val="287C746C"/>
    <w:rsid w:val="288D3427"/>
    <w:rsid w:val="28C3509B"/>
    <w:rsid w:val="28D44D60"/>
    <w:rsid w:val="29656152"/>
    <w:rsid w:val="29B570DA"/>
    <w:rsid w:val="29E11C7D"/>
    <w:rsid w:val="29F55569"/>
    <w:rsid w:val="2A6D1762"/>
    <w:rsid w:val="2A9C2048"/>
    <w:rsid w:val="2AC31382"/>
    <w:rsid w:val="2AF37C49"/>
    <w:rsid w:val="2C1A3224"/>
    <w:rsid w:val="2C5F332D"/>
    <w:rsid w:val="2CDC497D"/>
    <w:rsid w:val="2D130FEA"/>
    <w:rsid w:val="2D376058"/>
    <w:rsid w:val="2DA03BFD"/>
    <w:rsid w:val="2DA336ED"/>
    <w:rsid w:val="2DD45655"/>
    <w:rsid w:val="2E7221A8"/>
    <w:rsid w:val="2EC67693"/>
    <w:rsid w:val="2EE30245"/>
    <w:rsid w:val="2F087CAC"/>
    <w:rsid w:val="2F0E4B96"/>
    <w:rsid w:val="2F1A353B"/>
    <w:rsid w:val="2F1F6DA3"/>
    <w:rsid w:val="2F397E65"/>
    <w:rsid w:val="2F620882"/>
    <w:rsid w:val="2F633134"/>
    <w:rsid w:val="2F882B9B"/>
    <w:rsid w:val="2FA86D99"/>
    <w:rsid w:val="3092769C"/>
    <w:rsid w:val="312F3756"/>
    <w:rsid w:val="31496359"/>
    <w:rsid w:val="315E0057"/>
    <w:rsid w:val="318D4498"/>
    <w:rsid w:val="3199108F"/>
    <w:rsid w:val="319F16AA"/>
    <w:rsid w:val="31CC4FC0"/>
    <w:rsid w:val="31F167D5"/>
    <w:rsid w:val="3216448E"/>
    <w:rsid w:val="321D581C"/>
    <w:rsid w:val="323963CE"/>
    <w:rsid w:val="3273368E"/>
    <w:rsid w:val="32963820"/>
    <w:rsid w:val="32E20814"/>
    <w:rsid w:val="32F04CDF"/>
    <w:rsid w:val="33095DA0"/>
    <w:rsid w:val="337771AE"/>
    <w:rsid w:val="33F94067"/>
    <w:rsid w:val="34256C0A"/>
    <w:rsid w:val="34480B4A"/>
    <w:rsid w:val="345662BE"/>
    <w:rsid w:val="34821AD6"/>
    <w:rsid w:val="35845BB2"/>
    <w:rsid w:val="35A52FD0"/>
    <w:rsid w:val="35CB558F"/>
    <w:rsid w:val="35D501BC"/>
    <w:rsid w:val="36407D2B"/>
    <w:rsid w:val="36BE3BE8"/>
    <w:rsid w:val="36DA26A7"/>
    <w:rsid w:val="36DB5CA6"/>
    <w:rsid w:val="372148D0"/>
    <w:rsid w:val="37227431"/>
    <w:rsid w:val="3756532C"/>
    <w:rsid w:val="376C4B50"/>
    <w:rsid w:val="37B01725"/>
    <w:rsid w:val="38061044"/>
    <w:rsid w:val="381C3783"/>
    <w:rsid w:val="386677F1"/>
    <w:rsid w:val="389E342F"/>
    <w:rsid w:val="38C5276A"/>
    <w:rsid w:val="395D29A2"/>
    <w:rsid w:val="39783C80"/>
    <w:rsid w:val="399551B1"/>
    <w:rsid w:val="39D619B3"/>
    <w:rsid w:val="3A437DEA"/>
    <w:rsid w:val="3A445910"/>
    <w:rsid w:val="3A557B1D"/>
    <w:rsid w:val="3A726921"/>
    <w:rsid w:val="3A765FE2"/>
    <w:rsid w:val="3A9E7716"/>
    <w:rsid w:val="3B653D90"/>
    <w:rsid w:val="3B72650D"/>
    <w:rsid w:val="3B7D732B"/>
    <w:rsid w:val="3BAE3989"/>
    <w:rsid w:val="3BBB7E54"/>
    <w:rsid w:val="3BCC3E0F"/>
    <w:rsid w:val="3BD66A3C"/>
    <w:rsid w:val="3C424796"/>
    <w:rsid w:val="3CC044ED"/>
    <w:rsid w:val="3CC25530"/>
    <w:rsid w:val="3CC52D38"/>
    <w:rsid w:val="3CD13DD3"/>
    <w:rsid w:val="3D0715A3"/>
    <w:rsid w:val="3D235BFF"/>
    <w:rsid w:val="3DA212CB"/>
    <w:rsid w:val="3DBB238D"/>
    <w:rsid w:val="3DBD6105"/>
    <w:rsid w:val="3DF37D79"/>
    <w:rsid w:val="3E4405D4"/>
    <w:rsid w:val="3E9C5D1B"/>
    <w:rsid w:val="3F375A43"/>
    <w:rsid w:val="3FA4757D"/>
    <w:rsid w:val="3FB6105E"/>
    <w:rsid w:val="3FE444E6"/>
    <w:rsid w:val="40583EC3"/>
    <w:rsid w:val="40642868"/>
    <w:rsid w:val="407A652F"/>
    <w:rsid w:val="409118DA"/>
    <w:rsid w:val="40923879"/>
    <w:rsid w:val="410F592B"/>
    <w:rsid w:val="411424E0"/>
    <w:rsid w:val="41641264"/>
    <w:rsid w:val="41700BEB"/>
    <w:rsid w:val="426C3C56"/>
    <w:rsid w:val="42786A9F"/>
    <w:rsid w:val="42B21FB1"/>
    <w:rsid w:val="42BC1743"/>
    <w:rsid w:val="42DD18CD"/>
    <w:rsid w:val="42EE53FF"/>
    <w:rsid w:val="43E4263E"/>
    <w:rsid w:val="43EB73B7"/>
    <w:rsid w:val="45554E75"/>
    <w:rsid w:val="459D60E3"/>
    <w:rsid w:val="45B70627"/>
    <w:rsid w:val="45CA5863"/>
    <w:rsid w:val="45E5444B"/>
    <w:rsid w:val="46362EF9"/>
    <w:rsid w:val="465515D1"/>
    <w:rsid w:val="467A2DE5"/>
    <w:rsid w:val="468E4AE3"/>
    <w:rsid w:val="469B2D5C"/>
    <w:rsid w:val="46F54E2D"/>
    <w:rsid w:val="46FD57C4"/>
    <w:rsid w:val="47925F0D"/>
    <w:rsid w:val="47A143DA"/>
    <w:rsid w:val="47E81E53"/>
    <w:rsid w:val="487A3570"/>
    <w:rsid w:val="48A028AB"/>
    <w:rsid w:val="48B545A9"/>
    <w:rsid w:val="48BF0F83"/>
    <w:rsid w:val="48EB7FCA"/>
    <w:rsid w:val="495C0DBE"/>
    <w:rsid w:val="49CB1BAA"/>
    <w:rsid w:val="4A070E34"/>
    <w:rsid w:val="4A3A3DDE"/>
    <w:rsid w:val="4A4F4589"/>
    <w:rsid w:val="4AB60164"/>
    <w:rsid w:val="4B06733D"/>
    <w:rsid w:val="4B582BCD"/>
    <w:rsid w:val="4B8E06C7"/>
    <w:rsid w:val="4C934BC0"/>
    <w:rsid w:val="4C991AEB"/>
    <w:rsid w:val="4CA30BBC"/>
    <w:rsid w:val="4CFB09F8"/>
    <w:rsid w:val="4D057181"/>
    <w:rsid w:val="4D0C6761"/>
    <w:rsid w:val="4D447CA9"/>
    <w:rsid w:val="4D5123C6"/>
    <w:rsid w:val="4D6B792C"/>
    <w:rsid w:val="4DA16EA9"/>
    <w:rsid w:val="4DDA060D"/>
    <w:rsid w:val="4DED1912"/>
    <w:rsid w:val="4E151645"/>
    <w:rsid w:val="4E257ADB"/>
    <w:rsid w:val="4E353A96"/>
    <w:rsid w:val="4E992277"/>
    <w:rsid w:val="4EAD187E"/>
    <w:rsid w:val="4EB175C0"/>
    <w:rsid w:val="4EB62E28"/>
    <w:rsid w:val="4F0911AA"/>
    <w:rsid w:val="4F3F2E1E"/>
    <w:rsid w:val="4F78309C"/>
    <w:rsid w:val="4F7E394E"/>
    <w:rsid w:val="50A20D13"/>
    <w:rsid w:val="50AD3DB7"/>
    <w:rsid w:val="50AF7B2F"/>
    <w:rsid w:val="50B02F71"/>
    <w:rsid w:val="50C26CF2"/>
    <w:rsid w:val="50EC0D83"/>
    <w:rsid w:val="50FE0CB7"/>
    <w:rsid w:val="512D188F"/>
    <w:rsid w:val="51363DAD"/>
    <w:rsid w:val="513B5867"/>
    <w:rsid w:val="5144673C"/>
    <w:rsid w:val="51791EEB"/>
    <w:rsid w:val="519D207E"/>
    <w:rsid w:val="51EC090F"/>
    <w:rsid w:val="51FB00AC"/>
    <w:rsid w:val="526A01B2"/>
    <w:rsid w:val="527E5A0B"/>
    <w:rsid w:val="52E57838"/>
    <w:rsid w:val="531620E8"/>
    <w:rsid w:val="53BB6C3C"/>
    <w:rsid w:val="542B3971"/>
    <w:rsid w:val="54335EE7"/>
    <w:rsid w:val="5463310B"/>
    <w:rsid w:val="54AF45A2"/>
    <w:rsid w:val="54B5148C"/>
    <w:rsid w:val="54C142D5"/>
    <w:rsid w:val="55254864"/>
    <w:rsid w:val="553C395C"/>
    <w:rsid w:val="553D478A"/>
    <w:rsid w:val="557E5D22"/>
    <w:rsid w:val="55A25EB5"/>
    <w:rsid w:val="55BA1450"/>
    <w:rsid w:val="56037691"/>
    <w:rsid w:val="56083D8A"/>
    <w:rsid w:val="56135E24"/>
    <w:rsid w:val="564017AC"/>
    <w:rsid w:val="567B0721"/>
    <w:rsid w:val="56F97D56"/>
    <w:rsid w:val="57081D47"/>
    <w:rsid w:val="573214BA"/>
    <w:rsid w:val="5785783C"/>
    <w:rsid w:val="57E97DCB"/>
    <w:rsid w:val="57EF1159"/>
    <w:rsid w:val="583059FA"/>
    <w:rsid w:val="5847689F"/>
    <w:rsid w:val="58532B2C"/>
    <w:rsid w:val="58984204"/>
    <w:rsid w:val="58C47EF0"/>
    <w:rsid w:val="59285798"/>
    <w:rsid w:val="59594ADC"/>
    <w:rsid w:val="596F60AE"/>
    <w:rsid w:val="5A2A0227"/>
    <w:rsid w:val="5A7B0A82"/>
    <w:rsid w:val="5B0311A3"/>
    <w:rsid w:val="5B5163B3"/>
    <w:rsid w:val="5BB5218E"/>
    <w:rsid w:val="5BFE5E0F"/>
    <w:rsid w:val="5CAA564F"/>
    <w:rsid w:val="5D283143"/>
    <w:rsid w:val="5E361890"/>
    <w:rsid w:val="5EDA046D"/>
    <w:rsid w:val="5EE237C6"/>
    <w:rsid w:val="5EFF7ED4"/>
    <w:rsid w:val="5F7679C4"/>
    <w:rsid w:val="5F7F2DC3"/>
    <w:rsid w:val="5FBF1411"/>
    <w:rsid w:val="601A09BC"/>
    <w:rsid w:val="60395667"/>
    <w:rsid w:val="60806DF2"/>
    <w:rsid w:val="60AA0313"/>
    <w:rsid w:val="610D33E8"/>
    <w:rsid w:val="615E35D8"/>
    <w:rsid w:val="619568CD"/>
    <w:rsid w:val="61E67129"/>
    <w:rsid w:val="621A5025"/>
    <w:rsid w:val="62CC27C3"/>
    <w:rsid w:val="63091321"/>
    <w:rsid w:val="635A7DCF"/>
    <w:rsid w:val="637D586B"/>
    <w:rsid w:val="63872EA4"/>
    <w:rsid w:val="639037F0"/>
    <w:rsid w:val="63F26259"/>
    <w:rsid w:val="63FC0E86"/>
    <w:rsid w:val="64061D04"/>
    <w:rsid w:val="640A365A"/>
    <w:rsid w:val="640E2967"/>
    <w:rsid w:val="64754794"/>
    <w:rsid w:val="64D15E6F"/>
    <w:rsid w:val="64FD7B2B"/>
    <w:rsid w:val="653F727C"/>
    <w:rsid w:val="657B402C"/>
    <w:rsid w:val="65C07C91"/>
    <w:rsid w:val="65D33E68"/>
    <w:rsid w:val="66014531"/>
    <w:rsid w:val="66CA526B"/>
    <w:rsid w:val="66DE4873"/>
    <w:rsid w:val="6784541A"/>
    <w:rsid w:val="67C12792"/>
    <w:rsid w:val="67DD0FCE"/>
    <w:rsid w:val="68171D97"/>
    <w:rsid w:val="687436E1"/>
    <w:rsid w:val="687A681D"/>
    <w:rsid w:val="68D73C6F"/>
    <w:rsid w:val="690B56C7"/>
    <w:rsid w:val="69474951"/>
    <w:rsid w:val="696A4D66"/>
    <w:rsid w:val="69867965"/>
    <w:rsid w:val="699456BD"/>
    <w:rsid w:val="699A7177"/>
    <w:rsid w:val="69B12712"/>
    <w:rsid w:val="69F66377"/>
    <w:rsid w:val="6A4E3ABD"/>
    <w:rsid w:val="6A9A31A7"/>
    <w:rsid w:val="6AD06BC8"/>
    <w:rsid w:val="6B3929BF"/>
    <w:rsid w:val="6B3D425E"/>
    <w:rsid w:val="6B431148"/>
    <w:rsid w:val="6B56531F"/>
    <w:rsid w:val="6B575C91"/>
    <w:rsid w:val="6BB8040C"/>
    <w:rsid w:val="6C5775A1"/>
    <w:rsid w:val="6C5C6966"/>
    <w:rsid w:val="6C5D26DE"/>
    <w:rsid w:val="6C6E5E1A"/>
    <w:rsid w:val="6C8E2897"/>
    <w:rsid w:val="6CDE10A7"/>
    <w:rsid w:val="6CDF30F3"/>
    <w:rsid w:val="6D282CEC"/>
    <w:rsid w:val="6D921E65"/>
    <w:rsid w:val="6DEC7532"/>
    <w:rsid w:val="6DF606F4"/>
    <w:rsid w:val="6E267136"/>
    <w:rsid w:val="6E2D67FA"/>
    <w:rsid w:val="6E511DCE"/>
    <w:rsid w:val="6E5805C6"/>
    <w:rsid w:val="6E6E0BD2"/>
    <w:rsid w:val="6E91041D"/>
    <w:rsid w:val="6ECB392F"/>
    <w:rsid w:val="6ECD58F9"/>
    <w:rsid w:val="6EFA2466"/>
    <w:rsid w:val="6F562B93"/>
    <w:rsid w:val="6F9C52CB"/>
    <w:rsid w:val="6FA348AB"/>
    <w:rsid w:val="6FBB39A3"/>
    <w:rsid w:val="6FD23894"/>
    <w:rsid w:val="6FE23626"/>
    <w:rsid w:val="70383246"/>
    <w:rsid w:val="703D260A"/>
    <w:rsid w:val="7060279C"/>
    <w:rsid w:val="70626FA0"/>
    <w:rsid w:val="70756EB2"/>
    <w:rsid w:val="70EC5DDE"/>
    <w:rsid w:val="71663DE2"/>
    <w:rsid w:val="7258197D"/>
    <w:rsid w:val="72600832"/>
    <w:rsid w:val="72C60FDD"/>
    <w:rsid w:val="72EB27F1"/>
    <w:rsid w:val="730241B0"/>
    <w:rsid w:val="731A1328"/>
    <w:rsid w:val="73587D13"/>
    <w:rsid w:val="73DC038C"/>
    <w:rsid w:val="743B50B2"/>
    <w:rsid w:val="74BF5CE3"/>
    <w:rsid w:val="74D3353D"/>
    <w:rsid w:val="750977D2"/>
    <w:rsid w:val="75263FB5"/>
    <w:rsid w:val="75693EA1"/>
    <w:rsid w:val="75B25848"/>
    <w:rsid w:val="766528BB"/>
    <w:rsid w:val="768F268A"/>
    <w:rsid w:val="76BF021D"/>
    <w:rsid w:val="76C92E49"/>
    <w:rsid w:val="77617526"/>
    <w:rsid w:val="776668EA"/>
    <w:rsid w:val="777A05E8"/>
    <w:rsid w:val="778F321E"/>
    <w:rsid w:val="781A1483"/>
    <w:rsid w:val="781F0851"/>
    <w:rsid w:val="7820118F"/>
    <w:rsid w:val="782A7918"/>
    <w:rsid w:val="78B00E0E"/>
    <w:rsid w:val="78C94F9D"/>
    <w:rsid w:val="78FD502C"/>
    <w:rsid w:val="796450AB"/>
    <w:rsid w:val="79CE0777"/>
    <w:rsid w:val="79EB30D7"/>
    <w:rsid w:val="7A293F0A"/>
    <w:rsid w:val="7A5E24AA"/>
    <w:rsid w:val="7ACB4CB6"/>
    <w:rsid w:val="7B02692A"/>
    <w:rsid w:val="7B486307"/>
    <w:rsid w:val="7B5B603A"/>
    <w:rsid w:val="7B5C744A"/>
    <w:rsid w:val="7BA55C3B"/>
    <w:rsid w:val="7BD858DD"/>
    <w:rsid w:val="7BE9361F"/>
    <w:rsid w:val="7C6B49A3"/>
    <w:rsid w:val="7C765821"/>
    <w:rsid w:val="7C856E44"/>
    <w:rsid w:val="7CD24A22"/>
    <w:rsid w:val="7D366D5F"/>
    <w:rsid w:val="7DD722F0"/>
    <w:rsid w:val="7E2D0162"/>
    <w:rsid w:val="7E32210A"/>
    <w:rsid w:val="7EB10D93"/>
    <w:rsid w:val="7EC87E8B"/>
    <w:rsid w:val="7EF70770"/>
    <w:rsid w:val="7F052E8D"/>
    <w:rsid w:val="7F270942"/>
    <w:rsid w:val="7F413799"/>
    <w:rsid w:val="7F480FCB"/>
    <w:rsid w:val="7F5D6825"/>
    <w:rsid w:val="7F671451"/>
    <w:rsid w:val="7F674918"/>
    <w:rsid w:val="7FA06711"/>
    <w:rsid w:val="7FB83A5B"/>
    <w:rsid w:val="7FBA3C77"/>
    <w:rsid w:val="7FEC7BA9"/>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0"/>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24"/>
    <w:autoRedefine/>
    <w:unhideWhenUsed/>
    <w:qFormat/>
    <w:uiPriority w:val="9"/>
    <w:pPr>
      <w:keepNext/>
      <w:keepLines/>
      <w:widowControl/>
      <w:adjustRightInd w:val="0"/>
      <w:snapToGrid w:val="0"/>
      <w:spacing w:line="360" w:lineRule="auto"/>
      <w:jc w:val="left"/>
      <w:outlineLvl w:val="1"/>
    </w:pPr>
    <w:rPr>
      <w:rFonts w:ascii="宋体" w:hAnsi="宋体" w:eastAsia="宋体" w:cs="宋体"/>
      <w:b/>
      <w:bCs/>
      <w:kern w:val="0"/>
      <w:sz w:val="28"/>
      <w:szCs w:val="28"/>
    </w:rPr>
  </w:style>
  <w:style w:type="paragraph" w:styleId="4">
    <w:name w:val="heading 3"/>
    <w:basedOn w:val="1"/>
    <w:next w:val="1"/>
    <w:link w:val="25"/>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6"/>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7"/>
    <w:basedOn w:val="1"/>
    <w:next w:val="1"/>
    <w:unhideWhenUsed/>
    <w:qFormat/>
    <w:uiPriority w:val="0"/>
    <w:pPr>
      <w:keepNext/>
      <w:keepLines/>
      <w:spacing w:before="260" w:after="120" w:line="320" w:lineRule="auto"/>
      <w:outlineLvl w:val="6"/>
    </w:pPr>
    <w:rPr>
      <w:rFonts w:ascii="Times New Roman" w:hAnsi="Times New Roman" w:eastAsia="楷体" w:cstheme="minorBidi"/>
      <w:b/>
      <w:bCs/>
      <w:sz w:val="24"/>
      <w:szCs w:val="24"/>
    </w:rPr>
  </w:style>
  <w:style w:type="character" w:default="1" w:styleId="19">
    <w:name w:val="Default Paragraph Font"/>
    <w:autoRedefine/>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7">
    <w:name w:val="Body Text"/>
    <w:basedOn w:val="1"/>
    <w:autoRedefine/>
    <w:qFormat/>
    <w:uiPriority w:val="0"/>
    <w:pPr>
      <w:spacing w:after="120" w:afterLines="0" w:afterAutospacing="0"/>
    </w:pPr>
  </w:style>
  <w:style w:type="paragraph" w:styleId="8">
    <w:name w:val="Body Text Indent"/>
    <w:basedOn w:val="1"/>
    <w:next w:val="9"/>
    <w:qFormat/>
    <w:uiPriority w:val="0"/>
    <w:pPr>
      <w:spacing w:after="120" w:afterLines="0" w:afterAutospacing="0"/>
      <w:ind w:left="420" w:leftChars="200"/>
    </w:pPr>
  </w:style>
  <w:style w:type="paragraph" w:customStyle="1" w:styleId="9">
    <w:name w:val="样式 正文文本缩进 + 行距: 1.5 倍行距"/>
    <w:basedOn w:val="1"/>
    <w:qFormat/>
    <w:uiPriority w:val="0"/>
    <w:pPr>
      <w:spacing w:after="120"/>
      <w:ind w:left="90" w:leftChars="32" w:firstLine="560"/>
    </w:pPr>
    <w:rPr>
      <w:rFonts w:cs="宋体"/>
    </w:rPr>
  </w:style>
  <w:style w:type="paragraph" w:styleId="10">
    <w:name w:val="footer"/>
    <w:basedOn w:val="1"/>
    <w:link w:val="29"/>
    <w:autoRedefine/>
    <w:unhideWhenUsed/>
    <w:qFormat/>
    <w:uiPriority w:val="99"/>
    <w:pPr>
      <w:tabs>
        <w:tab w:val="center" w:pos="4153"/>
        <w:tab w:val="right" w:pos="8306"/>
      </w:tabs>
      <w:snapToGrid w:val="0"/>
      <w:jc w:val="left"/>
    </w:pPr>
    <w:rPr>
      <w:sz w:val="18"/>
      <w:szCs w:val="18"/>
    </w:rPr>
  </w:style>
  <w:style w:type="paragraph" w:styleId="11">
    <w:name w:val="header"/>
    <w:basedOn w:val="1"/>
    <w:link w:val="2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link w:val="31"/>
    <w:autoRedefine/>
    <w:qFormat/>
    <w:uiPriority w:val="0"/>
    <w:pPr>
      <w:spacing w:line="400" w:lineRule="exact"/>
      <w:jc w:val="center"/>
    </w:pPr>
    <w:rPr>
      <w:rFonts w:ascii="Calibri" w:hAnsi="Calibri" w:eastAsia="楷体" w:cs="Times New Roman"/>
      <w:b/>
      <w:bCs/>
      <w:kern w:val="28"/>
      <w:szCs w:val="32"/>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5"/>
    <w:next w:val="1"/>
    <w:link w:val="27"/>
    <w:qFormat/>
    <w:uiPriority w:val="10"/>
    <w:pPr>
      <w:adjustRightInd w:val="0"/>
      <w:snapToGrid w:val="0"/>
      <w:spacing w:before="0" w:after="0" w:line="360" w:lineRule="auto"/>
      <w:jc w:val="center"/>
    </w:pPr>
    <w:rPr>
      <w:rFonts w:ascii="黑体" w:hAnsi="黑体" w:eastAsia="黑体" w:cs="黑体"/>
      <w:sz w:val="24"/>
      <w:szCs w:val="24"/>
    </w:rPr>
  </w:style>
  <w:style w:type="paragraph" w:styleId="15">
    <w:name w:val="Body Text First Indent"/>
    <w:basedOn w:val="7"/>
    <w:autoRedefine/>
    <w:qFormat/>
    <w:uiPriority w:val="0"/>
    <w:pPr>
      <w:ind w:firstLine="420" w:firstLineChars="100"/>
    </w:pPr>
  </w:style>
  <w:style w:type="paragraph" w:styleId="16">
    <w:name w:val="Body Text First Indent 2"/>
    <w:basedOn w:val="8"/>
    <w:next w:val="1"/>
    <w:qFormat/>
    <w:uiPriority w:val="0"/>
    <w:pPr>
      <w:ind w:firstLine="420" w:firstLineChars="200"/>
    </w:pPr>
  </w:style>
  <w:style w:type="table" w:styleId="18">
    <w:name w:val="Table Grid"/>
    <w:basedOn w:val="17"/>
    <w:autoRedefine/>
    <w:qFormat/>
    <w:uiPriority w:val="59"/>
    <w:rPr>
      <w:rFonts w:ascii="Calibri" w:hAnsi="Calibri" w:eastAsia="微软雅黑"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paragraph" w:customStyle="1" w:styleId="22">
    <w:name w:val="0正文"/>
    <w:basedOn w:val="1"/>
    <w:qFormat/>
    <w:uiPriority w:val="0"/>
    <w:pPr>
      <w:ind w:firstLine="480" w:firstLineChars="200"/>
    </w:pPr>
  </w:style>
  <w:style w:type="character" w:customStyle="1" w:styleId="23">
    <w:name w:val="标题 2 字符"/>
    <w:basedOn w:val="19"/>
    <w:autoRedefine/>
    <w:semiHidden/>
    <w:qFormat/>
    <w:uiPriority w:val="9"/>
    <w:rPr>
      <w:rFonts w:asciiTheme="majorHAnsi" w:hAnsiTheme="majorHAnsi" w:eastAsiaTheme="majorEastAsia" w:cstheme="majorBidi"/>
      <w:b/>
      <w:bCs/>
      <w:sz w:val="32"/>
      <w:szCs w:val="32"/>
    </w:rPr>
  </w:style>
  <w:style w:type="character" w:customStyle="1" w:styleId="24">
    <w:name w:val="标题 2 字符1"/>
    <w:link w:val="3"/>
    <w:autoRedefine/>
    <w:qFormat/>
    <w:uiPriority w:val="9"/>
    <w:rPr>
      <w:rFonts w:ascii="宋体" w:hAnsi="宋体" w:eastAsia="宋体" w:cs="宋体"/>
      <w:b/>
      <w:bCs/>
      <w:kern w:val="0"/>
      <w:sz w:val="28"/>
      <w:szCs w:val="28"/>
    </w:rPr>
  </w:style>
  <w:style w:type="character" w:customStyle="1" w:styleId="25">
    <w:name w:val="标题 3 字符"/>
    <w:basedOn w:val="19"/>
    <w:link w:val="4"/>
    <w:autoRedefine/>
    <w:semiHidden/>
    <w:qFormat/>
    <w:uiPriority w:val="9"/>
    <w:rPr>
      <w:b/>
      <w:bCs/>
      <w:sz w:val="32"/>
      <w:szCs w:val="32"/>
    </w:rPr>
  </w:style>
  <w:style w:type="character" w:customStyle="1" w:styleId="26">
    <w:name w:val="标题 4 字符"/>
    <w:basedOn w:val="19"/>
    <w:link w:val="5"/>
    <w:autoRedefine/>
    <w:semiHidden/>
    <w:qFormat/>
    <w:uiPriority w:val="9"/>
    <w:rPr>
      <w:rFonts w:asciiTheme="majorHAnsi" w:hAnsiTheme="majorHAnsi" w:eastAsiaTheme="majorEastAsia" w:cstheme="majorBidi"/>
      <w:b/>
      <w:bCs/>
      <w:sz w:val="28"/>
      <w:szCs w:val="28"/>
    </w:rPr>
  </w:style>
  <w:style w:type="character" w:customStyle="1" w:styleId="27">
    <w:name w:val="标题 字符"/>
    <w:basedOn w:val="19"/>
    <w:link w:val="14"/>
    <w:autoRedefine/>
    <w:qFormat/>
    <w:uiPriority w:val="10"/>
    <w:rPr>
      <w:rFonts w:ascii="黑体" w:hAnsi="黑体" w:eastAsia="黑体" w:cs="黑体"/>
      <w:b/>
      <w:bCs/>
      <w:sz w:val="24"/>
      <w:szCs w:val="24"/>
    </w:rPr>
  </w:style>
  <w:style w:type="character" w:customStyle="1" w:styleId="28">
    <w:name w:val="页眉 字符"/>
    <w:basedOn w:val="19"/>
    <w:link w:val="11"/>
    <w:autoRedefine/>
    <w:qFormat/>
    <w:uiPriority w:val="99"/>
    <w:rPr>
      <w:sz w:val="18"/>
      <w:szCs w:val="18"/>
    </w:rPr>
  </w:style>
  <w:style w:type="character" w:customStyle="1" w:styleId="29">
    <w:name w:val="页脚 字符"/>
    <w:basedOn w:val="19"/>
    <w:link w:val="10"/>
    <w:autoRedefine/>
    <w:qFormat/>
    <w:uiPriority w:val="99"/>
    <w:rPr>
      <w:sz w:val="18"/>
      <w:szCs w:val="18"/>
    </w:rPr>
  </w:style>
  <w:style w:type="character" w:customStyle="1" w:styleId="30">
    <w:name w:val="标题 1 字符"/>
    <w:basedOn w:val="19"/>
    <w:link w:val="2"/>
    <w:autoRedefine/>
    <w:qFormat/>
    <w:uiPriority w:val="0"/>
    <w:rPr>
      <w:rFonts w:ascii="Calibri" w:hAnsi="Calibri" w:eastAsia="宋体" w:cs="Times New Roman"/>
      <w:b/>
      <w:bCs/>
      <w:kern w:val="44"/>
      <w:sz w:val="44"/>
      <w:szCs w:val="44"/>
    </w:rPr>
  </w:style>
  <w:style w:type="character" w:customStyle="1" w:styleId="31">
    <w:name w:val="副标题 字符"/>
    <w:basedOn w:val="19"/>
    <w:link w:val="12"/>
    <w:autoRedefine/>
    <w:qFormat/>
    <w:uiPriority w:val="0"/>
    <w:rPr>
      <w:rFonts w:ascii="Calibri" w:hAnsi="Calibri" w:eastAsia="楷体" w:cs="Times New Roman"/>
      <w:b/>
      <w:bCs/>
      <w:kern w:val="28"/>
      <w:szCs w:val="32"/>
    </w:rPr>
  </w:style>
  <w:style w:type="paragraph" w:styleId="32">
    <w:name w:val="List Paragraph"/>
    <w:basedOn w:val="1"/>
    <w:autoRedefine/>
    <w:qFormat/>
    <w:uiPriority w:val="34"/>
    <w:pPr>
      <w:ind w:firstLine="420" w:firstLineChars="200"/>
    </w:pPr>
  </w:style>
  <w:style w:type="paragraph" w:customStyle="1" w:styleId="33">
    <w:name w:val="普通(网站)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4">
    <w:name w:val="普通(网站) Char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5">
    <w:name w:val="+正文"/>
    <w:basedOn w:val="1"/>
    <w:qFormat/>
    <w:uiPriority w:val="99"/>
    <w:pPr>
      <w:spacing w:line="360" w:lineRule="auto"/>
      <w:ind w:firstLine="200" w:firstLineChars="200"/>
    </w:pPr>
    <w:rPr>
      <w:rFonts w:ascii="Times New Roman" w:hAnsi="Times New Roman" w:cs="Times New Roman"/>
      <w:sz w:val="24"/>
      <w:szCs w:val="24"/>
    </w:rPr>
  </w:style>
  <w:style w:type="paragraph" w:customStyle="1" w:styleId="36">
    <w:name w:val="表格内容"/>
    <w:basedOn w:val="1"/>
    <w:qFormat/>
    <w:uiPriority w:val="99"/>
    <w:pPr>
      <w:widowControl/>
      <w:overflowPunct w:val="0"/>
      <w:autoSpaceDE w:val="0"/>
      <w:autoSpaceDN w:val="0"/>
      <w:adjustRightInd w:val="0"/>
      <w:jc w:val="center"/>
      <w:textAlignment w:val="baseline"/>
    </w:pPr>
    <w:rPr>
      <w:rFonts w:ascii="Times New Roman" w:hAnsi="Times New Roman" w:cs="Times New Roman"/>
      <w:kern w:val="0"/>
    </w:rPr>
  </w:style>
  <w:style w:type="paragraph" w:customStyle="1" w:styleId="37">
    <w:name w:val="表格内容-居中"/>
    <w:basedOn w:val="1"/>
    <w:qFormat/>
    <w:uiPriority w:val="99"/>
    <w:pPr>
      <w:widowControl/>
      <w:overflowPunct w:val="0"/>
      <w:autoSpaceDE w:val="0"/>
      <w:autoSpaceDN w:val="0"/>
      <w:adjustRightInd w:val="0"/>
      <w:spacing w:before="40" w:after="40" w:line="300" w:lineRule="exact"/>
      <w:jc w:val="center"/>
      <w:textAlignment w:val="baseline"/>
    </w:pPr>
    <w:rPr>
      <w:rFonts w:ascii="Times New Roman" w:hAnsi="Times New Roman" w:cs="Times New Roman"/>
      <w:kern w:val="0"/>
      <w:sz w:val="24"/>
      <w:szCs w:val="24"/>
    </w:rPr>
  </w:style>
  <w:style w:type="character" w:customStyle="1" w:styleId="38">
    <w:name w:val="font31"/>
    <w:basedOn w:val="19"/>
    <w:qFormat/>
    <w:uiPriority w:val="0"/>
    <w:rPr>
      <w:rFonts w:hint="eastAsia" w:ascii="华文楷体" w:hAnsi="华文楷体" w:eastAsia="华文楷体" w:cs="华文楷体"/>
      <w:color w:val="000000"/>
      <w:sz w:val="22"/>
      <w:szCs w:val="22"/>
      <w:u w:val="none"/>
      <w:vertAlign w:val="subscript"/>
    </w:rPr>
  </w:style>
  <w:style w:type="character" w:customStyle="1" w:styleId="39">
    <w:name w:val="font21"/>
    <w:basedOn w:val="19"/>
    <w:qFormat/>
    <w:uiPriority w:val="0"/>
    <w:rPr>
      <w:rFonts w:hint="eastAsia" w:ascii="华文楷体" w:hAnsi="华文楷体" w:eastAsia="华文楷体" w:cs="华文楷体"/>
      <w:color w:val="000000"/>
      <w:sz w:val="22"/>
      <w:szCs w:val="22"/>
      <w:u w:val="none"/>
    </w:rPr>
  </w:style>
  <w:style w:type="character" w:customStyle="1" w:styleId="40">
    <w:name w:val="font41"/>
    <w:basedOn w:val="19"/>
    <w:qFormat/>
    <w:uiPriority w:val="0"/>
    <w:rPr>
      <w:rFonts w:hint="eastAsia" w:ascii="华文楷体" w:hAnsi="华文楷体" w:eastAsia="华文楷体" w:cs="华文楷体"/>
      <w:color w:val="000000"/>
      <w:sz w:val="22"/>
      <w:szCs w:val="22"/>
      <w:u w:val="none"/>
      <w:vertAlign w:val="superscript"/>
    </w:rPr>
  </w:style>
  <w:style w:type="character" w:customStyle="1" w:styleId="41">
    <w:name w:val="font11"/>
    <w:basedOn w:val="19"/>
    <w:qFormat/>
    <w:uiPriority w:val="0"/>
    <w:rPr>
      <w:rFonts w:hint="eastAsia" w:ascii="华文楷体" w:hAnsi="华文楷体" w:eastAsia="华文楷体" w:cs="华文楷体"/>
      <w:color w:val="000000"/>
      <w:sz w:val="22"/>
      <w:szCs w:val="22"/>
      <w:u w:val="none"/>
    </w:rPr>
  </w:style>
  <w:style w:type="paragraph" w:customStyle="1" w:styleId="42">
    <w:name w:val="EndNote Bibliography"/>
    <w:basedOn w:val="1"/>
    <w:autoRedefine/>
    <w:qFormat/>
    <w:uiPriority w:val="0"/>
    <w:pPr>
      <w:ind w:firstLine="200" w:firstLineChars="200"/>
      <w:jc w:val="left"/>
    </w:pPr>
    <w:rPr>
      <w:sz w:val="20"/>
    </w:rPr>
  </w:style>
  <w:style w:type="paragraph" w:customStyle="1" w:styleId="43">
    <w:name w:val="列出段落1"/>
    <w:basedOn w:val="1"/>
    <w:qFormat/>
    <w:uiPriority w:val="34"/>
    <w:pPr>
      <w:ind w:firstLine="420" w:firstLineChars="200"/>
    </w:pPr>
  </w:style>
  <w:style w:type="paragraph" w:customStyle="1" w:styleId="44">
    <w:name w:val="正文文本1"/>
    <w:basedOn w:val="1"/>
    <w:qFormat/>
    <w:uiPriority w:val="0"/>
    <w:pPr>
      <w:shd w:val="clear" w:color="auto" w:fill="FFFFFF"/>
      <w:spacing w:line="610" w:lineRule="exact"/>
      <w:jc w:val="center"/>
    </w:pPr>
    <w:rPr>
      <w:rFonts w:ascii="宋体" w:hAnsi="宋体" w:eastAsia="宋体" w:cs="宋体"/>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2.emf"/><Relationship Id="rId6" Type="http://schemas.openxmlformats.org/officeDocument/2006/relationships/oleObject" Target="embeddings/oleObject2.bin"/><Relationship Id="rId5" Type="http://schemas.openxmlformats.org/officeDocument/2006/relationships/image" Target="media/image1.emf"/><Relationship Id="rId4" Type="http://schemas.openxmlformats.org/officeDocument/2006/relationships/oleObject" Target="embeddings/oleObject1.bin"/><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5430</Words>
  <Characters>6823</Characters>
  <Lines>35</Lines>
  <Paragraphs>9</Paragraphs>
  <TotalTime>1</TotalTime>
  <ScaleCrop>false</ScaleCrop>
  <LinksUpToDate>false</LinksUpToDate>
  <CharactersWithSpaces>7048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2022-09-27T07:43:00Z</dcterms:created>
  <dc:creator>Liao KangCheng</dc:creator>
  <cp:lastModifiedBy>白海丹</cp:lastModifiedBy>
  <dcterms:modified xsi:type="dcterms:W3CDTF">2026-04-23T03:45:21Z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012170A0420347A89154D3512890171D_12</vt:lpwstr>
  </property>
  <property fmtid="{D5CDD505-2E9C-101B-9397-08002B2CF9AE}" pid="4" name="KSOTemplateDocerSaveRecord">
    <vt:lpwstr>eyJoZGlkIjoiYjVlOTE0MGRkN2E0MWU0MDEyNjJkNTdlYmU3ZGQ5YzUiLCJ1c2VySWQiOiI0NDQ3MDkxMjgifQ==</vt:lpwstr>
  </property>
</Properties>
</file>