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2DCDD1FA">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eastAsia" w:ascii="隶书" w:hAnsi="隶书" w:eastAsia="隶书" w:cs="隶书"/>
          <w:lang w:val="en-US" w:eastAsia="zh-CN"/>
        </w:rPr>
        <w:t>熔硫尾气升华硫的生成机制与协同</w:t>
      </w:r>
    </w:p>
    <w:p w14:paraId="790680B3">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eastAsia" w:ascii="隶书" w:hAnsi="隶书" w:eastAsia="隶书" w:cs="隶书"/>
          <w:lang w:val="en-US" w:eastAsia="zh-CN"/>
        </w:rPr>
        <w:t>治理技术研究</w:t>
      </w:r>
    </w:p>
    <w:p w14:paraId="1F18FA1F">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default" w:ascii="楷体" w:hAnsi="楷体" w:eastAsia="楷体" w:cs="楷体"/>
          <w:color w:val="auto"/>
          <w:sz w:val="21"/>
          <w:szCs w:val="21"/>
          <w:lang w:val="en-US" w:eastAsia="zh-CN"/>
        </w:rPr>
      </w:pPr>
      <w:r>
        <w:rPr>
          <w:rFonts w:hint="default" w:ascii="楷体" w:hAnsi="楷体" w:eastAsia="楷体" w:cs="楷体"/>
          <w:color w:val="auto"/>
          <w:sz w:val="21"/>
          <w:szCs w:val="21"/>
          <w:lang w:val="en-US" w:eastAsia="zh-CN"/>
        </w:rPr>
        <w:t>李正强</w:t>
      </w:r>
      <w:r>
        <w:rPr>
          <w:rFonts w:hint="eastAsia" w:ascii="楷体" w:hAnsi="楷体" w:eastAsia="楷体" w:cs="楷体"/>
          <w:color w:val="auto"/>
          <w:sz w:val="21"/>
          <w:szCs w:val="21"/>
          <w:lang w:val="en-US" w:eastAsia="zh-CN"/>
        </w:rPr>
        <w:t xml:space="preserve"> </w:t>
      </w:r>
      <w:r>
        <w:rPr>
          <w:rFonts w:hint="default" w:ascii="楷体" w:hAnsi="楷体" w:eastAsia="楷体" w:cs="楷体"/>
          <w:color w:val="auto"/>
          <w:sz w:val="21"/>
          <w:szCs w:val="21"/>
          <w:lang w:val="en-US" w:eastAsia="zh-CN"/>
        </w:rPr>
        <w:t>叶建强</w:t>
      </w:r>
    </w:p>
    <w:p w14:paraId="011D96C8">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 xml:space="preserve">云南三环中化化肥有限公司 </w:t>
      </w:r>
    </w:p>
    <w:p w14:paraId="17E9494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p>
    <w:p w14:paraId="782A2F9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val="0"/>
          <w:bCs w:val="0"/>
          <w:sz w:val="21"/>
          <w:szCs w:val="21"/>
          <w:lang w:val="en-US" w:eastAsia="zh-CN"/>
        </w:rPr>
      </w:pPr>
      <w:bookmarkStart w:id="0" w:name="_GoBack"/>
      <w:bookmarkEnd w:id="0"/>
      <w:r>
        <w:rPr>
          <w:rFonts w:hint="eastAsia" w:ascii="宋体" w:hAnsi="宋体" w:eastAsia="宋体" w:cs="宋体"/>
          <w:b/>
          <w:bCs/>
          <w:sz w:val="21"/>
          <w:szCs w:val="21"/>
          <w:lang w:val="en-US" w:eastAsia="zh-CN"/>
        </w:rPr>
        <w:t>摘要:</w:t>
      </w:r>
      <w:r>
        <w:rPr>
          <w:rFonts w:hint="eastAsia" w:ascii="宋体" w:hAnsi="宋体" w:eastAsia="宋体" w:cs="宋体"/>
          <w:b w:val="0"/>
          <w:bCs w:val="0"/>
          <w:sz w:val="21"/>
          <w:szCs w:val="21"/>
          <w:lang w:val="en-US" w:eastAsia="zh-CN"/>
        </w:rPr>
        <w:t>熔硫工序是硫磺制酸装置的关键前处理单元，其尾气具有高温、高湿、组分复杂、腐蚀性强等特点，其中由硫蒸气凝华形成的亚微米级升华硫及硫化氢，是诱发设备堵塞与排放超标的根本诱因。基于硫相变热力学规律，本文构建了熔硫过程硫蒸气挥发与凝华理论模型，明确升华硫生成临界温度与粒度分布区间。结合工业装置运行数据与故障实例，对比分析了不同处理技术在净化效能与工程适用性方面的差异，结果表明，采用多级协同洗涤工艺可将尾气颗粒物浓度稳定控制在25 mg/m³以下，连续运行时间超过210天。融合升华硫的抑制生成、高效捕集与资源回收在内的多级协同策略，是解决熔硫尾气治理难题的有效途径。</w:t>
      </w:r>
    </w:p>
    <w:p w14:paraId="5FF167A1">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both"/>
        <w:textAlignment w:val="auto"/>
        <w:rPr>
          <w:rFonts w:hint="eastAsia" w:ascii="宋体" w:hAnsi="宋体" w:eastAsia="宋体" w:cs="宋体"/>
          <w:b w:val="0"/>
          <w:bCs w:val="0"/>
          <w:sz w:val="21"/>
          <w:szCs w:val="21"/>
          <w:lang w:val="en-US" w:eastAsia="zh-CN"/>
        </w:rPr>
      </w:pPr>
      <w:r>
        <w:rPr>
          <w:rFonts w:hint="eastAsia" w:ascii="宋体" w:hAnsi="宋体" w:eastAsia="宋体" w:cs="宋体"/>
          <w:b/>
          <w:bCs/>
          <w:sz w:val="21"/>
          <w:szCs w:val="21"/>
          <w:lang w:val="en-US" w:eastAsia="zh-CN"/>
        </w:rPr>
        <w:t>关键词:</w:t>
      </w:r>
      <w:r>
        <w:rPr>
          <w:rFonts w:hint="eastAsia" w:ascii="宋体" w:hAnsi="宋体" w:eastAsia="宋体" w:cs="宋体"/>
          <w:b w:val="0"/>
          <w:bCs w:val="0"/>
          <w:sz w:val="21"/>
          <w:szCs w:val="21"/>
          <w:lang w:val="en-US" w:eastAsia="zh-CN"/>
        </w:rPr>
        <w:t>硫磺制酸 熔硫尾气 升华硫 理论模型 多级协同</w:t>
      </w:r>
    </w:p>
    <w:p w14:paraId="0EE7F826">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sz w:val="21"/>
          <w:szCs w:val="21"/>
        </w:rPr>
      </w:pPr>
    </w:p>
    <w:p w14:paraId="0B311C3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1引言</w:t>
      </w:r>
    </w:p>
    <w:p w14:paraId="223B17E9">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熔硫工序作为硫磺制酸装置的辅助单元，其尾气因含高黏附性升华硫与恶臭组分硫化氢，长期是企业环保达标的瓶颈环节。熔硫尾气普遍具有高温、高湿及多组分特性，其中H₂S嗅觉阈值低至0.0005ppm，是恶臭主要来源。气相硫冷却凝华形成的亚微米级升华硫，比表面积大且极易粘附聚集，长期运行易造成管路堵塞和洗涤设备工况恶化，诱发风机积灰振动等一系列设备故障</w:t>
      </w:r>
      <w:r>
        <w:rPr>
          <w:rFonts w:hint="eastAsia" w:ascii="宋体" w:hAnsi="宋体" w:eastAsia="宋体" w:cs="宋体"/>
          <w:color w:val="auto"/>
          <w:sz w:val="21"/>
          <w:szCs w:val="21"/>
          <w:vertAlign w:val="superscript"/>
          <w:lang w:val="en-US" w:eastAsia="zh-CN"/>
        </w:rPr>
        <w:t>[1-2]</w:t>
      </w:r>
      <w:r>
        <w:rPr>
          <w:rFonts w:hint="eastAsia" w:ascii="宋体" w:hAnsi="宋体" w:eastAsia="宋体" w:cs="宋体"/>
          <w:color w:val="auto"/>
          <w:sz w:val="21"/>
          <w:szCs w:val="21"/>
          <w:lang w:val="en-US" w:eastAsia="zh-CN"/>
        </w:rPr>
        <w:t>。尽管硫磺制酸工艺凭借流程紧凑、硫资源利用率高等优势，已占据国内硫酸产能六成以上，但行业内针对熔硫尾气的综合治理技术仍存在短板，相关环保痛点始终未能得到彻底解决</w:t>
      </w:r>
      <w:r>
        <w:rPr>
          <w:rFonts w:hint="eastAsia" w:ascii="宋体" w:hAnsi="宋体" w:eastAsia="宋体" w:cs="宋体"/>
          <w:color w:val="auto"/>
          <w:sz w:val="21"/>
          <w:szCs w:val="21"/>
          <w:vertAlign w:val="superscript"/>
          <w:lang w:val="en-US" w:eastAsia="zh-CN"/>
        </w:rPr>
        <w:t>[3]</w:t>
      </w:r>
      <w:r>
        <w:rPr>
          <w:rFonts w:hint="eastAsia" w:ascii="宋体" w:hAnsi="宋体" w:eastAsia="宋体" w:cs="宋体"/>
          <w:color w:val="auto"/>
          <w:sz w:val="21"/>
          <w:szCs w:val="21"/>
          <w:lang w:val="en-US" w:eastAsia="zh-CN"/>
        </w:rPr>
        <w:t>。</w:t>
      </w:r>
    </w:p>
    <w:p w14:paraId="7B3832C4">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自《硫酸工业污染物排放标准》（GB 26132-2010）正式实施后，重点区域大气污染管控力度持续提升，熔硫尾气治理已从可选配套升级为刚性达标要求。目前行业常用治理路线均存在明显局限：冷凝回收可实现硫蒸气资源化，但无法脱除硫化氢</w:t>
      </w:r>
      <w:r>
        <w:rPr>
          <w:rFonts w:hint="eastAsia" w:ascii="宋体" w:hAnsi="宋体" w:eastAsia="宋体" w:cs="宋体"/>
          <w:color w:val="auto"/>
          <w:sz w:val="21"/>
          <w:szCs w:val="21"/>
          <w:vertAlign w:val="superscript"/>
          <w:lang w:val="en-US" w:eastAsia="zh-CN"/>
        </w:rPr>
        <w:t>[3-4]</w:t>
      </w:r>
      <w:r>
        <w:rPr>
          <w:rFonts w:hint="eastAsia" w:ascii="宋体" w:hAnsi="宋体" w:eastAsia="宋体" w:cs="宋体"/>
          <w:color w:val="auto"/>
          <w:sz w:val="21"/>
          <w:szCs w:val="21"/>
          <w:lang w:val="en-US" w:eastAsia="zh-CN"/>
        </w:rPr>
        <w:t>；碱洗工艺应用最为普遍，能够同步吸收H₂S、SO</w:t>
      </w:r>
      <w:r>
        <w:rPr>
          <w:rFonts w:hint="eastAsia" w:ascii="宋体" w:hAnsi="宋体" w:eastAsia="宋体" w:cs="宋体"/>
          <w:color w:val="auto"/>
          <w:sz w:val="21"/>
          <w:szCs w:val="21"/>
          <w:vertAlign w:val="subscript"/>
          <w:lang w:val="en-US" w:eastAsia="zh-CN"/>
        </w:rPr>
        <w:t>2</w:t>
      </w:r>
      <w:r>
        <w:rPr>
          <w:rFonts w:hint="eastAsia" w:ascii="宋体" w:hAnsi="宋体" w:eastAsia="宋体" w:cs="宋体"/>
          <w:color w:val="auto"/>
          <w:sz w:val="21"/>
          <w:szCs w:val="21"/>
          <w:lang w:val="en-US" w:eastAsia="zh-CN"/>
        </w:rPr>
        <w:t>并捕集颗粒污染物</w:t>
      </w:r>
      <w:r>
        <w:rPr>
          <w:rFonts w:hint="eastAsia" w:ascii="宋体" w:hAnsi="宋体" w:eastAsia="宋体" w:cs="宋体"/>
          <w:color w:val="auto"/>
          <w:sz w:val="21"/>
          <w:szCs w:val="21"/>
          <w:vertAlign w:val="superscript"/>
          <w:lang w:val="en-US" w:eastAsia="zh-CN"/>
        </w:rPr>
        <w:t>[5-6]</w:t>
      </w:r>
      <w:r>
        <w:rPr>
          <w:rFonts w:hint="eastAsia" w:ascii="宋体" w:hAnsi="宋体" w:eastAsia="宋体" w:cs="宋体"/>
          <w:color w:val="auto"/>
          <w:sz w:val="21"/>
          <w:szCs w:val="21"/>
          <w:lang w:val="en-US" w:eastAsia="zh-CN"/>
        </w:rPr>
        <w:t>；湿式氧化技术可将硫化氢氧化为单质硫，净化水平较高，但设备投资与运行成本偏高</w:t>
      </w:r>
      <w:r>
        <w:rPr>
          <w:rFonts w:hint="eastAsia" w:ascii="宋体" w:hAnsi="宋体" w:eastAsia="宋体" w:cs="宋体"/>
          <w:color w:val="auto"/>
          <w:sz w:val="21"/>
          <w:szCs w:val="21"/>
          <w:vertAlign w:val="superscript"/>
          <w:lang w:val="en-US" w:eastAsia="zh-CN"/>
        </w:rPr>
        <w:t>[7]</w:t>
      </w:r>
      <w:r>
        <w:rPr>
          <w:rFonts w:hint="eastAsia" w:ascii="宋体" w:hAnsi="宋体" w:eastAsia="宋体" w:cs="宋体"/>
          <w:color w:val="auto"/>
          <w:sz w:val="21"/>
          <w:szCs w:val="21"/>
          <w:lang w:val="en-US" w:eastAsia="zh-CN"/>
        </w:rPr>
        <w:t>。现有研究大多围绕单一工艺开展参数调试或设备改进，缺少对升华硫形成机制、亚微米颗粒物捕集效果及多技术耦合治理的整体分析。本文以硫相平衡理论为依据，阐明升华硫大量生成的温度区间与凝华粒度分布特征，并结合国内多套工业装置运行数据，系统梳理主流技术的适用范围与工程瓶颈，可为硫磺制酸企业熔硫尾气治理方案选型与运行优化提供理论支撑与工程参考。</w:t>
      </w:r>
    </w:p>
    <w:p w14:paraId="3DDBBB0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2熔硫尾气污染物的生成机理与理化特征</w:t>
      </w:r>
    </w:p>
    <w:p w14:paraId="6452C3EA">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2.1硫的相变热力学与升华硫的形成条件</w:t>
      </w:r>
    </w:p>
    <w:p w14:paraId="773E8891">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常压条件下硫磺呈现复杂的相变行为。其熔点约为119℃，沸点约为444.6℃。在熔硫工序的操作温度范围内，液态硫表面存在不可忽视的蒸气压。依据克劳修斯-克拉佩龙方程，硫蒸气的饱和蒸气压与温度的关系可近似表达为：</w:t>
      </w:r>
    </w:p>
    <w:p w14:paraId="7533AE79">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In</w:t>
      </w:r>
      <m:oMath>
        <m:r>
          <m:rPr/>
          <w:rPr>
            <w:rFonts w:hint="eastAsia" w:ascii="Cambria Math" w:hAnsi="Cambria Math" w:eastAsia="宋体" w:cs="宋体"/>
            <w:color w:val="auto"/>
            <w:sz w:val="21"/>
            <w:szCs w:val="21"/>
            <w:lang w:val="en-US" w:eastAsia="zh-CN"/>
          </w:rPr>
          <m:t>P</m:t>
        </m:r>
        <m:r>
          <m:rPr/>
          <w:rPr>
            <w:rFonts w:hint="eastAsia" w:ascii="Cambria Math" w:hAnsi="Cambria Math" w:eastAsia="宋体" w:cs="宋体"/>
            <w:color w:val="auto"/>
            <w:sz w:val="21"/>
            <w:szCs w:val="21"/>
          </w:rPr>
          <m:t>=</m:t>
        </m:r>
        <m:r>
          <m:rPr/>
          <w:rPr>
            <w:rFonts w:hint="eastAsia" w:ascii="Cambria Math" w:hAnsi="Cambria Math" w:eastAsia="宋体" w:cs="宋体"/>
            <w:color w:val="auto"/>
            <w:sz w:val="21"/>
            <w:szCs w:val="21"/>
            <w:lang w:val="en-US" w:eastAsia="zh-CN"/>
          </w:rPr>
          <m:t>A−</m:t>
        </m:r>
        <m:f>
          <m:fPr>
            <m:ctrlPr>
              <w:rPr>
                <w:rFonts w:hint="eastAsia" w:ascii="Cambria Math" w:hAnsi="Cambria Math" w:eastAsia="宋体" w:cs="宋体"/>
                <w:i/>
                <w:color w:val="auto"/>
                <w:sz w:val="21"/>
                <w:szCs w:val="21"/>
              </w:rPr>
            </m:ctrlPr>
          </m:fPr>
          <m:num>
            <m:r>
              <m:rPr/>
              <w:rPr>
                <w:rFonts w:hint="eastAsia" w:ascii="Cambria Math" w:hAnsi="Cambria Math" w:eastAsia="宋体" w:cs="宋体"/>
                <w:color w:val="auto"/>
                <w:sz w:val="21"/>
                <w:szCs w:val="21"/>
                <w:lang w:val="en-US" w:eastAsia="zh-CN"/>
              </w:rPr>
              <m:t>B</m:t>
            </m:r>
            <m:ctrlPr>
              <w:rPr>
                <w:rFonts w:hint="eastAsia" w:ascii="Cambria Math" w:hAnsi="Cambria Math" w:eastAsia="宋体" w:cs="宋体"/>
                <w:i/>
                <w:color w:val="auto"/>
                <w:sz w:val="21"/>
                <w:szCs w:val="21"/>
              </w:rPr>
            </m:ctrlPr>
          </m:num>
          <m:den>
            <m:r>
              <m:rPr/>
              <w:rPr>
                <w:rFonts w:hint="eastAsia" w:ascii="Cambria Math" w:hAnsi="Cambria Math" w:eastAsia="宋体" w:cs="宋体"/>
                <w:color w:val="auto"/>
                <w:sz w:val="21"/>
                <w:szCs w:val="21"/>
                <w:lang w:val="en-US" w:eastAsia="zh-CN"/>
              </w:rPr>
              <m:t>T</m:t>
            </m:r>
            <m:ctrlPr>
              <w:rPr>
                <w:rFonts w:hint="eastAsia" w:ascii="Cambria Math" w:hAnsi="Cambria Math" w:eastAsia="宋体" w:cs="宋体"/>
                <w:i/>
                <w:color w:val="auto"/>
                <w:sz w:val="21"/>
                <w:szCs w:val="21"/>
              </w:rPr>
            </m:ctrlPr>
          </m:den>
        </m:f>
      </m:oMath>
    </w:p>
    <w:p w14:paraId="0F68B781">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通过计算可得硫蒸气的饱和分压与温度成正比，当含有硫蒸气的尾气在输送或洗涤过程中温度下降至硫蒸气露点以下时，硫蒸气即处于过饱和状态，发生凝华效应，硫蒸气直接从气态转变为固态，不经过液态，该过程会释放大量潜热，导致局部温度回升，促使升华硫快速沉积</w:t>
      </w:r>
      <w:r>
        <w:rPr>
          <w:rFonts w:hint="eastAsia" w:ascii="宋体" w:hAnsi="宋体" w:eastAsia="宋体" w:cs="宋体"/>
          <w:color w:val="auto"/>
          <w:sz w:val="21"/>
          <w:szCs w:val="21"/>
          <w:vertAlign w:val="superscript"/>
          <w:lang w:val="en-US" w:eastAsia="zh-CN"/>
        </w:rPr>
        <w:t>[8]</w:t>
      </w:r>
      <w:r>
        <w:rPr>
          <w:rFonts w:hint="eastAsia" w:ascii="宋体" w:hAnsi="宋体" w:eastAsia="宋体" w:cs="宋体"/>
          <w:color w:val="auto"/>
          <w:sz w:val="21"/>
          <w:szCs w:val="21"/>
          <w:lang w:val="en-US" w:eastAsia="zh-CN"/>
        </w:rPr>
        <w:t>。</w:t>
      </w:r>
    </w:p>
    <w:p w14:paraId="27C30F26">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2.2　升华硫的粒径分布与黏附特性</w:t>
      </w:r>
    </w:p>
    <w:p w14:paraId="1F04A4DF">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升华硫的粒径取决于凝华过程中的过饱和度与停留时间。实验研究表明，在温度从120℃快速降至60℃的典型工况下，升华硫颗粒的中位粒径通常在0.3~2μm之间，部分可细至0.1μm以下</w:t>
      </w:r>
      <w:r>
        <w:rPr>
          <w:rFonts w:hint="eastAsia" w:ascii="宋体" w:hAnsi="宋体" w:eastAsia="宋体" w:cs="宋体"/>
          <w:color w:val="auto"/>
          <w:sz w:val="21"/>
          <w:szCs w:val="21"/>
          <w:vertAlign w:val="superscript"/>
          <w:lang w:val="en-US" w:eastAsia="zh-CN"/>
        </w:rPr>
        <w:t>[9]</w:t>
      </w:r>
      <w:r>
        <w:rPr>
          <w:rFonts w:hint="eastAsia" w:ascii="宋体" w:hAnsi="宋体" w:eastAsia="宋体" w:cs="宋体"/>
          <w:color w:val="auto"/>
          <w:sz w:val="21"/>
          <w:szCs w:val="21"/>
          <w:lang w:val="en-US" w:eastAsia="zh-CN"/>
        </w:rPr>
        <w:t>。这一尺度属于典型的亚微米气溶胶，比表面积可达10~20m²/g，颗粒间及颗粒与壁面间的范德华力极强，极易发生团聚和黏附，正是上述特性，导致升华硫一旦生成即迅速堵塞管道、填料和除雾器，常规喷淋难以将其从气流中有效去除。</w:t>
      </w:r>
    </w:p>
    <w:p w14:paraId="6E54617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2.3　多污染物的协同生成路径</w:t>
      </w:r>
    </w:p>
    <w:p w14:paraId="6CCA8CC1">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除升华硫外，熔硫尾气中还含有H₂S、SO₂及水蒸气，它们的生成相互关联。工业硫磺含水量通常较高，进入熔硫槽后，水分瞬间汽化，使尾气中水蒸气体积分数可达20%~40%。大量水蒸气的存在不仅稀释了污染物，还因汽化潜热增加了洗涤系统的热负荷。硫磺中的有机硫化物（如硫醇、硫醚、噻吩等）及沥青质在高温下发生热裂解，生成H₂S；此外，硫磺与微量水在高温下发生歧化反应，H₂S浓度一般在50~500mg/m³之间，与硫磺品质密切相关</w:t>
      </w:r>
      <w:r>
        <w:rPr>
          <w:rFonts w:hint="eastAsia" w:ascii="宋体" w:hAnsi="宋体" w:eastAsia="宋体" w:cs="宋体"/>
          <w:color w:val="auto"/>
          <w:sz w:val="21"/>
          <w:szCs w:val="21"/>
          <w:vertAlign w:val="superscript"/>
          <w:lang w:val="en-US" w:eastAsia="zh-CN"/>
        </w:rPr>
        <w:t>[3]</w:t>
      </w:r>
      <w:r>
        <w:rPr>
          <w:rFonts w:hint="eastAsia" w:ascii="宋体" w:hAnsi="宋体" w:eastAsia="宋体" w:cs="宋体"/>
          <w:color w:val="auto"/>
          <w:sz w:val="21"/>
          <w:szCs w:val="21"/>
          <w:lang w:val="en-US" w:eastAsia="zh-CN"/>
        </w:rPr>
        <w:t>。SO₂则来源于硫磺的缓慢氧化以及H₂S的燃烧，其浓度通常较低，但溶于水形成亚硫酸后加剧了设备的酸性腐蚀。硫磺粉尘则来自固体硫磺在破碎、输送过程中因机械力产生的颗粒，粒径较粗，相对容易被洗涤捕集。</w:t>
      </w:r>
    </w:p>
    <w:p w14:paraId="7209967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2.4　典型工况参数与污染特征</w:t>
      </w:r>
    </w:p>
    <w:p w14:paraId="168FDFE1">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基于对国内大型硫磺制酸企业的现场运行数据，熔硫尾气的典型工况范围如表1所示</w:t>
      </w:r>
      <w:r>
        <w:rPr>
          <w:rFonts w:hint="eastAsia" w:ascii="宋体" w:hAnsi="宋体" w:eastAsia="宋体" w:cs="宋体"/>
          <w:color w:val="auto"/>
          <w:sz w:val="21"/>
          <w:szCs w:val="21"/>
          <w:vertAlign w:val="superscript"/>
          <w:lang w:val="en-US" w:eastAsia="zh-CN"/>
        </w:rPr>
        <w:t>[3,4,6]</w:t>
      </w:r>
      <w:r>
        <w:rPr>
          <w:rFonts w:hint="eastAsia" w:ascii="宋体" w:hAnsi="宋体" w:eastAsia="宋体" w:cs="宋体"/>
          <w:color w:val="auto"/>
          <w:sz w:val="21"/>
          <w:szCs w:val="21"/>
          <w:lang w:val="en-US" w:eastAsia="zh-CN"/>
        </w:rPr>
        <w:t>。数据表明升华硫是颗粒物的主要成分，H₂S是恶臭异味的主要来源，熔硫尾气治理的核心任务在于高效捕集亚微米级升华硫并深度脱除H₂S。</w:t>
      </w:r>
    </w:p>
    <w:p w14:paraId="3A8D056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表1熔硫尾气典型工况参数统计</w:t>
      </w:r>
    </w:p>
    <w:tbl>
      <w:tblPr>
        <w:tblStyle w:val="17"/>
        <w:tblW w:w="8519"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Layout w:type="fixed"/>
        <w:tblCellMar>
          <w:top w:w="0" w:type="dxa"/>
          <w:left w:w="108" w:type="dxa"/>
          <w:bottom w:w="0" w:type="dxa"/>
          <w:right w:w="108" w:type="dxa"/>
        </w:tblCellMar>
      </w:tblPr>
      <w:tblGrid>
        <w:gridCol w:w="2991"/>
        <w:gridCol w:w="1825"/>
        <w:gridCol w:w="2160"/>
        <w:gridCol w:w="1543"/>
      </w:tblGrid>
      <w:tr w14:paraId="6355F5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0" w:hRule="atLeast"/>
        </w:trPr>
        <w:tc>
          <w:tcPr>
            <w:tcW w:w="2991" w:type="dxa"/>
            <w:tcBorders>
              <w:tl2br w:val="nil"/>
              <w:tr2bl w:val="nil"/>
            </w:tcBorders>
            <w:shd w:val="clear" w:color="auto" w:fill="auto"/>
            <w:noWrap/>
            <w:vAlign w:val="center"/>
          </w:tcPr>
          <w:p w14:paraId="724B70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参数</w:t>
            </w:r>
          </w:p>
        </w:tc>
        <w:tc>
          <w:tcPr>
            <w:tcW w:w="1825" w:type="dxa"/>
            <w:tcBorders>
              <w:tl2br w:val="nil"/>
              <w:tr2bl w:val="nil"/>
            </w:tcBorders>
            <w:shd w:val="clear" w:color="auto" w:fill="auto"/>
            <w:noWrap/>
            <w:vAlign w:val="center"/>
          </w:tcPr>
          <w:p w14:paraId="4FA92A1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单位</w:t>
            </w:r>
          </w:p>
        </w:tc>
        <w:tc>
          <w:tcPr>
            <w:tcW w:w="2160" w:type="dxa"/>
            <w:tcBorders>
              <w:tl2br w:val="nil"/>
              <w:tr2bl w:val="nil"/>
            </w:tcBorders>
            <w:shd w:val="clear" w:color="auto" w:fill="auto"/>
            <w:noWrap/>
            <w:vAlign w:val="center"/>
          </w:tcPr>
          <w:p w14:paraId="6D25DD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典型范围</w:t>
            </w:r>
          </w:p>
        </w:tc>
        <w:tc>
          <w:tcPr>
            <w:tcW w:w="1543" w:type="dxa"/>
            <w:tcBorders>
              <w:tl2br w:val="nil"/>
              <w:tr2bl w:val="nil"/>
            </w:tcBorders>
            <w:shd w:val="clear" w:color="auto" w:fill="auto"/>
            <w:noWrap/>
            <w:vAlign w:val="center"/>
          </w:tcPr>
          <w:p w14:paraId="711697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平均值</w:t>
            </w:r>
          </w:p>
        </w:tc>
      </w:tr>
      <w:tr w14:paraId="5C73B2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0" w:hRule="atLeast"/>
        </w:trPr>
        <w:tc>
          <w:tcPr>
            <w:tcW w:w="2991" w:type="dxa"/>
            <w:tcBorders>
              <w:tl2br w:val="nil"/>
              <w:tr2bl w:val="nil"/>
            </w:tcBorders>
            <w:shd w:val="clear" w:color="auto" w:fill="auto"/>
            <w:noWrap/>
            <w:vAlign w:val="center"/>
          </w:tcPr>
          <w:p w14:paraId="38F3CED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气量（实际状态）</w:t>
            </w:r>
          </w:p>
        </w:tc>
        <w:tc>
          <w:tcPr>
            <w:tcW w:w="1825" w:type="dxa"/>
            <w:tcBorders>
              <w:tl2br w:val="nil"/>
              <w:tr2bl w:val="nil"/>
            </w:tcBorders>
            <w:shd w:val="clear" w:color="auto" w:fill="auto"/>
            <w:noWrap/>
            <w:vAlign w:val="center"/>
          </w:tcPr>
          <w:p w14:paraId="6F44066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m³/h</w:t>
            </w:r>
          </w:p>
        </w:tc>
        <w:tc>
          <w:tcPr>
            <w:tcW w:w="2160" w:type="dxa"/>
            <w:tcBorders>
              <w:tl2br w:val="nil"/>
              <w:tr2bl w:val="nil"/>
            </w:tcBorders>
            <w:shd w:val="clear" w:color="auto" w:fill="auto"/>
            <w:noWrap/>
            <w:vAlign w:val="center"/>
          </w:tcPr>
          <w:p w14:paraId="1E1955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10000~35000</w:t>
            </w:r>
          </w:p>
        </w:tc>
        <w:tc>
          <w:tcPr>
            <w:tcW w:w="1543" w:type="dxa"/>
            <w:tcBorders>
              <w:tl2br w:val="nil"/>
              <w:tr2bl w:val="nil"/>
            </w:tcBorders>
            <w:shd w:val="clear" w:color="auto" w:fill="auto"/>
            <w:noWrap/>
            <w:vAlign w:val="center"/>
          </w:tcPr>
          <w:p w14:paraId="401282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22000</w:t>
            </w:r>
          </w:p>
        </w:tc>
      </w:tr>
      <w:tr w14:paraId="232E43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0" w:hRule="atLeast"/>
        </w:trPr>
        <w:tc>
          <w:tcPr>
            <w:tcW w:w="2991" w:type="dxa"/>
            <w:tcBorders>
              <w:tl2br w:val="nil"/>
              <w:tr2bl w:val="nil"/>
            </w:tcBorders>
            <w:shd w:val="clear" w:color="auto" w:fill="auto"/>
            <w:noWrap/>
            <w:vAlign w:val="center"/>
          </w:tcPr>
          <w:p w14:paraId="212E0F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温度</w:t>
            </w:r>
          </w:p>
        </w:tc>
        <w:tc>
          <w:tcPr>
            <w:tcW w:w="1825" w:type="dxa"/>
            <w:tcBorders>
              <w:tl2br w:val="nil"/>
              <w:tr2bl w:val="nil"/>
            </w:tcBorders>
            <w:shd w:val="clear" w:color="auto" w:fill="auto"/>
            <w:noWrap/>
            <w:vAlign w:val="center"/>
          </w:tcPr>
          <w:p w14:paraId="6B413A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w:t>
            </w:r>
          </w:p>
        </w:tc>
        <w:tc>
          <w:tcPr>
            <w:tcW w:w="2160" w:type="dxa"/>
            <w:tcBorders>
              <w:tl2br w:val="nil"/>
              <w:tr2bl w:val="nil"/>
            </w:tcBorders>
            <w:shd w:val="clear" w:color="auto" w:fill="auto"/>
            <w:noWrap/>
            <w:vAlign w:val="center"/>
          </w:tcPr>
          <w:p w14:paraId="40E7C7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60~120</w:t>
            </w:r>
          </w:p>
        </w:tc>
        <w:tc>
          <w:tcPr>
            <w:tcW w:w="1543" w:type="dxa"/>
            <w:tcBorders>
              <w:tl2br w:val="nil"/>
              <w:tr2bl w:val="nil"/>
            </w:tcBorders>
            <w:shd w:val="clear" w:color="auto" w:fill="auto"/>
            <w:noWrap/>
            <w:vAlign w:val="center"/>
          </w:tcPr>
          <w:p w14:paraId="21F09D2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85</w:t>
            </w:r>
          </w:p>
        </w:tc>
      </w:tr>
      <w:tr w14:paraId="70E962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5" w:hRule="atLeast"/>
        </w:trPr>
        <w:tc>
          <w:tcPr>
            <w:tcW w:w="2991" w:type="dxa"/>
            <w:tcBorders>
              <w:tl2br w:val="nil"/>
              <w:tr2bl w:val="nil"/>
            </w:tcBorders>
            <w:shd w:val="clear" w:color="auto" w:fill="auto"/>
            <w:noWrap/>
            <w:vAlign w:val="center"/>
          </w:tcPr>
          <w:p w14:paraId="11C3FE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含湿量</w:t>
            </w:r>
          </w:p>
        </w:tc>
        <w:tc>
          <w:tcPr>
            <w:tcW w:w="1825" w:type="dxa"/>
            <w:tcBorders>
              <w:tl2br w:val="nil"/>
              <w:tr2bl w:val="nil"/>
            </w:tcBorders>
            <w:shd w:val="clear" w:color="auto" w:fill="auto"/>
            <w:noWrap/>
            <w:vAlign w:val="center"/>
          </w:tcPr>
          <w:p w14:paraId="26CC36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w:t>
            </w:r>
          </w:p>
        </w:tc>
        <w:tc>
          <w:tcPr>
            <w:tcW w:w="2160" w:type="dxa"/>
            <w:tcBorders>
              <w:tl2br w:val="nil"/>
              <w:tr2bl w:val="nil"/>
            </w:tcBorders>
            <w:shd w:val="clear" w:color="auto" w:fill="auto"/>
            <w:noWrap/>
            <w:vAlign w:val="center"/>
          </w:tcPr>
          <w:p w14:paraId="79F08B1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20~40</w:t>
            </w:r>
          </w:p>
        </w:tc>
        <w:tc>
          <w:tcPr>
            <w:tcW w:w="1543" w:type="dxa"/>
            <w:tcBorders>
              <w:tl2br w:val="nil"/>
              <w:tr2bl w:val="nil"/>
            </w:tcBorders>
            <w:shd w:val="clear" w:color="auto" w:fill="auto"/>
            <w:noWrap/>
            <w:vAlign w:val="center"/>
          </w:tcPr>
          <w:p w14:paraId="0484B5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32</w:t>
            </w:r>
          </w:p>
        </w:tc>
      </w:tr>
      <w:tr w14:paraId="010CF5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0" w:hRule="atLeast"/>
        </w:trPr>
        <w:tc>
          <w:tcPr>
            <w:tcW w:w="2991" w:type="dxa"/>
            <w:tcBorders>
              <w:tl2br w:val="nil"/>
              <w:tr2bl w:val="nil"/>
            </w:tcBorders>
            <w:shd w:val="clear" w:color="auto" w:fill="auto"/>
            <w:noWrap/>
            <w:vAlign w:val="center"/>
          </w:tcPr>
          <w:p w14:paraId="643ED5F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颗粒物（总）</w:t>
            </w:r>
          </w:p>
        </w:tc>
        <w:tc>
          <w:tcPr>
            <w:tcW w:w="1825" w:type="dxa"/>
            <w:tcBorders>
              <w:tl2br w:val="nil"/>
              <w:tr2bl w:val="nil"/>
            </w:tcBorders>
            <w:shd w:val="clear" w:color="auto" w:fill="auto"/>
            <w:noWrap/>
            <w:vAlign w:val="center"/>
          </w:tcPr>
          <w:p w14:paraId="497210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mg/m³</w:t>
            </w:r>
          </w:p>
        </w:tc>
        <w:tc>
          <w:tcPr>
            <w:tcW w:w="2160" w:type="dxa"/>
            <w:tcBorders>
              <w:tl2br w:val="nil"/>
              <w:tr2bl w:val="nil"/>
            </w:tcBorders>
            <w:shd w:val="clear" w:color="auto" w:fill="auto"/>
            <w:noWrap/>
            <w:vAlign w:val="center"/>
          </w:tcPr>
          <w:p w14:paraId="5C15670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200~900</w:t>
            </w:r>
          </w:p>
        </w:tc>
        <w:tc>
          <w:tcPr>
            <w:tcW w:w="1543" w:type="dxa"/>
            <w:tcBorders>
              <w:tl2br w:val="nil"/>
              <w:tr2bl w:val="nil"/>
            </w:tcBorders>
            <w:shd w:val="clear" w:color="auto" w:fill="auto"/>
            <w:noWrap/>
            <w:vAlign w:val="center"/>
          </w:tcPr>
          <w:p w14:paraId="6BBCDE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480</w:t>
            </w:r>
          </w:p>
        </w:tc>
      </w:tr>
      <w:tr w14:paraId="181547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0" w:hRule="atLeast"/>
        </w:trPr>
        <w:tc>
          <w:tcPr>
            <w:tcW w:w="2991" w:type="dxa"/>
            <w:tcBorders>
              <w:tl2br w:val="nil"/>
              <w:tr2bl w:val="nil"/>
            </w:tcBorders>
            <w:shd w:val="clear" w:color="auto" w:fill="auto"/>
            <w:noWrap/>
            <w:vAlign w:val="center"/>
          </w:tcPr>
          <w:p w14:paraId="6D1296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其中升华硫占比</w:t>
            </w:r>
          </w:p>
        </w:tc>
        <w:tc>
          <w:tcPr>
            <w:tcW w:w="1825" w:type="dxa"/>
            <w:tcBorders>
              <w:tl2br w:val="nil"/>
              <w:tr2bl w:val="nil"/>
            </w:tcBorders>
            <w:shd w:val="clear" w:color="auto" w:fill="auto"/>
            <w:noWrap/>
            <w:vAlign w:val="center"/>
          </w:tcPr>
          <w:p w14:paraId="02DB060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w:t>
            </w:r>
          </w:p>
        </w:tc>
        <w:tc>
          <w:tcPr>
            <w:tcW w:w="2160" w:type="dxa"/>
            <w:tcBorders>
              <w:tl2br w:val="nil"/>
              <w:tr2bl w:val="nil"/>
            </w:tcBorders>
            <w:shd w:val="clear" w:color="auto" w:fill="auto"/>
            <w:noWrap/>
            <w:vAlign w:val="center"/>
          </w:tcPr>
          <w:p w14:paraId="5DF406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40~70</w:t>
            </w:r>
          </w:p>
        </w:tc>
        <w:tc>
          <w:tcPr>
            <w:tcW w:w="1543" w:type="dxa"/>
            <w:tcBorders>
              <w:tl2br w:val="nil"/>
              <w:tr2bl w:val="nil"/>
            </w:tcBorders>
            <w:shd w:val="clear" w:color="auto" w:fill="auto"/>
            <w:noWrap/>
            <w:vAlign w:val="center"/>
          </w:tcPr>
          <w:p w14:paraId="189ED4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55</w:t>
            </w:r>
          </w:p>
        </w:tc>
      </w:tr>
      <w:tr w14:paraId="33EFBF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0" w:hRule="atLeast"/>
        </w:trPr>
        <w:tc>
          <w:tcPr>
            <w:tcW w:w="2991" w:type="dxa"/>
            <w:tcBorders>
              <w:tl2br w:val="nil"/>
              <w:tr2bl w:val="nil"/>
            </w:tcBorders>
            <w:shd w:val="clear" w:color="auto" w:fill="auto"/>
            <w:noWrap/>
            <w:vAlign w:val="center"/>
          </w:tcPr>
          <w:p w14:paraId="09BC18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H₂S</w:t>
            </w:r>
          </w:p>
        </w:tc>
        <w:tc>
          <w:tcPr>
            <w:tcW w:w="1825" w:type="dxa"/>
            <w:tcBorders>
              <w:tl2br w:val="nil"/>
              <w:tr2bl w:val="nil"/>
            </w:tcBorders>
            <w:shd w:val="clear" w:color="auto" w:fill="auto"/>
            <w:noWrap/>
            <w:vAlign w:val="center"/>
          </w:tcPr>
          <w:p w14:paraId="6870291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mg/m³</w:t>
            </w:r>
          </w:p>
        </w:tc>
        <w:tc>
          <w:tcPr>
            <w:tcW w:w="2160" w:type="dxa"/>
            <w:tcBorders>
              <w:tl2br w:val="nil"/>
              <w:tr2bl w:val="nil"/>
            </w:tcBorders>
            <w:shd w:val="clear" w:color="auto" w:fill="auto"/>
            <w:noWrap/>
            <w:vAlign w:val="center"/>
          </w:tcPr>
          <w:p w14:paraId="04C8277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50~500</w:t>
            </w:r>
          </w:p>
        </w:tc>
        <w:tc>
          <w:tcPr>
            <w:tcW w:w="1543" w:type="dxa"/>
            <w:tcBorders>
              <w:tl2br w:val="nil"/>
              <w:tr2bl w:val="nil"/>
            </w:tcBorders>
            <w:shd w:val="clear" w:color="auto" w:fill="auto"/>
            <w:noWrap/>
            <w:vAlign w:val="center"/>
          </w:tcPr>
          <w:p w14:paraId="76C9CFE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180</w:t>
            </w:r>
          </w:p>
        </w:tc>
      </w:tr>
      <w:tr w14:paraId="5EC00C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0" w:hRule="atLeast"/>
        </w:trPr>
        <w:tc>
          <w:tcPr>
            <w:tcW w:w="2991" w:type="dxa"/>
            <w:tcBorders>
              <w:tl2br w:val="nil"/>
              <w:tr2bl w:val="nil"/>
            </w:tcBorders>
            <w:shd w:val="clear" w:color="auto" w:fill="auto"/>
            <w:noWrap/>
            <w:vAlign w:val="center"/>
          </w:tcPr>
          <w:p w14:paraId="5BCF79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SO₂</w:t>
            </w:r>
          </w:p>
        </w:tc>
        <w:tc>
          <w:tcPr>
            <w:tcW w:w="1825" w:type="dxa"/>
            <w:tcBorders>
              <w:tl2br w:val="nil"/>
              <w:tr2bl w:val="nil"/>
            </w:tcBorders>
            <w:shd w:val="clear" w:color="auto" w:fill="auto"/>
            <w:noWrap/>
            <w:vAlign w:val="center"/>
          </w:tcPr>
          <w:p w14:paraId="03AE8A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mg/m³</w:t>
            </w:r>
          </w:p>
        </w:tc>
        <w:tc>
          <w:tcPr>
            <w:tcW w:w="2160" w:type="dxa"/>
            <w:tcBorders>
              <w:tl2br w:val="nil"/>
              <w:tr2bl w:val="nil"/>
            </w:tcBorders>
            <w:shd w:val="clear" w:color="auto" w:fill="auto"/>
            <w:noWrap/>
            <w:vAlign w:val="center"/>
          </w:tcPr>
          <w:p w14:paraId="17FEBD4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20~100</w:t>
            </w:r>
          </w:p>
        </w:tc>
        <w:tc>
          <w:tcPr>
            <w:tcW w:w="1543" w:type="dxa"/>
            <w:tcBorders>
              <w:tl2br w:val="nil"/>
              <w:tr2bl w:val="nil"/>
            </w:tcBorders>
            <w:shd w:val="clear" w:color="auto" w:fill="auto"/>
            <w:noWrap/>
            <w:vAlign w:val="center"/>
          </w:tcPr>
          <w:p w14:paraId="705420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45</w:t>
            </w:r>
          </w:p>
        </w:tc>
      </w:tr>
    </w:tbl>
    <w:p w14:paraId="5288A696">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3主流治理技术的性能比较与工程瓶颈</w:t>
      </w:r>
    </w:p>
    <w:p w14:paraId="4AED12DA">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3.1冷凝回收法的原理及效能边界</w:t>
      </w:r>
    </w:p>
    <w:p w14:paraId="32B93FAF">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冷凝回收法利用硫蒸气与空气露点之间的巨大差异，通过降温使硫蒸气过饱和凝华，再采用过滤或沉降方式捕集。根据换热形式的不同可分为直接喷淋冷凝与间接换热冷凝两类，直接喷淋冷凝将冷却水或稀碱液直接喷入尾气，利用气液接触快速降温，其优点是设备简单、压降低，但会产生大量含硫废水且回收的硫磺纯度不高。间接换热冷凝采用管壳式换热器，尾气走壳程，冷却介质走管程，硫在换热管外壁凝华，靠重力或机械刮除回收，其优点是回收硫磺纯度高、无废水，缺点是换热面易被硫垢覆盖，传热效率衰减快</w:t>
      </w:r>
      <w:r>
        <w:rPr>
          <w:rFonts w:hint="eastAsia" w:ascii="宋体" w:hAnsi="宋体" w:eastAsia="宋体" w:cs="宋体"/>
          <w:color w:val="auto"/>
          <w:sz w:val="21"/>
          <w:szCs w:val="21"/>
          <w:vertAlign w:val="superscript"/>
          <w:lang w:val="en-US" w:eastAsia="zh-CN"/>
        </w:rPr>
        <w:t>[4]</w:t>
      </w:r>
      <w:r>
        <w:rPr>
          <w:rFonts w:hint="eastAsia" w:ascii="宋体" w:hAnsi="宋体" w:eastAsia="宋体" w:cs="宋体"/>
          <w:color w:val="auto"/>
          <w:sz w:val="21"/>
          <w:szCs w:val="21"/>
          <w:lang w:val="en-US" w:eastAsia="zh-CN"/>
        </w:rPr>
        <w:t>。</w:t>
      </w:r>
    </w:p>
    <w:p w14:paraId="4BB024BF">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某800kt/a硫酸装置采用“两级直接喷淋冷凝+电除雾”工艺处理熔硫尾气。数据表明第一级喷淋的硫资源回收率约为78%，两级总回收率约85%；但出口颗粒物浓度仍高达120~180mg/m³，主要为未凝华的亚微米升华硫；电除雾器因升华硫黏附导致电压下降，每15~20天即需清洗一次。由此可见，冷凝法只能有效去除硫蒸气，对H₂S、SO₂几乎没有去除能力，单独应用无法满足现行排放标准，必须作为预处理单元与后续碱洗工艺联用。</w:t>
      </w:r>
    </w:p>
    <w:p w14:paraId="071E8DC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3.2碱液洗涤法的两种典型构型及适用性</w:t>
      </w:r>
    </w:p>
    <w:p w14:paraId="61BE6217">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碱液洗涤法是当前应用最广的技术路线，其核心是采用NaOH或Na₂CO₃溶液在洗涤塔内同时实现降温、除尘和脱酸。根据气液接触方式的不同，主要分为文丘里洗涤器和填料塔/空塔两种构型，二者在净化效率、压降特性及堵塞风险方面存在显著差异。</w:t>
      </w:r>
    </w:p>
    <w:p w14:paraId="07C25D0E">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文丘里洗涤器利用尾气经收缩段加速至50~80m/s，在喉管处将洗涤液撕裂为微细液滴形成剧烈湍流，颗粒物与液滴发生高速惯性碰撞而被捕集。工业运行数据表明文丘里洗涤器对大于2μm颗粒的捕集效率超过95%，对0.5~2μm升华硫的效率约为70%~85%，但对小于0.5μm颗粒的效率低于50%</w:t>
      </w:r>
      <w:r>
        <w:rPr>
          <w:rFonts w:hint="eastAsia" w:ascii="宋体" w:hAnsi="宋体" w:eastAsia="宋体" w:cs="宋体"/>
          <w:color w:val="auto"/>
          <w:sz w:val="21"/>
          <w:szCs w:val="21"/>
          <w:vertAlign w:val="superscript"/>
          <w:lang w:val="en-US" w:eastAsia="zh-CN"/>
        </w:rPr>
        <w:t>[4,6]</w:t>
      </w:r>
      <w:r>
        <w:rPr>
          <w:rFonts w:hint="eastAsia" w:ascii="宋体" w:hAnsi="宋体" w:eastAsia="宋体" w:cs="宋体"/>
          <w:color w:val="auto"/>
          <w:sz w:val="21"/>
          <w:szCs w:val="21"/>
          <w:lang w:val="en-US" w:eastAsia="zh-CN"/>
        </w:rPr>
        <w:t>。文丘里洗涤器的压降高达5~10kPa，对应风机能耗增加30%~50%；其H₂S脱除率主要依赖物理溶解，化学反应不充分，通常为70%~90%。然而喉管处的高剪切力可有效防止固体沉积，因此基本不存在堵塞问题。</w:t>
      </w:r>
    </w:p>
    <w:p w14:paraId="5727E06B">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相比之下，填料塔的运行气速较低，通过填料层提供巨大的气液接触面积和较长的停留时间，使H₂S和SO₂充分溶解并与碱液反应。某企业的填料塔运行数据显示在pH≥9的条件下，H₂S脱除率可达92%~96%，SO₂脱除率超过90%，压降仅0.5~2kPa</w:t>
      </w:r>
      <w:r>
        <w:rPr>
          <w:rFonts w:hint="eastAsia" w:ascii="宋体" w:hAnsi="宋体" w:eastAsia="宋体" w:cs="宋体"/>
          <w:color w:val="auto"/>
          <w:sz w:val="21"/>
          <w:szCs w:val="21"/>
          <w:vertAlign w:val="superscript"/>
          <w:lang w:val="en-US" w:eastAsia="zh-CN"/>
        </w:rPr>
        <w:t>[4]</w:t>
      </w:r>
      <w:r>
        <w:rPr>
          <w:rFonts w:hint="eastAsia" w:ascii="宋体" w:hAnsi="宋体" w:eastAsia="宋体" w:cs="宋体"/>
          <w:color w:val="auto"/>
          <w:sz w:val="21"/>
          <w:szCs w:val="21"/>
          <w:lang w:val="en-US" w:eastAsia="zh-CN"/>
        </w:rPr>
        <w:t>。但该设备在粉尘与微细颗粒物拦截方面存在明显短板，除尘效果受颗粒粒径影响极大，对大于5μm颗粒约为80%，但对小于2μm升华硫仅40%~60%。更严重的是，当处理升华硫含量超过300mg/m³的尾气时，填料层压降在60~90天内从0.8kPa升至3.5kPa，需停车清洗或更换填料。空塔通过取消填料、采用多层高密度喷淋来规避堵塞风险，虽然气液接触面积减小导致H₂S脱除率降至85%~90%，但彻底消除了填料堵塞问题，连续运行周期可达200天以上</w:t>
      </w:r>
      <w:r>
        <w:rPr>
          <w:rFonts w:hint="eastAsia" w:ascii="宋体" w:hAnsi="宋体" w:eastAsia="宋体" w:cs="宋体"/>
          <w:color w:val="auto"/>
          <w:sz w:val="21"/>
          <w:szCs w:val="21"/>
          <w:vertAlign w:val="superscript"/>
          <w:lang w:val="en-US" w:eastAsia="zh-CN"/>
        </w:rPr>
        <w:t>[3]</w:t>
      </w:r>
      <w:r>
        <w:rPr>
          <w:rFonts w:hint="eastAsia" w:ascii="宋体" w:hAnsi="宋体" w:eastAsia="宋体" w:cs="宋体"/>
          <w:color w:val="auto"/>
          <w:sz w:val="21"/>
          <w:szCs w:val="21"/>
          <w:lang w:val="en-US" w:eastAsia="zh-CN"/>
        </w:rPr>
        <w:t>。两类设备的性能对比如表2所示。</w:t>
      </w:r>
    </w:p>
    <w:p w14:paraId="44B5CEC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表2文丘里洗涤器、填料塔与空塔的性能对比</w:t>
      </w:r>
    </w:p>
    <w:tbl>
      <w:tblPr>
        <w:tblStyle w:val="17"/>
        <w:tblW w:w="8519"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Layout w:type="fixed"/>
        <w:tblCellMar>
          <w:top w:w="0" w:type="dxa"/>
          <w:left w:w="108" w:type="dxa"/>
          <w:bottom w:w="0" w:type="dxa"/>
          <w:right w:w="108" w:type="dxa"/>
        </w:tblCellMar>
      </w:tblPr>
      <w:tblGrid>
        <w:gridCol w:w="3700"/>
        <w:gridCol w:w="1791"/>
        <w:gridCol w:w="1590"/>
        <w:gridCol w:w="1438"/>
      </w:tblGrid>
      <w:tr w14:paraId="7F96D3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trPr>
        <w:tc>
          <w:tcPr>
            <w:tcW w:w="3700" w:type="dxa"/>
            <w:tcBorders>
              <w:tl2br w:val="nil"/>
              <w:tr2bl w:val="nil"/>
            </w:tcBorders>
            <w:shd w:val="clear" w:color="auto" w:fill="auto"/>
            <w:noWrap/>
            <w:vAlign w:val="center"/>
          </w:tcPr>
          <w:p w14:paraId="3558B1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指标</w:t>
            </w:r>
          </w:p>
        </w:tc>
        <w:tc>
          <w:tcPr>
            <w:tcW w:w="1791" w:type="dxa"/>
            <w:tcBorders>
              <w:tl2br w:val="nil"/>
              <w:tr2bl w:val="nil"/>
            </w:tcBorders>
            <w:shd w:val="clear" w:color="auto" w:fill="auto"/>
            <w:noWrap/>
            <w:vAlign w:val="center"/>
          </w:tcPr>
          <w:p w14:paraId="4ED033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文丘里洗涤器</w:t>
            </w:r>
          </w:p>
        </w:tc>
        <w:tc>
          <w:tcPr>
            <w:tcW w:w="1590" w:type="dxa"/>
            <w:tcBorders>
              <w:tl2br w:val="nil"/>
              <w:tr2bl w:val="nil"/>
            </w:tcBorders>
            <w:shd w:val="clear" w:color="auto" w:fill="auto"/>
            <w:noWrap/>
            <w:vAlign w:val="center"/>
          </w:tcPr>
          <w:p w14:paraId="6DA9F0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填料塔</w:t>
            </w:r>
          </w:p>
        </w:tc>
        <w:tc>
          <w:tcPr>
            <w:tcW w:w="1438" w:type="dxa"/>
            <w:tcBorders>
              <w:tl2br w:val="nil"/>
              <w:tr2bl w:val="nil"/>
            </w:tcBorders>
            <w:shd w:val="clear" w:color="auto" w:fill="auto"/>
            <w:noWrap/>
            <w:vAlign w:val="center"/>
          </w:tcPr>
          <w:p w14:paraId="1D98FD9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空塔</w:t>
            </w:r>
          </w:p>
        </w:tc>
      </w:tr>
      <w:tr w14:paraId="0A6DD7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0" w:hRule="atLeast"/>
        </w:trPr>
        <w:tc>
          <w:tcPr>
            <w:tcW w:w="3700" w:type="dxa"/>
            <w:tcBorders>
              <w:tl2br w:val="nil"/>
              <w:tr2bl w:val="nil"/>
            </w:tcBorders>
            <w:shd w:val="clear" w:color="auto" w:fill="auto"/>
            <w:noWrap/>
            <w:vAlign w:val="center"/>
          </w:tcPr>
          <w:p w14:paraId="467DA0F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对升华硫捕集效率（0.5~2μm）</w:t>
            </w:r>
          </w:p>
        </w:tc>
        <w:tc>
          <w:tcPr>
            <w:tcW w:w="1791" w:type="dxa"/>
            <w:tcBorders>
              <w:tl2br w:val="nil"/>
              <w:tr2bl w:val="nil"/>
            </w:tcBorders>
            <w:shd w:val="clear" w:color="auto" w:fill="auto"/>
            <w:noWrap/>
            <w:vAlign w:val="center"/>
          </w:tcPr>
          <w:p w14:paraId="3A215A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70%~85%</w:t>
            </w:r>
          </w:p>
        </w:tc>
        <w:tc>
          <w:tcPr>
            <w:tcW w:w="1590" w:type="dxa"/>
            <w:tcBorders>
              <w:tl2br w:val="nil"/>
              <w:tr2bl w:val="nil"/>
            </w:tcBorders>
            <w:shd w:val="clear" w:color="auto" w:fill="auto"/>
            <w:noWrap/>
            <w:vAlign w:val="center"/>
          </w:tcPr>
          <w:p w14:paraId="4D80EC6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40%~60%</w:t>
            </w:r>
          </w:p>
        </w:tc>
        <w:tc>
          <w:tcPr>
            <w:tcW w:w="1438" w:type="dxa"/>
            <w:tcBorders>
              <w:tl2br w:val="nil"/>
              <w:tr2bl w:val="nil"/>
            </w:tcBorders>
            <w:shd w:val="clear" w:color="auto" w:fill="auto"/>
            <w:noWrap/>
            <w:vAlign w:val="center"/>
          </w:tcPr>
          <w:p w14:paraId="3AC8063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50%~65%</w:t>
            </w:r>
          </w:p>
        </w:tc>
      </w:tr>
      <w:tr w14:paraId="670AE2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0" w:hRule="atLeast"/>
        </w:trPr>
        <w:tc>
          <w:tcPr>
            <w:tcW w:w="3700" w:type="dxa"/>
            <w:tcBorders>
              <w:tl2br w:val="nil"/>
              <w:tr2bl w:val="nil"/>
            </w:tcBorders>
            <w:shd w:val="clear" w:color="auto" w:fill="auto"/>
            <w:noWrap/>
            <w:vAlign w:val="center"/>
          </w:tcPr>
          <w:p w14:paraId="2AB854D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对H₂S脱除效率</w:t>
            </w:r>
          </w:p>
        </w:tc>
        <w:tc>
          <w:tcPr>
            <w:tcW w:w="1791" w:type="dxa"/>
            <w:tcBorders>
              <w:tl2br w:val="nil"/>
              <w:tr2bl w:val="nil"/>
            </w:tcBorders>
            <w:shd w:val="clear" w:color="auto" w:fill="auto"/>
            <w:noWrap/>
            <w:vAlign w:val="center"/>
          </w:tcPr>
          <w:p w14:paraId="604B01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70%~90%</w:t>
            </w:r>
          </w:p>
        </w:tc>
        <w:tc>
          <w:tcPr>
            <w:tcW w:w="1590" w:type="dxa"/>
            <w:tcBorders>
              <w:tl2br w:val="nil"/>
              <w:tr2bl w:val="nil"/>
            </w:tcBorders>
            <w:shd w:val="clear" w:color="auto" w:fill="auto"/>
            <w:noWrap/>
            <w:vAlign w:val="center"/>
          </w:tcPr>
          <w:p w14:paraId="257C21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92%~96%</w:t>
            </w:r>
          </w:p>
        </w:tc>
        <w:tc>
          <w:tcPr>
            <w:tcW w:w="1438" w:type="dxa"/>
            <w:tcBorders>
              <w:tl2br w:val="nil"/>
              <w:tr2bl w:val="nil"/>
            </w:tcBorders>
            <w:shd w:val="clear" w:color="auto" w:fill="auto"/>
            <w:noWrap/>
            <w:vAlign w:val="center"/>
          </w:tcPr>
          <w:p w14:paraId="4252114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85%~90%</w:t>
            </w:r>
          </w:p>
        </w:tc>
      </w:tr>
      <w:tr w14:paraId="485B5D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0" w:hRule="atLeast"/>
        </w:trPr>
        <w:tc>
          <w:tcPr>
            <w:tcW w:w="3700" w:type="dxa"/>
            <w:tcBorders>
              <w:tl2br w:val="nil"/>
              <w:tr2bl w:val="nil"/>
            </w:tcBorders>
            <w:shd w:val="clear" w:color="auto" w:fill="auto"/>
            <w:noWrap/>
            <w:vAlign w:val="center"/>
          </w:tcPr>
          <w:p w14:paraId="6A9EA52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压降（kPa）</w:t>
            </w:r>
          </w:p>
        </w:tc>
        <w:tc>
          <w:tcPr>
            <w:tcW w:w="1791" w:type="dxa"/>
            <w:tcBorders>
              <w:tl2br w:val="nil"/>
              <w:tr2bl w:val="nil"/>
            </w:tcBorders>
            <w:shd w:val="clear" w:color="auto" w:fill="auto"/>
            <w:noWrap/>
            <w:vAlign w:val="center"/>
          </w:tcPr>
          <w:p w14:paraId="20EE24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5~10</w:t>
            </w:r>
          </w:p>
        </w:tc>
        <w:tc>
          <w:tcPr>
            <w:tcW w:w="1590" w:type="dxa"/>
            <w:tcBorders>
              <w:tl2br w:val="nil"/>
              <w:tr2bl w:val="nil"/>
            </w:tcBorders>
            <w:shd w:val="clear" w:color="auto" w:fill="auto"/>
            <w:noWrap/>
            <w:vAlign w:val="center"/>
          </w:tcPr>
          <w:p w14:paraId="00459C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0.5~2</w:t>
            </w:r>
          </w:p>
        </w:tc>
        <w:tc>
          <w:tcPr>
            <w:tcW w:w="1438" w:type="dxa"/>
            <w:tcBorders>
              <w:tl2br w:val="nil"/>
              <w:tr2bl w:val="nil"/>
            </w:tcBorders>
            <w:shd w:val="clear" w:color="auto" w:fill="auto"/>
            <w:noWrap/>
            <w:vAlign w:val="center"/>
          </w:tcPr>
          <w:p w14:paraId="52C2C1B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0.5~1.5</w:t>
            </w:r>
          </w:p>
        </w:tc>
      </w:tr>
      <w:tr w14:paraId="54DC70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0" w:hRule="atLeast"/>
        </w:trPr>
        <w:tc>
          <w:tcPr>
            <w:tcW w:w="3700" w:type="dxa"/>
            <w:tcBorders>
              <w:tl2br w:val="nil"/>
              <w:tr2bl w:val="nil"/>
            </w:tcBorders>
            <w:shd w:val="clear" w:color="auto" w:fill="auto"/>
            <w:noWrap/>
            <w:vAlign w:val="center"/>
          </w:tcPr>
          <w:p w14:paraId="2F493F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堵塞风险</w:t>
            </w:r>
          </w:p>
        </w:tc>
        <w:tc>
          <w:tcPr>
            <w:tcW w:w="1791" w:type="dxa"/>
            <w:tcBorders>
              <w:tl2br w:val="nil"/>
              <w:tr2bl w:val="nil"/>
            </w:tcBorders>
            <w:shd w:val="clear" w:color="auto" w:fill="auto"/>
            <w:noWrap/>
            <w:vAlign w:val="center"/>
          </w:tcPr>
          <w:p w14:paraId="354BC2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极低</w:t>
            </w:r>
          </w:p>
        </w:tc>
        <w:tc>
          <w:tcPr>
            <w:tcW w:w="1590" w:type="dxa"/>
            <w:tcBorders>
              <w:tl2br w:val="nil"/>
              <w:tr2bl w:val="nil"/>
            </w:tcBorders>
            <w:shd w:val="clear" w:color="auto" w:fill="auto"/>
            <w:noWrap/>
            <w:vAlign w:val="center"/>
          </w:tcPr>
          <w:p w14:paraId="4FA317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高</w:t>
            </w:r>
          </w:p>
        </w:tc>
        <w:tc>
          <w:tcPr>
            <w:tcW w:w="1438" w:type="dxa"/>
            <w:tcBorders>
              <w:tl2br w:val="nil"/>
              <w:tr2bl w:val="nil"/>
            </w:tcBorders>
            <w:shd w:val="clear" w:color="auto" w:fill="auto"/>
            <w:noWrap/>
            <w:vAlign w:val="center"/>
          </w:tcPr>
          <w:p w14:paraId="7B73449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极低</w:t>
            </w:r>
          </w:p>
        </w:tc>
      </w:tr>
      <w:tr w14:paraId="7D0945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trPr>
        <w:tc>
          <w:tcPr>
            <w:tcW w:w="3700" w:type="dxa"/>
            <w:tcBorders>
              <w:tl2br w:val="nil"/>
              <w:tr2bl w:val="nil"/>
            </w:tcBorders>
            <w:shd w:val="clear" w:color="auto" w:fill="auto"/>
            <w:noWrap/>
            <w:vAlign w:val="center"/>
          </w:tcPr>
          <w:p w14:paraId="299DA3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相对运行成本</w:t>
            </w:r>
          </w:p>
        </w:tc>
        <w:tc>
          <w:tcPr>
            <w:tcW w:w="1791" w:type="dxa"/>
            <w:tcBorders>
              <w:tl2br w:val="nil"/>
              <w:tr2bl w:val="nil"/>
            </w:tcBorders>
            <w:shd w:val="clear" w:color="auto" w:fill="auto"/>
            <w:noWrap/>
            <w:vAlign w:val="center"/>
          </w:tcPr>
          <w:p w14:paraId="601CB8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高</w:t>
            </w:r>
          </w:p>
        </w:tc>
        <w:tc>
          <w:tcPr>
            <w:tcW w:w="1590" w:type="dxa"/>
            <w:tcBorders>
              <w:tl2br w:val="nil"/>
              <w:tr2bl w:val="nil"/>
            </w:tcBorders>
            <w:shd w:val="clear" w:color="auto" w:fill="auto"/>
            <w:noWrap/>
            <w:vAlign w:val="center"/>
          </w:tcPr>
          <w:p w14:paraId="31044C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中</w:t>
            </w:r>
          </w:p>
        </w:tc>
        <w:tc>
          <w:tcPr>
            <w:tcW w:w="1438" w:type="dxa"/>
            <w:tcBorders>
              <w:tl2br w:val="nil"/>
              <w:tr2bl w:val="nil"/>
            </w:tcBorders>
            <w:shd w:val="clear" w:color="auto" w:fill="auto"/>
            <w:noWrap/>
            <w:vAlign w:val="center"/>
          </w:tcPr>
          <w:p w14:paraId="079572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中</w:t>
            </w:r>
          </w:p>
        </w:tc>
      </w:tr>
    </w:tbl>
    <w:p w14:paraId="2036A708">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基于上述差异，“文丘里+空塔”串联组合成为当前公认的优化方案：前级文丘里洗涤器承担降温与粗除尘，将升华硫浓度降至100mg/m³以下；后级空塔进行H₂S深度吸收，并进一步捕集细颗粒。实际运行表明，该组合可使出口颗粒物低于25mg/m³、H₂S低于5mg/m³，连续运行周期超过210天</w:t>
      </w:r>
      <w:r>
        <w:rPr>
          <w:rFonts w:hint="eastAsia" w:ascii="宋体" w:hAnsi="宋体" w:eastAsia="宋体" w:cs="宋体"/>
          <w:color w:val="auto"/>
          <w:sz w:val="21"/>
          <w:szCs w:val="21"/>
          <w:vertAlign w:val="superscript"/>
          <w:lang w:val="en-US" w:eastAsia="zh-CN"/>
        </w:rPr>
        <w:t>[4,6]</w:t>
      </w:r>
      <w:r>
        <w:rPr>
          <w:rFonts w:hint="eastAsia" w:ascii="宋体" w:hAnsi="宋体" w:eastAsia="宋体" w:cs="宋体"/>
          <w:color w:val="auto"/>
          <w:sz w:val="21"/>
          <w:szCs w:val="21"/>
          <w:lang w:val="en-US" w:eastAsia="zh-CN"/>
        </w:rPr>
        <w:t>。</w:t>
      </w:r>
    </w:p>
    <w:p w14:paraId="68F7048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3.3湿式氧化法的净化极限与经济性</w:t>
      </w:r>
    </w:p>
    <w:p w14:paraId="27A87045">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湿式氧化法（以络合铁法为代表）在液相中借助Fe</w:t>
      </w:r>
      <w:r>
        <w:rPr>
          <w:rFonts w:hint="eastAsia" w:ascii="宋体" w:hAnsi="宋体" w:eastAsia="宋体" w:cs="宋体"/>
          <w:color w:val="auto"/>
          <w:sz w:val="21"/>
          <w:szCs w:val="21"/>
          <w:vertAlign w:val="superscript"/>
          <w:lang w:val="en-US" w:eastAsia="zh-CN"/>
        </w:rPr>
        <w:t>3+</w:t>
      </w:r>
      <w:r>
        <w:rPr>
          <w:rFonts w:hint="eastAsia" w:ascii="宋体" w:hAnsi="宋体" w:eastAsia="宋体" w:cs="宋体"/>
          <w:color w:val="auto"/>
          <w:sz w:val="21"/>
          <w:szCs w:val="21"/>
          <w:lang w:val="en-US" w:eastAsia="zh-CN"/>
        </w:rPr>
        <w:t>/Fe</w:t>
      </w:r>
      <w:r>
        <w:rPr>
          <w:rFonts w:hint="eastAsia" w:ascii="宋体" w:hAnsi="宋体" w:eastAsia="宋体" w:cs="宋体"/>
          <w:color w:val="auto"/>
          <w:sz w:val="21"/>
          <w:szCs w:val="21"/>
          <w:vertAlign w:val="superscript"/>
          <w:lang w:val="en-US" w:eastAsia="zh-CN"/>
        </w:rPr>
        <w:t>2+</w:t>
      </w:r>
      <w:r>
        <w:rPr>
          <w:rFonts w:hint="eastAsia" w:ascii="宋体" w:hAnsi="宋体" w:eastAsia="宋体" w:cs="宋体"/>
          <w:color w:val="auto"/>
          <w:sz w:val="21"/>
          <w:szCs w:val="21"/>
          <w:lang w:val="en-US" w:eastAsia="zh-CN"/>
        </w:rPr>
        <w:t>的循环，将吸收的H₂S直接氧化为单质硫，催化剂再生通过空气氧化实现，其化学反应为</w:t>
      </w:r>
      <w:r>
        <w:rPr>
          <w:rFonts w:hint="eastAsia" w:ascii="宋体" w:hAnsi="宋体" w:eastAsia="宋体" w:cs="宋体"/>
          <w:color w:val="auto"/>
          <w:sz w:val="21"/>
          <w:szCs w:val="21"/>
          <w:vertAlign w:val="superscript"/>
          <w:lang w:val="en-US" w:eastAsia="zh-CN"/>
        </w:rPr>
        <w:t>[7]</w:t>
      </w:r>
      <w:r>
        <w:rPr>
          <w:rFonts w:hint="eastAsia" w:ascii="宋体" w:hAnsi="宋体" w:eastAsia="宋体" w:cs="宋体"/>
          <w:color w:val="auto"/>
          <w:sz w:val="21"/>
          <w:szCs w:val="21"/>
          <w:lang w:val="en-US" w:eastAsia="zh-CN"/>
        </w:rPr>
        <w:t>：</w:t>
      </w:r>
    </w:p>
    <w:p w14:paraId="7A9B891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lang w:val="en-US" w:eastAsia="zh-CN"/>
        </w:rPr>
      </w:pPr>
      <m:oMathPara>
        <m:oMath>
          <m:sSub>
            <m:sSubPr>
              <m:ctrlPr>
                <w:rPr>
                  <w:rFonts w:hint="eastAsia" w:ascii="Cambria Math" w:hAnsi="Cambria Math" w:eastAsia="宋体" w:cs="宋体"/>
                  <w:i w:val="0"/>
                  <w:color w:val="auto"/>
                  <w:sz w:val="21"/>
                  <w:szCs w:val="21"/>
                  <w:lang w:val="en-US" w:eastAsia="zh-CN"/>
                </w:rPr>
              </m:ctrlPr>
            </m:sSubPr>
            <m:e>
              <m:r>
                <m:rPr>
                  <m:sty m:val="p"/>
                </m:rPr>
                <w:rPr>
                  <w:rFonts w:hint="eastAsia" w:ascii="Cambria Math" w:hAnsi="Cambria Math" w:eastAsia="宋体" w:cs="宋体"/>
                  <w:color w:val="auto"/>
                  <w:sz w:val="21"/>
                  <w:szCs w:val="21"/>
                  <w:lang w:val="en-US" w:eastAsia="zh-CN"/>
                </w:rPr>
                <m:t>H</m:t>
              </m:r>
              <m:ctrlPr>
                <w:rPr>
                  <w:rFonts w:hint="eastAsia" w:ascii="Cambria Math" w:hAnsi="Cambria Math" w:eastAsia="宋体" w:cs="宋体"/>
                  <w:i w:val="0"/>
                  <w:color w:val="auto"/>
                  <w:sz w:val="21"/>
                  <w:szCs w:val="21"/>
                  <w:lang w:val="en-US" w:eastAsia="zh-CN"/>
                </w:rPr>
              </m:ctrlPr>
            </m:e>
            <m:sub>
              <m:r>
                <m:rPr>
                  <m:sty m:val="p"/>
                </m:rPr>
                <w:rPr>
                  <w:rFonts w:hint="eastAsia" w:ascii="Cambria Math" w:hAnsi="Cambria Math" w:eastAsia="宋体" w:cs="宋体"/>
                  <w:color w:val="auto"/>
                  <w:sz w:val="21"/>
                  <w:szCs w:val="21"/>
                  <w:lang w:val="en-US" w:eastAsia="zh-CN"/>
                </w:rPr>
                <m:t>2</m:t>
              </m:r>
              <m:ctrlPr>
                <w:rPr>
                  <w:rFonts w:hint="eastAsia" w:ascii="Cambria Math" w:hAnsi="Cambria Math" w:eastAsia="宋体" w:cs="宋体"/>
                  <w:i w:val="0"/>
                  <w:color w:val="auto"/>
                  <w:sz w:val="21"/>
                  <w:szCs w:val="21"/>
                  <w:lang w:val="en-US" w:eastAsia="zh-CN"/>
                </w:rPr>
              </m:ctrlPr>
            </m:sub>
          </m:sSub>
          <m:r>
            <m:rPr>
              <m:sty m:val="p"/>
            </m:rPr>
            <w:rPr>
              <w:rFonts w:hint="eastAsia" w:ascii="Cambria Math" w:hAnsi="Cambria Math" w:eastAsia="宋体" w:cs="宋体"/>
              <w:color w:val="auto"/>
              <w:sz w:val="21"/>
              <w:szCs w:val="21"/>
              <w:lang w:val="en-US" w:eastAsia="zh-CN"/>
            </w:rPr>
            <m:t>S</m:t>
          </m:r>
          <m:r>
            <m:rPr>
              <m:sty m:val="p"/>
            </m:rPr>
            <w:rPr>
              <w:rFonts w:hint="eastAsia" w:ascii="Cambria Math" w:hAnsi="Cambria Math" w:eastAsia="宋体" w:cs="宋体"/>
              <w:color w:val="auto"/>
              <w:sz w:val="21"/>
              <w:szCs w:val="21"/>
              <w:lang w:val="en-US"/>
            </w:rPr>
            <m:t>+</m:t>
          </m:r>
          <m:r>
            <m:rPr>
              <m:sty m:val="p"/>
            </m:rPr>
            <w:rPr>
              <w:rFonts w:hint="eastAsia" w:ascii="Cambria Math" w:hAnsi="Cambria Math" w:eastAsia="宋体" w:cs="宋体"/>
              <w:color w:val="auto"/>
              <w:sz w:val="21"/>
              <w:szCs w:val="21"/>
              <w:lang w:val="en-US" w:eastAsia="zh-CN"/>
            </w:rPr>
            <m:t>1/2</m:t>
          </m:r>
          <m:sSub>
            <m:sSubPr>
              <m:ctrlPr>
                <w:rPr>
                  <w:rFonts w:hint="eastAsia" w:ascii="Cambria Math" w:hAnsi="Cambria Math" w:eastAsia="宋体" w:cs="宋体"/>
                  <w:color w:val="auto"/>
                  <w:sz w:val="21"/>
                  <w:szCs w:val="21"/>
                  <w:lang w:val="en-US" w:eastAsia="zh-CN"/>
                </w:rPr>
              </m:ctrlPr>
            </m:sSubPr>
            <m:e>
              <m:r>
                <m:rPr>
                  <m:sty m:val="p"/>
                </m:rPr>
                <w:rPr>
                  <w:rFonts w:hint="eastAsia" w:ascii="Cambria Math" w:hAnsi="Cambria Math" w:eastAsia="宋体" w:cs="宋体"/>
                  <w:color w:val="auto"/>
                  <w:sz w:val="21"/>
                  <w:szCs w:val="21"/>
                  <w:lang w:val="en-US" w:eastAsia="zh-CN"/>
                </w:rPr>
                <m:t>O</m:t>
              </m:r>
              <m:ctrlPr>
                <w:rPr>
                  <w:rFonts w:hint="eastAsia" w:ascii="Cambria Math" w:hAnsi="Cambria Math" w:eastAsia="宋体" w:cs="宋体"/>
                  <w:color w:val="auto"/>
                  <w:sz w:val="21"/>
                  <w:szCs w:val="21"/>
                  <w:lang w:val="en-US" w:eastAsia="zh-CN"/>
                </w:rPr>
              </m:ctrlPr>
            </m:e>
            <m:sub>
              <m:r>
                <m:rPr>
                  <m:sty m:val="p"/>
                </m:rPr>
                <w:rPr>
                  <w:rFonts w:hint="eastAsia" w:ascii="Cambria Math" w:hAnsi="Cambria Math" w:eastAsia="宋体" w:cs="宋体"/>
                  <w:color w:val="auto"/>
                  <w:sz w:val="21"/>
                  <w:szCs w:val="21"/>
                  <w:lang w:val="en-US" w:eastAsia="zh-CN"/>
                </w:rPr>
                <m:t>2</m:t>
              </m:r>
              <m:ctrlPr>
                <w:rPr>
                  <w:rFonts w:hint="eastAsia" w:ascii="Cambria Math" w:hAnsi="Cambria Math" w:eastAsia="宋体" w:cs="宋体"/>
                  <w:color w:val="auto"/>
                  <w:sz w:val="21"/>
                  <w:szCs w:val="21"/>
                  <w:lang w:val="en-US" w:eastAsia="zh-CN"/>
                </w:rPr>
              </m:ctrlPr>
            </m:sub>
          </m:sSub>
          <m:r>
            <m:rPr>
              <m:sty m:val="p"/>
            </m:rPr>
            <w:rPr>
              <w:rFonts w:hint="eastAsia" w:ascii="Cambria Math" w:hAnsi="Cambria Math" w:eastAsia="宋体" w:cs="宋体"/>
              <w:color w:val="auto"/>
              <w:sz w:val="21"/>
              <w:szCs w:val="21"/>
              <w:lang w:val="en-US"/>
            </w:rPr>
            <m:t>→</m:t>
          </m:r>
          <m:r>
            <m:rPr>
              <m:sty m:val="p"/>
            </m:rPr>
            <w:rPr>
              <w:rFonts w:hint="eastAsia" w:ascii="Cambria Math" w:hAnsi="Cambria Math" w:eastAsia="宋体" w:cs="宋体"/>
              <w:color w:val="auto"/>
              <w:sz w:val="21"/>
              <w:szCs w:val="21"/>
              <w:lang w:val="en-US" w:eastAsia="zh-CN"/>
            </w:rPr>
            <m:t>S</m:t>
          </m:r>
          <m:r>
            <m:rPr>
              <m:sty m:val="p"/>
            </m:rPr>
            <w:rPr>
              <w:rFonts w:hint="eastAsia" w:ascii="Cambria Math" w:hAnsi="Cambria Math" w:eastAsia="宋体" w:cs="宋体"/>
              <w:color w:val="auto"/>
              <w:sz w:val="21"/>
              <w:szCs w:val="21"/>
              <w:lang w:val="en-US"/>
            </w:rPr>
            <m:t>↓</m:t>
          </m:r>
          <m:r>
            <m:rPr>
              <m:sty m:val="p"/>
            </m:rPr>
            <w:rPr>
              <w:rFonts w:hint="eastAsia" w:ascii="Cambria Math" w:hAnsi="Cambria Math" w:eastAsia="宋体" w:cs="宋体"/>
              <w:color w:val="auto"/>
              <w:sz w:val="21"/>
              <w:szCs w:val="21"/>
              <w:lang w:val="en-US" w:eastAsia="zh-CN"/>
            </w:rPr>
            <m:t>+</m:t>
          </m:r>
          <m:sSub>
            <m:sSubPr>
              <m:ctrlPr>
                <w:rPr>
                  <w:rFonts w:hint="eastAsia" w:ascii="Cambria Math" w:hAnsi="Cambria Math" w:eastAsia="宋体" w:cs="宋体"/>
                  <w:color w:val="auto"/>
                  <w:sz w:val="21"/>
                  <w:szCs w:val="21"/>
                  <w:lang w:val="en-US"/>
                </w:rPr>
              </m:ctrlPr>
            </m:sSubPr>
            <m:e>
              <m:r>
                <m:rPr>
                  <m:sty m:val="p"/>
                </m:rPr>
                <w:rPr>
                  <w:rFonts w:hint="eastAsia" w:ascii="Cambria Math" w:hAnsi="Cambria Math" w:eastAsia="宋体" w:cs="宋体"/>
                  <w:color w:val="auto"/>
                  <w:sz w:val="21"/>
                  <w:szCs w:val="21"/>
                  <w:lang w:val="en-US"/>
                </w:rPr>
                <m:t>H</m:t>
              </m:r>
              <m:ctrlPr>
                <w:rPr>
                  <w:rFonts w:hint="eastAsia" w:ascii="Cambria Math" w:hAnsi="Cambria Math" w:eastAsia="宋体" w:cs="宋体"/>
                  <w:color w:val="auto"/>
                  <w:sz w:val="21"/>
                  <w:szCs w:val="21"/>
                  <w:lang w:val="en-US"/>
                </w:rPr>
              </m:ctrlPr>
            </m:e>
            <m:sub>
              <m:r>
                <m:rPr/>
                <w:rPr>
                  <w:rFonts w:hint="eastAsia" w:ascii="Cambria Math" w:hAnsi="Cambria Math" w:eastAsia="宋体" w:cs="宋体"/>
                  <w:color w:val="auto"/>
                  <w:sz w:val="21"/>
                  <w:szCs w:val="21"/>
                  <w:lang w:val="en-US"/>
                </w:rPr>
                <m:t>2</m:t>
              </m:r>
              <m:ctrlPr>
                <w:rPr>
                  <w:rFonts w:hint="eastAsia" w:ascii="Cambria Math" w:hAnsi="Cambria Math" w:eastAsia="宋体" w:cs="宋体"/>
                  <w:color w:val="auto"/>
                  <w:sz w:val="21"/>
                  <w:szCs w:val="21"/>
                  <w:lang w:val="en-US"/>
                </w:rPr>
              </m:ctrlPr>
            </m:sub>
          </m:sSub>
          <m:r>
            <m:rPr>
              <m:sty m:val="p"/>
            </m:rPr>
            <w:rPr>
              <w:rFonts w:hint="eastAsia" w:ascii="Cambria Math" w:hAnsi="Cambria Math" w:eastAsia="宋体" w:cs="宋体"/>
              <w:color w:val="auto"/>
              <w:sz w:val="21"/>
              <w:szCs w:val="21"/>
              <w:lang w:val="en-US"/>
            </w:rPr>
            <m:t>O</m:t>
          </m:r>
        </m:oMath>
      </m:oMathPara>
    </w:p>
    <w:p w14:paraId="7A76A224">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该技术的突出优势在于出口H₂S浓度可降至1mg/m³以下，彻底消除恶臭，且产物硫磺纯度超过90%，可直接回用。然而，其工艺流程长，需要设置吸收塔、再生塔、硫泡沫分离槽、压滤机等设备，占地面积大，运行成本是碱液洗涤法的2~3倍。因此湿式氧化法目前在国内熔硫尾气领域应用较少，仅在对H₂S排放要求极为严格的企业有试点，对于绝大多数硫磺制酸企业，碱液洗涤法仍是性价比最优的选择。</w:t>
      </w:r>
    </w:p>
    <w:p w14:paraId="28DF67A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4协同治理工艺的系统构建与工程验证</w:t>
      </w:r>
    </w:p>
    <w:p w14:paraId="77E1A52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4.1堵塞与腐蚀问题的机理分析及预防策略</w:t>
      </w:r>
    </w:p>
    <w:p w14:paraId="62E5A254">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堵塞是熔硫尾气治理装置最突出的运行故障。通过对多套装置堵塞部位的解剖分析，可将升华硫堵塞的演化过程划分为三个阶段：（1）沉积起始期：硫蒸气在低于露点温度的管壁或设备表面凝华，形成一层厚度约0.1~1mm的疏松黄色硫膜，此时压降无明显变化。（2）加速增长期：沉积层具有保温作用使表面温度进一步降低，硫蒸气持续凝华，同时气流中的升华硫颗粒被黏性表面捕获，形成致密的灰黑色硬垢，厚度增至5~20mm，管道有效截面积减小，压降开始明显上升。（3）堵塞失效期：沉积物不断增厚，在弯头、阀门、风机叶轮等部位形成瘤状或桥接堵塞，导致设备无法正常运行。</w:t>
      </w:r>
    </w:p>
    <w:p w14:paraId="6959FF9C">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针对上述机理，工程上发展出多种预防与应对策略。在管道设计方面，采用蒸汽夹套保温是最直接的预防措施。宜都兴发化工有限公司的改造实践表明，采用分级伴热-从熔硫槽出口至洗涤塔入口分为高温段、中温段和低温段，可使管道清理周期从45天延长至210天，同时蒸汽消耗量降低32%。在洗涤塔设计方面，对于升华硫负荷较高的工况应优先选用空塔结构，从根本上规避填料堵塞风险。若必须使用填料以追求更高的H₂S脱除率，则应选用大尺寸规整填料，设置在线冲洗系统，并在填料层上下预留足够的人孔以便机械清理。</w:t>
      </w:r>
    </w:p>
    <w:p w14:paraId="7755850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熔硫尾气系统的腐蚀主要由H₂S和SO₂与水蒸气的协同作用引起。H₂S溶于水形成弱酸，与铁反应生成疏松多孔的FeS膜，不能有效阻止进一步腐蚀；SO₂溶于水形成H₂SO₄，pH可低至3~4，对碳钢的腐蚀速率可达1~3mm/年。此外，在高温高湿环境下，不同金属接触或同一金属存在温度梯度时，会形成腐蚀原电池，加速局部穿孔</w:t>
      </w:r>
      <w:r>
        <w:rPr>
          <w:rFonts w:hint="eastAsia" w:ascii="宋体" w:hAnsi="宋体" w:eastAsia="宋体" w:cs="宋体"/>
          <w:color w:val="auto"/>
          <w:sz w:val="21"/>
          <w:szCs w:val="21"/>
          <w:vertAlign w:val="superscript"/>
          <w:lang w:val="en-US" w:eastAsia="zh-CN"/>
        </w:rPr>
        <w:t>[10]</w:t>
      </w:r>
      <w:r>
        <w:rPr>
          <w:rFonts w:hint="eastAsia" w:ascii="宋体" w:hAnsi="宋体" w:eastAsia="宋体" w:cs="宋体"/>
          <w:color w:val="auto"/>
          <w:sz w:val="21"/>
          <w:szCs w:val="21"/>
          <w:lang w:val="en-US" w:eastAsia="zh-CN"/>
        </w:rPr>
        <w:t>。解决腐蚀问题的根本途径在于根据设备所处环境的腐蚀性强弱进行分级选材，可有效将设备腐蚀速率控制在0.1mm/年以下</w:t>
      </w:r>
      <w:r>
        <w:rPr>
          <w:rFonts w:hint="eastAsia" w:ascii="宋体" w:hAnsi="宋体" w:eastAsia="宋体" w:cs="宋体"/>
          <w:color w:val="auto"/>
          <w:sz w:val="21"/>
          <w:szCs w:val="21"/>
          <w:vertAlign w:val="superscript"/>
          <w:lang w:val="en-US" w:eastAsia="zh-CN"/>
        </w:rPr>
        <w:t>[3,6,10]</w:t>
      </w:r>
      <w:r>
        <w:rPr>
          <w:rFonts w:hint="eastAsia" w:ascii="宋体" w:hAnsi="宋体" w:eastAsia="宋体" w:cs="宋体"/>
          <w:color w:val="auto"/>
          <w:sz w:val="21"/>
          <w:szCs w:val="21"/>
          <w:lang w:val="en-US" w:eastAsia="zh-CN"/>
        </w:rPr>
        <w:t>。</w:t>
      </w:r>
    </w:p>
    <w:p w14:paraId="1ABBFD1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4.2工程验证案例</w:t>
      </w:r>
    </w:p>
    <w:p w14:paraId="33CAFFBD">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某化工公司800kt/a硫磺制酸装置原采用单级填料塔碱洗工艺，运行中存在以下问题：填料每2~3个月堵塞一次，每次停车清理造成产量损失约2000吨硫酸；出口颗粒物浓度60~90mg/m³、H₂S浓度15~25mg/m³，时有超标；循环液固含量高达1200mg/L，喷头频繁堵塞</w:t>
      </w:r>
      <w:r>
        <w:rPr>
          <w:rFonts w:hint="eastAsia" w:ascii="宋体" w:hAnsi="宋体" w:eastAsia="宋体" w:cs="宋体"/>
          <w:color w:val="auto"/>
          <w:sz w:val="21"/>
          <w:szCs w:val="21"/>
          <w:vertAlign w:val="superscript"/>
          <w:lang w:val="en-US" w:eastAsia="zh-CN"/>
        </w:rPr>
        <w:t>[2,4,6]</w:t>
      </w:r>
      <w:r>
        <w:rPr>
          <w:rFonts w:hint="eastAsia" w:ascii="宋体" w:hAnsi="宋体" w:eastAsia="宋体" w:cs="宋体"/>
          <w:color w:val="auto"/>
          <w:sz w:val="21"/>
          <w:szCs w:val="21"/>
          <w:lang w:val="en-US" w:eastAsia="zh-CN"/>
        </w:rPr>
        <w:t>。针对上述问题，企业按照协同治理思路新建“文丘里洗涤器+空塔”系统，运行数据显示装置出口污染物浓度显著降低，运行周期大幅延长，风机能耗明显下降，并实现了硫资源的高效回收，改造后连续6个月的运行数据均值如表3所示。</w:t>
      </w:r>
    </w:p>
    <w:p w14:paraId="08E90B9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表3改造前后运行数据对比</w:t>
      </w:r>
    </w:p>
    <w:tbl>
      <w:tblPr>
        <w:tblStyle w:val="17"/>
        <w:tblW w:w="8519"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Layout w:type="fixed"/>
        <w:tblCellMar>
          <w:top w:w="0" w:type="dxa"/>
          <w:left w:w="108" w:type="dxa"/>
          <w:bottom w:w="0" w:type="dxa"/>
          <w:right w:w="108" w:type="dxa"/>
        </w:tblCellMar>
      </w:tblPr>
      <w:tblGrid>
        <w:gridCol w:w="3210"/>
        <w:gridCol w:w="2416"/>
        <w:gridCol w:w="2893"/>
      </w:tblGrid>
      <w:tr w14:paraId="058012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0" w:hRule="atLeast"/>
          <w:jc w:val="center"/>
        </w:trPr>
        <w:tc>
          <w:tcPr>
            <w:tcW w:w="3210" w:type="dxa"/>
            <w:tcBorders>
              <w:tl2br w:val="nil"/>
              <w:tr2bl w:val="nil"/>
            </w:tcBorders>
            <w:shd w:val="clear" w:color="auto" w:fill="auto"/>
            <w:noWrap/>
            <w:vAlign w:val="center"/>
          </w:tcPr>
          <w:p w14:paraId="628532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指标</w:t>
            </w:r>
          </w:p>
        </w:tc>
        <w:tc>
          <w:tcPr>
            <w:tcW w:w="2416" w:type="dxa"/>
            <w:tcBorders>
              <w:tl2br w:val="nil"/>
              <w:tr2bl w:val="nil"/>
            </w:tcBorders>
            <w:shd w:val="clear" w:color="auto" w:fill="auto"/>
            <w:noWrap/>
            <w:vAlign w:val="center"/>
          </w:tcPr>
          <w:p w14:paraId="75F88D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改造前（单级填料塔）</w:t>
            </w:r>
          </w:p>
        </w:tc>
        <w:tc>
          <w:tcPr>
            <w:tcW w:w="2893" w:type="dxa"/>
            <w:tcBorders>
              <w:tl2br w:val="nil"/>
              <w:tr2bl w:val="nil"/>
            </w:tcBorders>
            <w:shd w:val="clear" w:color="auto" w:fill="auto"/>
            <w:noWrap/>
            <w:vAlign w:val="center"/>
          </w:tcPr>
          <w:p w14:paraId="6D08194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改造后（文丘里+空塔）</w:t>
            </w:r>
          </w:p>
        </w:tc>
      </w:tr>
      <w:tr w14:paraId="3F9584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jc w:val="center"/>
        </w:trPr>
        <w:tc>
          <w:tcPr>
            <w:tcW w:w="3210" w:type="dxa"/>
            <w:tcBorders>
              <w:tl2br w:val="nil"/>
              <w:tr2bl w:val="nil"/>
            </w:tcBorders>
            <w:shd w:val="clear" w:color="auto" w:fill="auto"/>
            <w:noWrap/>
            <w:vAlign w:val="center"/>
          </w:tcPr>
          <w:p w14:paraId="451422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入口尾气温度（℃）</w:t>
            </w:r>
          </w:p>
        </w:tc>
        <w:tc>
          <w:tcPr>
            <w:tcW w:w="2416" w:type="dxa"/>
            <w:tcBorders>
              <w:tl2br w:val="nil"/>
              <w:tr2bl w:val="nil"/>
            </w:tcBorders>
            <w:shd w:val="clear" w:color="auto" w:fill="auto"/>
            <w:noWrap/>
            <w:vAlign w:val="center"/>
          </w:tcPr>
          <w:p w14:paraId="589005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88</w:t>
            </w:r>
          </w:p>
        </w:tc>
        <w:tc>
          <w:tcPr>
            <w:tcW w:w="2893" w:type="dxa"/>
            <w:tcBorders>
              <w:tl2br w:val="nil"/>
              <w:tr2bl w:val="nil"/>
            </w:tcBorders>
            <w:shd w:val="clear" w:color="auto" w:fill="auto"/>
            <w:noWrap/>
            <w:vAlign w:val="center"/>
          </w:tcPr>
          <w:p w14:paraId="4D2F21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92</w:t>
            </w:r>
          </w:p>
        </w:tc>
      </w:tr>
      <w:tr w14:paraId="077627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jc w:val="center"/>
        </w:trPr>
        <w:tc>
          <w:tcPr>
            <w:tcW w:w="3210" w:type="dxa"/>
            <w:tcBorders>
              <w:tl2br w:val="nil"/>
              <w:tr2bl w:val="nil"/>
            </w:tcBorders>
            <w:shd w:val="clear" w:color="auto" w:fill="auto"/>
            <w:noWrap/>
            <w:vAlign w:val="center"/>
          </w:tcPr>
          <w:p w14:paraId="43E47C6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入口颗粒物（mg/m³）</w:t>
            </w:r>
          </w:p>
        </w:tc>
        <w:tc>
          <w:tcPr>
            <w:tcW w:w="2416" w:type="dxa"/>
            <w:tcBorders>
              <w:tl2br w:val="nil"/>
              <w:tr2bl w:val="nil"/>
            </w:tcBorders>
            <w:shd w:val="clear" w:color="auto" w:fill="auto"/>
            <w:noWrap/>
            <w:vAlign w:val="center"/>
          </w:tcPr>
          <w:p w14:paraId="59E7C9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520</w:t>
            </w:r>
          </w:p>
        </w:tc>
        <w:tc>
          <w:tcPr>
            <w:tcW w:w="2893" w:type="dxa"/>
            <w:tcBorders>
              <w:tl2br w:val="nil"/>
              <w:tr2bl w:val="nil"/>
            </w:tcBorders>
            <w:shd w:val="clear" w:color="auto" w:fill="auto"/>
            <w:noWrap/>
            <w:vAlign w:val="center"/>
          </w:tcPr>
          <w:p w14:paraId="604063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560</w:t>
            </w:r>
          </w:p>
        </w:tc>
      </w:tr>
      <w:tr w14:paraId="5880FB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jc w:val="center"/>
        </w:trPr>
        <w:tc>
          <w:tcPr>
            <w:tcW w:w="3210" w:type="dxa"/>
            <w:tcBorders>
              <w:tl2br w:val="nil"/>
              <w:tr2bl w:val="nil"/>
            </w:tcBorders>
            <w:shd w:val="clear" w:color="auto" w:fill="auto"/>
            <w:noWrap/>
            <w:vAlign w:val="center"/>
          </w:tcPr>
          <w:p w14:paraId="6440AC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入口H₂S（mg/m³）</w:t>
            </w:r>
          </w:p>
        </w:tc>
        <w:tc>
          <w:tcPr>
            <w:tcW w:w="2416" w:type="dxa"/>
            <w:tcBorders>
              <w:tl2br w:val="nil"/>
              <w:tr2bl w:val="nil"/>
            </w:tcBorders>
            <w:shd w:val="clear" w:color="auto" w:fill="auto"/>
            <w:noWrap/>
            <w:vAlign w:val="center"/>
          </w:tcPr>
          <w:p w14:paraId="2734D1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195</w:t>
            </w:r>
          </w:p>
        </w:tc>
        <w:tc>
          <w:tcPr>
            <w:tcW w:w="2893" w:type="dxa"/>
            <w:tcBorders>
              <w:tl2br w:val="nil"/>
              <w:tr2bl w:val="nil"/>
            </w:tcBorders>
            <w:shd w:val="clear" w:color="auto" w:fill="auto"/>
            <w:noWrap/>
            <w:vAlign w:val="center"/>
          </w:tcPr>
          <w:p w14:paraId="4F2EE04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210</w:t>
            </w:r>
          </w:p>
        </w:tc>
      </w:tr>
      <w:tr w14:paraId="3BD019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jc w:val="center"/>
        </w:trPr>
        <w:tc>
          <w:tcPr>
            <w:tcW w:w="3210" w:type="dxa"/>
            <w:tcBorders>
              <w:tl2br w:val="nil"/>
              <w:tr2bl w:val="nil"/>
            </w:tcBorders>
            <w:shd w:val="clear" w:color="auto" w:fill="auto"/>
            <w:noWrap/>
            <w:vAlign w:val="center"/>
          </w:tcPr>
          <w:p w14:paraId="72FCBD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出口尾气温度（℃）</w:t>
            </w:r>
          </w:p>
        </w:tc>
        <w:tc>
          <w:tcPr>
            <w:tcW w:w="2416" w:type="dxa"/>
            <w:tcBorders>
              <w:tl2br w:val="nil"/>
              <w:tr2bl w:val="nil"/>
            </w:tcBorders>
            <w:shd w:val="clear" w:color="auto" w:fill="auto"/>
            <w:noWrap/>
            <w:vAlign w:val="center"/>
          </w:tcPr>
          <w:p w14:paraId="41BD86C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52</w:t>
            </w:r>
          </w:p>
        </w:tc>
        <w:tc>
          <w:tcPr>
            <w:tcW w:w="2893" w:type="dxa"/>
            <w:tcBorders>
              <w:tl2br w:val="nil"/>
              <w:tr2bl w:val="nil"/>
            </w:tcBorders>
            <w:shd w:val="clear" w:color="auto" w:fill="auto"/>
            <w:noWrap/>
            <w:vAlign w:val="center"/>
          </w:tcPr>
          <w:p w14:paraId="0D9180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41</w:t>
            </w:r>
          </w:p>
        </w:tc>
      </w:tr>
      <w:tr w14:paraId="5F511D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0" w:hRule="atLeast"/>
          <w:jc w:val="center"/>
        </w:trPr>
        <w:tc>
          <w:tcPr>
            <w:tcW w:w="3210" w:type="dxa"/>
            <w:tcBorders>
              <w:tl2br w:val="nil"/>
              <w:tr2bl w:val="nil"/>
            </w:tcBorders>
            <w:shd w:val="clear" w:color="auto" w:fill="auto"/>
            <w:noWrap/>
            <w:vAlign w:val="center"/>
          </w:tcPr>
          <w:p w14:paraId="7494B1A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出口颗粒物（mg/m³）</w:t>
            </w:r>
          </w:p>
        </w:tc>
        <w:tc>
          <w:tcPr>
            <w:tcW w:w="2416" w:type="dxa"/>
            <w:tcBorders>
              <w:tl2br w:val="nil"/>
              <w:tr2bl w:val="nil"/>
            </w:tcBorders>
            <w:shd w:val="clear" w:color="auto" w:fill="auto"/>
            <w:noWrap/>
            <w:vAlign w:val="center"/>
          </w:tcPr>
          <w:p w14:paraId="6945CA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60~90</w:t>
            </w:r>
          </w:p>
        </w:tc>
        <w:tc>
          <w:tcPr>
            <w:tcW w:w="2893" w:type="dxa"/>
            <w:tcBorders>
              <w:tl2br w:val="nil"/>
              <w:tr2bl w:val="nil"/>
            </w:tcBorders>
            <w:shd w:val="clear" w:color="auto" w:fill="auto"/>
            <w:noWrap/>
            <w:vAlign w:val="center"/>
          </w:tcPr>
          <w:p w14:paraId="290A095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22</w:t>
            </w:r>
          </w:p>
        </w:tc>
      </w:tr>
      <w:tr w14:paraId="47106B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jc w:val="center"/>
        </w:trPr>
        <w:tc>
          <w:tcPr>
            <w:tcW w:w="3210" w:type="dxa"/>
            <w:tcBorders>
              <w:tl2br w:val="nil"/>
              <w:tr2bl w:val="nil"/>
            </w:tcBorders>
            <w:shd w:val="clear" w:color="auto" w:fill="auto"/>
            <w:noWrap/>
            <w:vAlign w:val="center"/>
          </w:tcPr>
          <w:p w14:paraId="62C030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出口H₂S（mg/m³）</w:t>
            </w:r>
          </w:p>
        </w:tc>
        <w:tc>
          <w:tcPr>
            <w:tcW w:w="2416" w:type="dxa"/>
            <w:tcBorders>
              <w:tl2br w:val="nil"/>
              <w:tr2bl w:val="nil"/>
            </w:tcBorders>
            <w:shd w:val="clear" w:color="auto" w:fill="auto"/>
            <w:noWrap/>
            <w:vAlign w:val="center"/>
          </w:tcPr>
          <w:p w14:paraId="2EC1C6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15~25</w:t>
            </w:r>
          </w:p>
        </w:tc>
        <w:tc>
          <w:tcPr>
            <w:tcW w:w="2893" w:type="dxa"/>
            <w:tcBorders>
              <w:tl2br w:val="nil"/>
              <w:tr2bl w:val="nil"/>
            </w:tcBorders>
            <w:shd w:val="clear" w:color="auto" w:fill="auto"/>
            <w:noWrap/>
            <w:vAlign w:val="center"/>
          </w:tcPr>
          <w:p w14:paraId="0484BE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3.6</w:t>
            </w:r>
          </w:p>
        </w:tc>
      </w:tr>
      <w:tr w14:paraId="26D2E7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jc w:val="center"/>
        </w:trPr>
        <w:tc>
          <w:tcPr>
            <w:tcW w:w="3210" w:type="dxa"/>
            <w:tcBorders>
              <w:tl2br w:val="nil"/>
              <w:tr2bl w:val="nil"/>
            </w:tcBorders>
            <w:shd w:val="clear" w:color="auto" w:fill="auto"/>
            <w:noWrap/>
            <w:vAlign w:val="center"/>
          </w:tcPr>
          <w:p w14:paraId="1876D5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系统压降（kPa）</w:t>
            </w:r>
          </w:p>
        </w:tc>
        <w:tc>
          <w:tcPr>
            <w:tcW w:w="2416" w:type="dxa"/>
            <w:tcBorders>
              <w:tl2br w:val="nil"/>
              <w:tr2bl w:val="nil"/>
            </w:tcBorders>
            <w:shd w:val="clear" w:color="auto" w:fill="auto"/>
            <w:noWrap/>
            <w:vAlign w:val="center"/>
          </w:tcPr>
          <w:p w14:paraId="11CF2C4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填料塔2.3</w:t>
            </w:r>
          </w:p>
        </w:tc>
        <w:tc>
          <w:tcPr>
            <w:tcW w:w="2893" w:type="dxa"/>
            <w:tcBorders>
              <w:tl2br w:val="nil"/>
              <w:tr2bl w:val="nil"/>
            </w:tcBorders>
            <w:shd w:val="clear" w:color="auto" w:fill="auto"/>
            <w:noWrap/>
            <w:vAlign w:val="center"/>
          </w:tcPr>
          <w:p w14:paraId="59D8F9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文丘里6.2+空塔1.1</w:t>
            </w:r>
          </w:p>
        </w:tc>
      </w:tr>
      <w:tr w14:paraId="2C048E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jc w:val="center"/>
        </w:trPr>
        <w:tc>
          <w:tcPr>
            <w:tcW w:w="3210" w:type="dxa"/>
            <w:tcBorders>
              <w:tl2br w:val="nil"/>
              <w:tr2bl w:val="nil"/>
            </w:tcBorders>
            <w:shd w:val="clear" w:color="auto" w:fill="auto"/>
            <w:noWrap/>
            <w:vAlign w:val="center"/>
          </w:tcPr>
          <w:p w14:paraId="4FEF7A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连续运行周期（天）</w:t>
            </w:r>
          </w:p>
        </w:tc>
        <w:tc>
          <w:tcPr>
            <w:tcW w:w="2416" w:type="dxa"/>
            <w:tcBorders>
              <w:tl2br w:val="nil"/>
              <w:tr2bl w:val="nil"/>
            </w:tcBorders>
            <w:shd w:val="clear" w:color="auto" w:fill="auto"/>
            <w:noWrap/>
            <w:vAlign w:val="center"/>
          </w:tcPr>
          <w:p w14:paraId="052699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60~90</w:t>
            </w:r>
          </w:p>
        </w:tc>
        <w:tc>
          <w:tcPr>
            <w:tcW w:w="2893" w:type="dxa"/>
            <w:tcBorders>
              <w:tl2br w:val="nil"/>
              <w:tr2bl w:val="nil"/>
            </w:tcBorders>
            <w:shd w:val="clear" w:color="auto" w:fill="auto"/>
            <w:noWrap/>
            <w:vAlign w:val="center"/>
          </w:tcPr>
          <w:p w14:paraId="6680DB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225</w:t>
            </w:r>
          </w:p>
        </w:tc>
      </w:tr>
      <w:tr w14:paraId="0B79BD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jc w:val="center"/>
        </w:trPr>
        <w:tc>
          <w:tcPr>
            <w:tcW w:w="3210" w:type="dxa"/>
            <w:tcBorders>
              <w:tl2br w:val="nil"/>
              <w:tr2bl w:val="nil"/>
            </w:tcBorders>
            <w:shd w:val="clear" w:color="auto" w:fill="auto"/>
            <w:noWrap/>
            <w:vAlign w:val="center"/>
          </w:tcPr>
          <w:p w14:paraId="5CB1820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循环液固含量（mg/L）</w:t>
            </w:r>
          </w:p>
        </w:tc>
        <w:tc>
          <w:tcPr>
            <w:tcW w:w="2416" w:type="dxa"/>
            <w:tcBorders>
              <w:tl2br w:val="nil"/>
              <w:tr2bl w:val="nil"/>
            </w:tcBorders>
            <w:shd w:val="clear" w:color="auto" w:fill="auto"/>
            <w:noWrap/>
            <w:vAlign w:val="center"/>
          </w:tcPr>
          <w:p w14:paraId="19C87A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1200</w:t>
            </w:r>
          </w:p>
        </w:tc>
        <w:tc>
          <w:tcPr>
            <w:tcW w:w="2893" w:type="dxa"/>
            <w:tcBorders>
              <w:tl2br w:val="nil"/>
              <w:tr2bl w:val="nil"/>
            </w:tcBorders>
            <w:shd w:val="clear" w:color="auto" w:fill="auto"/>
            <w:noWrap/>
            <w:vAlign w:val="center"/>
          </w:tcPr>
          <w:p w14:paraId="76DFD2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&lt;500</w:t>
            </w:r>
          </w:p>
        </w:tc>
      </w:tr>
    </w:tbl>
    <w:p w14:paraId="7AFB19A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5结论与展望</w:t>
      </w:r>
    </w:p>
    <w:p w14:paraId="1D9C7DAD">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本文基于硫磺制酸熔硫工序的物理化学特性，系统剖析了尾气中升华硫与H₂S等污染物的生成机制及排放特征，对比了冷凝回收、文丘里洗涤、填料塔碱洗、湿式氧化等主流治理技术的性能极限与工程瓶颈，并结合多套工业装置的运行数据与故障案例，提出了系统化的协同治理工艺，工业运行数据优异。展望未来，熔硫尾气治理技术将逐步向智能调控、抗堵新材料应用、废液资源化利用、装置一体化集成等多元方向迈进。随着环保法规日趋严格以及工程技术的不断进步，熔硫尾气的深度净化与硫资源回收水平有望迈上新台阶。</w:t>
      </w:r>
    </w:p>
    <w:p w14:paraId="1E0E0C4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lang w:val="en-US" w:eastAsia="zh-CN"/>
        </w:rPr>
      </w:pPr>
    </w:p>
    <w:p w14:paraId="11688F3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参考文献</w:t>
      </w:r>
    </w:p>
    <w:p w14:paraId="6075914D">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 冯俊杰,邹玉杰,廖达炎,等.熔硫装置及尾气洗涤系统的技术改造[J].硫酸工业,2019,(11):39-42.</w:t>
      </w:r>
    </w:p>
    <w:p w14:paraId="44D966D3">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 孙琪,冯俊杰,杨波,等.熔硫尾洗装置的改造与运行实践[J].硫酸工业,2017,(11):21-23.</w:t>
      </w:r>
    </w:p>
    <w:p w14:paraId="048BA5F4">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[3] 王艳红,杨文平.熔硫废气治理工艺优化总结[J].硫酸工业,2020,(06):28-31.</w:t>
      </w:r>
    </w:p>
    <w:p w14:paraId="4E220A63">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[4] 王本峰,金斌,王春华.800kt/a硫酸装置熔硫尾气治理研究应用[J].硫酸工业,2025,(06):45-47.</w:t>
      </w:r>
    </w:p>
    <w:p w14:paraId="3158C991">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[5] 黄建林,周瑜.用PLC实现熔硫装置含硫气体洗涤系统的技术改造[J].电世界,2024,65(04):40-43.</w:t>
      </w:r>
    </w:p>
    <w:p w14:paraId="0BFAF7FB">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[6] 张灿林.硫磺制酸装置中升华硫产生原因及控制[J].云南化工,2020,47(09):122-123.</w:t>
      </w:r>
    </w:p>
    <w:p w14:paraId="10DF26F7">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[7] 邹燕,林蔚,杨威,等.络合铁湿式氧化硫化氢工艺及优化[J].化工进展,2025,44(01):549-557.</w:t>
      </w:r>
    </w:p>
    <w:p w14:paraId="54765221">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[8] 陈洪玉,雷毅,杨超.高含硫气藏中硫沉积机理及预测模型分析[J].中国石油大学胜利学院学报,2013,27(01):15-17.</w:t>
      </w:r>
    </w:p>
    <w:p w14:paraId="2AEC3BFA">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[9]ValiulinS.V.,KarasevV.V.,VoselS.V.,OnischukA.A.Astudyofsulfurhomogeneousnucleationfromsupersaturatedvapor.Determinationofsurfacetensionofsulfurnanoparticles[J].ColloidJournal,2013,75(1):14-25</w:t>
      </w:r>
    </w:p>
    <w:p w14:paraId="5AF14AE7">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[10] 曾德智,商剑峰,龙德才,等.四种钢在硫磺回收装置中的耐蚀性能及适用性[J].机械工程材料,2015,39(04):91-96.</w:t>
      </w:r>
    </w:p>
    <w:p w14:paraId="0BA2BD20">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kern w:val="2"/>
          <w:sz w:val="21"/>
          <w:szCs w:val="21"/>
          <w:highlight w:val="none"/>
          <w:lang w:val="en-US" w:eastAsia="zh-CN" w:bidi="ar-SA"/>
        </w:rPr>
      </w:pPr>
    </w:p>
    <w:p w14:paraId="4242FCE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公文小标宋">
    <w:altName w:val="宋体"/>
    <w:panose1 w:val="02000500000000000000"/>
    <w:charset w:val="86"/>
    <w:family w:val="auto"/>
    <w:pitch w:val="default"/>
    <w:sig w:usb0="00000000" w:usb1="00000000" w:usb2="00000016" w:usb3="00000000" w:csb0="00040001" w:csb1="00000000"/>
  </w:font>
  <w:font w:name="Cambria Math">
    <w:panose1 w:val="02040503050406030204"/>
    <w:charset w:val="00"/>
    <w:family w:val="auto"/>
    <w:pitch w:val="default"/>
    <w:sig w:usb0="E00006FF" w:usb1="420024FF" w:usb2="02000000" w:usb3="00000000" w:csb0="2000019F" w:csb1="00000000"/>
  </w:font>
  <w:font w:name="MS Minch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9257D"/>
    <w:rsid w:val="00FB3EEC"/>
    <w:rsid w:val="00FD2258"/>
    <w:rsid w:val="01520363"/>
    <w:rsid w:val="01C963F3"/>
    <w:rsid w:val="01DE1C5C"/>
    <w:rsid w:val="02203B3A"/>
    <w:rsid w:val="028C11CF"/>
    <w:rsid w:val="02B86B51"/>
    <w:rsid w:val="03304250"/>
    <w:rsid w:val="0374238F"/>
    <w:rsid w:val="03A5079A"/>
    <w:rsid w:val="03C50E3C"/>
    <w:rsid w:val="03C527A5"/>
    <w:rsid w:val="048748A1"/>
    <w:rsid w:val="04CC1D57"/>
    <w:rsid w:val="04DC643E"/>
    <w:rsid w:val="056106F1"/>
    <w:rsid w:val="05AE130F"/>
    <w:rsid w:val="05FB3670"/>
    <w:rsid w:val="06112117"/>
    <w:rsid w:val="062077BC"/>
    <w:rsid w:val="065F10D4"/>
    <w:rsid w:val="06DD024B"/>
    <w:rsid w:val="0730481F"/>
    <w:rsid w:val="076E5F7E"/>
    <w:rsid w:val="07B471FE"/>
    <w:rsid w:val="07C05BA3"/>
    <w:rsid w:val="07D258D6"/>
    <w:rsid w:val="07E3246F"/>
    <w:rsid w:val="07F7358F"/>
    <w:rsid w:val="08564759"/>
    <w:rsid w:val="08BA0844"/>
    <w:rsid w:val="091A7E4E"/>
    <w:rsid w:val="09931095"/>
    <w:rsid w:val="09F00295"/>
    <w:rsid w:val="0A4B20AA"/>
    <w:rsid w:val="0AEE6ECB"/>
    <w:rsid w:val="0AFF2E86"/>
    <w:rsid w:val="0B1A381C"/>
    <w:rsid w:val="0B664CB3"/>
    <w:rsid w:val="0C0E77A3"/>
    <w:rsid w:val="0C2B45A8"/>
    <w:rsid w:val="0C580AA0"/>
    <w:rsid w:val="0C8E44C1"/>
    <w:rsid w:val="0CDE6ACB"/>
    <w:rsid w:val="0CE82491"/>
    <w:rsid w:val="0CF56428"/>
    <w:rsid w:val="0D525F6F"/>
    <w:rsid w:val="0D731909"/>
    <w:rsid w:val="0DA11FD2"/>
    <w:rsid w:val="0E470192"/>
    <w:rsid w:val="0E5352AC"/>
    <w:rsid w:val="0E792F4F"/>
    <w:rsid w:val="0EAC0AC2"/>
    <w:rsid w:val="0EC8358F"/>
    <w:rsid w:val="0F543075"/>
    <w:rsid w:val="0FEE51C5"/>
    <w:rsid w:val="0FEF171B"/>
    <w:rsid w:val="0FF00FEF"/>
    <w:rsid w:val="0FF705D0"/>
    <w:rsid w:val="102313C5"/>
    <w:rsid w:val="103C5A23"/>
    <w:rsid w:val="10523A58"/>
    <w:rsid w:val="10667503"/>
    <w:rsid w:val="108035FE"/>
    <w:rsid w:val="108F6A5A"/>
    <w:rsid w:val="10B85FB1"/>
    <w:rsid w:val="10BB15FD"/>
    <w:rsid w:val="10D34B99"/>
    <w:rsid w:val="111156C1"/>
    <w:rsid w:val="111B6540"/>
    <w:rsid w:val="11407D54"/>
    <w:rsid w:val="123F1DBA"/>
    <w:rsid w:val="12486EC1"/>
    <w:rsid w:val="12CF1390"/>
    <w:rsid w:val="12DB7D35"/>
    <w:rsid w:val="12E60488"/>
    <w:rsid w:val="13001868"/>
    <w:rsid w:val="132A2A6A"/>
    <w:rsid w:val="13CB5FFB"/>
    <w:rsid w:val="145D3907"/>
    <w:rsid w:val="148A7C64"/>
    <w:rsid w:val="14B4083D"/>
    <w:rsid w:val="156C2EC6"/>
    <w:rsid w:val="15C56B00"/>
    <w:rsid w:val="16132CB9"/>
    <w:rsid w:val="16B20DAC"/>
    <w:rsid w:val="16B25250"/>
    <w:rsid w:val="16B8213B"/>
    <w:rsid w:val="16D2144F"/>
    <w:rsid w:val="17836BED"/>
    <w:rsid w:val="178C5AA1"/>
    <w:rsid w:val="17AD77C6"/>
    <w:rsid w:val="180933FC"/>
    <w:rsid w:val="185C6006"/>
    <w:rsid w:val="18616F2E"/>
    <w:rsid w:val="191221DB"/>
    <w:rsid w:val="19235F91"/>
    <w:rsid w:val="19800B64"/>
    <w:rsid w:val="19836A30"/>
    <w:rsid w:val="199944A6"/>
    <w:rsid w:val="19FD4A34"/>
    <w:rsid w:val="1A533F79"/>
    <w:rsid w:val="1A5A1E87"/>
    <w:rsid w:val="1B2F179A"/>
    <w:rsid w:val="1B6F3710"/>
    <w:rsid w:val="1C250273"/>
    <w:rsid w:val="1D01483C"/>
    <w:rsid w:val="1D5D57EA"/>
    <w:rsid w:val="1DD7559C"/>
    <w:rsid w:val="1E171E3D"/>
    <w:rsid w:val="1EBA2EF4"/>
    <w:rsid w:val="1EC41FC5"/>
    <w:rsid w:val="1EFE3E02"/>
    <w:rsid w:val="1F78690B"/>
    <w:rsid w:val="1FA40E26"/>
    <w:rsid w:val="20181E55"/>
    <w:rsid w:val="20200F8C"/>
    <w:rsid w:val="204B20BB"/>
    <w:rsid w:val="204F1D62"/>
    <w:rsid w:val="205C7FDB"/>
    <w:rsid w:val="20CA763A"/>
    <w:rsid w:val="21294361"/>
    <w:rsid w:val="21661758"/>
    <w:rsid w:val="227635D6"/>
    <w:rsid w:val="229E0D7F"/>
    <w:rsid w:val="22BA5BB9"/>
    <w:rsid w:val="230D784D"/>
    <w:rsid w:val="23B95F13"/>
    <w:rsid w:val="24174945"/>
    <w:rsid w:val="24212C83"/>
    <w:rsid w:val="244020ED"/>
    <w:rsid w:val="246851A0"/>
    <w:rsid w:val="248B32E5"/>
    <w:rsid w:val="24B17D3C"/>
    <w:rsid w:val="24EE1B49"/>
    <w:rsid w:val="25867FD4"/>
    <w:rsid w:val="259C77F7"/>
    <w:rsid w:val="262A3A04"/>
    <w:rsid w:val="269C7383"/>
    <w:rsid w:val="26B66697"/>
    <w:rsid w:val="273D46C2"/>
    <w:rsid w:val="27435A51"/>
    <w:rsid w:val="27466F3A"/>
    <w:rsid w:val="276F4A98"/>
    <w:rsid w:val="283B6E9A"/>
    <w:rsid w:val="28414686"/>
    <w:rsid w:val="287C746C"/>
    <w:rsid w:val="288D3427"/>
    <w:rsid w:val="28C3509B"/>
    <w:rsid w:val="28D44D60"/>
    <w:rsid w:val="29F55569"/>
    <w:rsid w:val="2A2453F2"/>
    <w:rsid w:val="2A6D1762"/>
    <w:rsid w:val="2A9C2048"/>
    <w:rsid w:val="2AF37C49"/>
    <w:rsid w:val="2BF37A45"/>
    <w:rsid w:val="2C1A3224"/>
    <w:rsid w:val="2C5129BE"/>
    <w:rsid w:val="2C5F332D"/>
    <w:rsid w:val="2CCB451E"/>
    <w:rsid w:val="2CDC497D"/>
    <w:rsid w:val="2D9E1C33"/>
    <w:rsid w:val="2DA03BFD"/>
    <w:rsid w:val="2DA336ED"/>
    <w:rsid w:val="2DD45655"/>
    <w:rsid w:val="2E556795"/>
    <w:rsid w:val="2E7221A8"/>
    <w:rsid w:val="2EC67693"/>
    <w:rsid w:val="2EE30245"/>
    <w:rsid w:val="2F087CAC"/>
    <w:rsid w:val="2F0E4B96"/>
    <w:rsid w:val="2F1A353B"/>
    <w:rsid w:val="2F1F6DA3"/>
    <w:rsid w:val="2F397E65"/>
    <w:rsid w:val="2F620882"/>
    <w:rsid w:val="2F633134"/>
    <w:rsid w:val="2F882B9B"/>
    <w:rsid w:val="2FA86D99"/>
    <w:rsid w:val="308E5F8F"/>
    <w:rsid w:val="312F3756"/>
    <w:rsid w:val="31496359"/>
    <w:rsid w:val="315E0057"/>
    <w:rsid w:val="318D4498"/>
    <w:rsid w:val="3199108F"/>
    <w:rsid w:val="319F16AA"/>
    <w:rsid w:val="31CC4FC0"/>
    <w:rsid w:val="31F167D5"/>
    <w:rsid w:val="3216448E"/>
    <w:rsid w:val="321D581C"/>
    <w:rsid w:val="323963CE"/>
    <w:rsid w:val="3273368E"/>
    <w:rsid w:val="32963820"/>
    <w:rsid w:val="32E20814"/>
    <w:rsid w:val="3311194C"/>
    <w:rsid w:val="337771AE"/>
    <w:rsid w:val="33F94067"/>
    <w:rsid w:val="34480B4A"/>
    <w:rsid w:val="34821AD6"/>
    <w:rsid w:val="34DF500B"/>
    <w:rsid w:val="35A52FD0"/>
    <w:rsid w:val="35D501BC"/>
    <w:rsid w:val="36407D2B"/>
    <w:rsid w:val="36BE3BE8"/>
    <w:rsid w:val="36DA26A7"/>
    <w:rsid w:val="36DB5CA6"/>
    <w:rsid w:val="37227431"/>
    <w:rsid w:val="3756532C"/>
    <w:rsid w:val="37B01725"/>
    <w:rsid w:val="38061044"/>
    <w:rsid w:val="381C3783"/>
    <w:rsid w:val="389E342F"/>
    <w:rsid w:val="38C5276A"/>
    <w:rsid w:val="39783C80"/>
    <w:rsid w:val="399551B1"/>
    <w:rsid w:val="39D619B3"/>
    <w:rsid w:val="3A445910"/>
    <w:rsid w:val="3A557B1D"/>
    <w:rsid w:val="3A726921"/>
    <w:rsid w:val="3A765FE2"/>
    <w:rsid w:val="3B653D90"/>
    <w:rsid w:val="3B7D732B"/>
    <w:rsid w:val="3BAE3989"/>
    <w:rsid w:val="3BCC3E0F"/>
    <w:rsid w:val="3BD66A3C"/>
    <w:rsid w:val="3C424796"/>
    <w:rsid w:val="3CC044ED"/>
    <w:rsid w:val="3CC25530"/>
    <w:rsid w:val="3CC52D38"/>
    <w:rsid w:val="3CD13DD3"/>
    <w:rsid w:val="3D0715A3"/>
    <w:rsid w:val="3DA212CB"/>
    <w:rsid w:val="3DBB238D"/>
    <w:rsid w:val="3DBD6105"/>
    <w:rsid w:val="3E4405D4"/>
    <w:rsid w:val="3E9C5D1B"/>
    <w:rsid w:val="3F375A43"/>
    <w:rsid w:val="3FA4757D"/>
    <w:rsid w:val="3FB6105E"/>
    <w:rsid w:val="3FE444E6"/>
    <w:rsid w:val="40393555"/>
    <w:rsid w:val="40583EC3"/>
    <w:rsid w:val="40642868"/>
    <w:rsid w:val="407A652F"/>
    <w:rsid w:val="40923879"/>
    <w:rsid w:val="410F592B"/>
    <w:rsid w:val="411424E0"/>
    <w:rsid w:val="41641264"/>
    <w:rsid w:val="41700BEB"/>
    <w:rsid w:val="426C3C56"/>
    <w:rsid w:val="42786A9F"/>
    <w:rsid w:val="42BC1743"/>
    <w:rsid w:val="42EE53FF"/>
    <w:rsid w:val="43E4263E"/>
    <w:rsid w:val="45554E75"/>
    <w:rsid w:val="459D60E3"/>
    <w:rsid w:val="45B70627"/>
    <w:rsid w:val="45CA5863"/>
    <w:rsid w:val="45E5444B"/>
    <w:rsid w:val="46362EF9"/>
    <w:rsid w:val="465515D1"/>
    <w:rsid w:val="468E4AE3"/>
    <w:rsid w:val="46F54E2D"/>
    <w:rsid w:val="46FD57C4"/>
    <w:rsid w:val="47925F0D"/>
    <w:rsid w:val="47A143DA"/>
    <w:rsid w:val="47E81E53"/>
    <w:rsid w:val="48A028AB"/>
    <w:rsid w:val="48B545A9"/>
    <w:rsid w:val="495C0DBE"/>
    <w:rsid w:val="49CB1BAA"/>
    <w:rsid w:val="4A070E34"/>
    <w:rsid w:val="4A4F4589"/>
    <w:rsid w:val="4AB60164"/>
    <w:rsid w:val="4B8E06C7"/>
    <w:rsid w:val="4C934BC0"/>
    <w:rsid w:val="4CFB09F8"/>
    <w:rsid w:val="4D057181"/>
    <w:rsid w:val="4D0C4FC0"/>
    <w:rsid w:val="4D447CA9"/>
    <w:rsid w:val="4D5123C6"/>
    <w:rsid w:val="4D6B792C"/>
    <w:rsid w:val="4DA16EA9"/>
    <w:rsid w:val="4DDA060D"/>
    <w:rsid w:val="4DED1912"/>
    <w:rsid w:val="4E257ADB"/>
    <w:rsid w:val="4E353A96"/>
    <w:rsid w:val="4EAD187E"/>
    <w:rsid w:val="4EB175C0"/>
    <w:rsid w:val="4EB62E28"/>
    <w:rsid w:val="4F0911AA"/>
    <w:rsid w:val="4F78309C"/>
    <w:rsid w:val="4F7E394E"/>
    <w:rsid w:val="50A20D13"/>
    <w:rsid w:val="50AD3DB7"/>
    <w:rsid w:val="50AF7B2F"/>
    <w:rsid w:val="50B02F71"/>
    <w:rsid w:val="50C26CF2"/>
    <w:rsid w:val="50EC0D83"/>
    <w:rsid w:val="50FE0CB7"/>
    <w:rsid w:val="512D188F"/>
    <w:rsid w:val="51363DAD"/>
    <w:rsid w:val="513B5867"/>
    <w:rsid w:val="5144673C"/>
    <w:rsid w:val="519D207E"/>
    <w:rsid w:val="51EC090F"/>
    <w:rsid w:val="51FB00AC"/>
    <w:rsid w:val="52E57838"/>
    <w:rsid w:val="538A03E0"/>
    <w:rsid w:val="542B3971"/>
    <w:rsid w:val="54335EE7"/>
    <w:rsid w:val="5463310B"/>
    <w:rsid w:val="54AF45A2"/>
    <w:rsid w:val="54C142D5"/>
    <w:rsid w:val="55254864"/>
    <w:rsid w:val="553C395C"/>
    <w:rsid w:val="559248AA"/>
    <w:rsid w:val="55BA1450"/>
    <w:rsid w:val="56037691"/>
    <w:rsid w:val="56083D8A"/>
    <w:rsid w:val="56135E24"/>
    <w:rsid w:val="5630526E"/>
    <w:rsid w:val="564017AC"/>
    <w:rsid w:val="567B0721"/>
    <w:rsid w:val="56F97D56"/>
    <w:rsid w:val="57081D47"/>
    <w:rsid w:val="57E97DCB"/>
    <w:rsid w:val="57EF1159"/>
    <w:rsid w:val="583059FA"/>
    <w:rsid w:val="5847689F"/>
    <w:rsid w:val="58532B2C"/>
    <w:rsid w:val="58984204"/>
    <w:rsid w:val="58C47EF0"/>
    <w:rsid w:val="59285798"/>
    <w:rsid w:val="596F60AE"/>
    <w:rsid w:val="59CF4D9E"/>
    <w:rsid w:val="5A2A0227"/>
    <w:rsid w:val="5A7B0A82"/>
    <w:rsid w:val="5B0311A3"/>
    <w:rsid w:val="5BB5218E"/>
    <w:rsid w:val="5BFE5E0F"/>
    <w:rsid w:val="5CAA564F"/>
    <w:rsid w:val="5E361890"/>
    <w:rsid w:val="5EDA046D"/>
    <w:rsid w:val="5EE237C6"/>
    <w:rsid w:val="5EFF7ED4"/>
    <w:rsid w:val="5F7679C4"/>
    <w:rsid w:val="5F7F2DC3"/>
    <w:rsid w:val="5FBF1411"/>
    <w:rsid w:val="601A09BC"/>
    <w:rsid w:val="60395667"/>
    <w:rsid w:val="60AA0313"/>
    <w:rsid w:val="610D33E8"/>
    <w:rsid w:val="614222FA"/>
    <w:rsid w:val="615E35D8"/>
    <w:rsid w:val="619568CD"/>
    <w:rsid w:val="61B36CE4"/>
    <w:rsid w:val="61E67129"/>
    <w:rsid w:val="621A5025"/>
    <w:rsid w:val="62CC27C3"/>
    <w:rsid w:val="635A7DCF"/>
    <w:rsid w:val="637D586B"/>
    <w:rsid w:val="63872EA4"/>
    <w:rsid w:val="63F26259"/>
    <w:rsid w:val="64061D04"/>
    <w:rsid w:val="640A365A"/>
    <w:rsid w:val="640E2967"/>
    <w:rsid w:val="64754794"/>
    <w:rsid w:val="64FD7B2B"/>
    <w:rsid w:val="652E1513"/>
    <w:rsid w:val="65657678"/>
    <w:rsid w:val="657B402C"/>
    <w:rsid w:val="657F58CB"/>
    <w:rsid w:val="65C07C91"/>
    <w:rsid w:val="66CA526B"/>
    <w:rsid w:val="67C12792"/>
    <w:rsid w:val="67DD0FCE"/>
    <w:rsid w:val="687436E1"/>
    <w:rsid w:val="687A681D"/>
    <w:rsid w:val="68D73C6F"/>
    <w:rsid w:val="690B56C7"/>
    <w:rsid w:val="696A4D66"/>
    <w:rsid w:val="69867965"/>
    <w:rsid w:val="699456BD"/>
    <w:rsid w:val="6A4E3ABD"/>
    <w:rsid w:val="6A9A31A7"/>
    <w:rsid w:val="6AD06BC8"/>
    <w:rsid w:val="6B032AFA"/>
    <w:rsid w:val="6B3929BF"/>
    <w:rsid w:val="6B3D425E"/>
    <w:rsid w:val="6B431148"/>
    <w:rsid w:val="6B56531F"/>
    <w:rsid w:val="6B575C91"/>
    <w:rsid w:val="6B99520C"/>
    <w:rsid w:val="6BB8040C"/>
    <w:rsid w:val="6C5C6966"/>
    <w:rsid w:val="6C6E5E1A"/>
    <w:rsid w:val="6C8E2897"/>
    <w:rsid w:val="6CDF30F3"/>
    <w:rsid w:val="6D282CEC"/>
    <w:rsid w:val="6D921E65"/>
    <w:rsid w:val="6DF606F4"/>
    <w:rsid w:val="6E077E25"/>
    <w:rsid w:val="6E267136"/>
    <w:rsid w:val="6E2D67FA"/>
    <w:rsid w:val="6E6E0BD2"/>
    <w:rsid w:val="6E91041D"/>
    <w:rsid w:val="6ECB392F"/>
    <w:rsid w:val="6F562B93"/>
    <w:rsid w:val="6FA348AB"/>
    <w:rsid w:val="6FBB39A3"/>
    <w:rsid w:val="6FD23894"/>
    <w:rsid w:val="6FE23626"/>
    <w:rsid w:val="70383246"/>
    <w:rsid w:val="703D260A"/>
    <w:rsid w:val="7060279C"/>
    <w:rsid w:val="70626FA0"/>
    <w:rsid w:val="70756EB2"/>
    <w:rsid w:val="71E73078"/>
    <w:rsid w:val="7258197D"/>
    <w:rsid w:val="72C60FDD"/>
    <w:rsid w:val="72EB27F1"/>
    <w:rsid w:val="730241B0"/>
    <w:rsid w:val="731A1328"/>
    <w:rsid w:val="73587D13"/>
    <w:rsid w:val="743B50B2"/>
    <w:rsid w:val="74BF5CE3"/>
    <w:rsid w:val="750977D2"/>
    <w:rsid w:val="75263FB5"/>
    <w:rsid w:val="75693EA1"/>
    <w:rsid w:val="75B25848"/>
    <w:rsid w:val="766528BB"/>
    <w:rsid w:val="768F268A"/>
    <w:rsid w:val="76C92E49"/>
    <w:rsid w:val="77617526"/>
    <w:rsid w:val="777A05E8"/>
    <w:rsid w:val="781A1483"/>
    <w:rsid w:val="781F0851"/>
    <w:rsid w:val="7820118F"/>
    <w:rsid w:val="782A7918"/>
    <w:rsid w:val="78B00E0E"/>
    <w:rsid w:val="78C94F9D"/>
    <w:rsid w:val="78FD502C"/>
    <w:rsid w:val="79053EE1"/>
    <w:rsid w:val="796450AB"/>
    <w:rsid w:val="79EB30D7"/>
    <w:rsid w:val="7A293F0A"/>
    <w:rsid w:val="7A5E24AA"/>
    <w:rsid w:val="7ACB4CB6"/>
    <w:rsid w:val="7AF5153E"/>
    <w:rsid w:val="7B02692A"/>
    <w:rsid w:val="7B486307"/>
    <w:rsid w:val="7B5B603A"/>
    <w:rsid w:val="7B5C744A"/>
    <w:rsid w:val="7BA55C3B"/>
    <w:rsid w:val="7BD858DD"/>
    <w:rsid w:val="7BE9361F"/>
    <w:rsid w:val="7C6B49A3"/>
    <w:rsid w:val="7C765821"/>
    <w:rsid w:val="7C856E44"/>
    <w:rsid w:val="7CD24A22"/>
    <w:rsid w:val="7D366D5F"/>
    <w:rsid w:val="7DD722F0"/>
    <w:rsid w:val="7E32210A"/>
    <w:rsid w:val="7EB10D93"/>
    <w:rsid w:val="7EC87E8B"/>
    <w:rsid w:val="7EF70770"/>
    <w:rsid w:val="7F052E8D"/>
    <w:rsid w:val="7F270942"/>
    <w:rsid w:val="7F413799"/>
    <w:rsid w:val="7F480FCB"/>
    <w:rsid w:val="7F5D6825"/>
    <w:rsid w:val="7F671451"/>
    <w:rsid w:val="7F674918"/>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4"/>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4">
    <w:name w:val="heading 3"/>
    <w:basedOn w:val="1"/>
    <w:next w:val="1"/>
    <w:link w:val="25"/>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6"/>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7"/>
    <w:basedOn w:val="1"/>
    <w:next w:val="1"/>
    <w:unhideWhenUsed/>
    <w:qFormat/>
    <w:uiPriority w:val="0"/>
    <w:pPr>
      <w:keepNext/>
      <w:keepLines/>
      <w:spacing w:before="260" w:after="120" w:line="320" w:lineRule="auto"/>
      <w:outlineLvl w:val="6"/>
    </w:pPr>
    <w:rPr>
      <w:rFonts w:ascii="Times New Roman" w:hAnsi="Times New Roman" w:eastAsia="楷体" w:cstheme="minorBidi"/>
      <w:b/>
      <w:bCs/>
      <w:sz w:val="24"/>
      <w:szCs w:val="24"/>
    </w:rPr>
  </w:style>
  <w:style w:type="character" w:default="1" w:styleId="19">
    <w:name w:val="Default Paragraph Font"/>
    <w:autoRedefine/>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7">
    <w:name w:val="Body Text"/>
    <w:basedOn w:val="1"/>
    <w:next w:val="8"/>
    <w:autoRedefine/>
    <w:qFormat/>
    <w:uiPriority w:val="0"/>
    <w:pPr>
      <w:spacing w:after="120" w:afterLines="0" w:afterAutospacing="0"/>
    </w:pPr>
  </w:style>
  <w:style w:type="paragraph" w:styleId="8">
    <w:name w:val="Title"/>
    <w:basedOn w:val="1"/>
    <w:next w:val="1"/>
    <w:link w:val="27"/>
    <w:qFormat/>
    <w:uiPriority w:val="10"/>
    <w:pPr>
      <w:adjustRightInd w:val="0"/>
      <w:snapToGrid w:val="0"/>
      <w:spacing w:before="0" w:after="0" w:line="360" w:lineRule="auto"/>
      <w:jc w:val="center"/>
    </w:pPr>
    <w:rPr>
      <w:rFonts w:ascii="黑体" w:hAnsi="黑体" w:eastAsia="黑体" w:cs="黑体"/>
      <w:sz w:val="24"/>
      <w:szCs w:val="24"/>
    </w:rPr>
  </w:style>
  <w:style w:type="paragraph" w:styleId="9">
    <w:name w:val="Body Text Indent"/>
    <w:basedOn w:val="1"/>
    <w:next w:val="10"/>
    <w:qFormat/>
    <w:uiPriority w:val="0"/>
    <w:pPr>
      <w:spacing w:after="120" w:afterLines="0" w:afterAutospacing="0"/>
      <w:ind w:left="420" w:leftChars="200"/>
    </w:pPr>
  </w:style>
  <w:style w:type="paragraph" w:customStyle="1" w:styleId="10">
    <w:name w:val="样式 正文文本缩进 + 行距: 1.5 倍行距"/>
    <w:basedOn w:val="1"/>
    <w:qFormat/>
    <w:uiPriority w:val="0"/>
    <w:pPr>
      <w:spacing w:after="120"/>
      <w:ind w:left="90" w:leftChars="32" w:firstLine="560"/>
    </w:pPr>
    <w:rPr>
      <w:rFonts w:cs="宋体"/>
    </w:rPr>
  </w:style>
  <w:style w:type="paragraph" w:styleId="11">
    <w:name w:val="footer"/>
    <w:basedOn w:val="1"/>
    <w:link w:val="29"/>
    <w:autoRedefine/>
    <w:unhideWhenUsed/>
    <w:qFormat/>
    <w:uiPriority w:val="99"/>
    <w:pPr>
      <w:tabs>
        <w:tab w:val="center" w:pos="4153"/>
        <w:tab w:val="right" w:pos="8306"/>
      </w:tabs>
      <w:snapToGrid w:val="0"/>
      <w:jc w:val="left"/>
    </w:pPr>
    <w:rPr>
      <w:sz w:val="18"/>
      <w:szCs w:val="18"/>
    </w:rPr>
  </w:style>
  <w:style w:type="paragraph" w:styleId="12">
    <w:name w:val="header"/>
    <w:basedOn w:val="1"/>
    <w:link w:val="2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line="400" w:lineRule="exact"/>
      <w:jc w:val="center"/>
    </w:pPr>
    <w:rPr>
      <w:rFonts w:ascii="Calibri" w:hAnsi="Calibri" w:eastAsia="楷体" w:cs="Times New Roman"/>
      <w:b/>
      <w:bCs/>
      <w:kern w:val="28"/>
      <w:szCs w:val="32"/>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Body Text First Indent"/>
    <w:basedOn w:val="7"/>
    <w:autoRedefine/>
    <w:qFormat/>
    <w:uiPriority w:val="0"/>
    <w:pPr>
      <w:ind w:firstLine="420" w:firstLineChars="100"/>
    </w:pPr>
  </w:style>
  <w:style w:type="paragraph" w:styleId="16">
    <w:name w:val="Body Text First Indent 2"/>
    <w:basedOn w:val="9"/>
    <w:next w:val="1"/>
    <w:qFormat/>
    <w:uiPriority w:val="0"/>
    <w:pPr>
      <w:ind w:firstLine="420" w:firstLineChars="200"/>
    </w:pPr>
  </w:style>
  <w:style w:type="table" w:styleId="18">
    <w:name w:val="Table Grid"/>
    <w:basedOn w:val="17"/>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paragraph" w:customStyle="1" w:styleId="22">
    <w:name w:val="0正文"/>
    <w:basedOn w:val="1"/>
    <w:qFormat/>
    <w:uiPriority w:val="0"/>
    <w:pPr>
      <w:ind w:firstLine="480" w:firstLineChars="200"/>
    </w:pPr>
  </w:style>
  <w:style w:type="character" w:customStyle="1" w:styleId="23">
    <w:name w:val="标题 2 字符"/>
    <w:basedOn w:val="19"/>
    <w:autoRedefine/>
    <w:semiHidden/>
    <w:qFormat/>
    <w:uiPriority w:val="9"/>
    <w:rPr>
      <w:rFonts w:asciiTheme="majorHAnsi" w:hAnsiTheme="majorHAnsi" w:eastAsiaTheme="majorEastAsia" w:cstheme="majorBidi"/>
      <w:b/>
      <w:bCs/>
      <w:sz w:val="32"/>
      <w:szCs w:val="32"/>
    </w:rPr>
  </w:style>
  <w:style w:type="character" w:customStyle="1" w:styleId="24">
    <w:name w:val="标题 2 字符1"/>
    <w:link w:val="3"/>
    <w:autoRedefine/>
    <w:qFormat/>
    <w:uiPriority w:val="9"/>
    <w:rPr>
      <w:rFonts w:ascii="宋体" w:hAnsi="宋体" w:eastAsia="宋体" w:cs="宋体"/>
      <w:b/>
      <w:bCs/>
      <w:kern w:val="0"/>
      <w:sz w:val="28"/>
      <w:szCs w:val="28"/>
    </w:rPr>
  </w:style>
  <w:style w:type="character" w:customStyle="1" w:styleId="25">
    <w:name w:val="标题 3 字符"/>
    <w:basedOn w:val="19"/>
    <w:link w:val="4"/>
    <w:autoRedefine/>
    <w:semiHidden/>
    <w:qFormat/>
    <w:uiPriority w:val="9"/>
    <w:rPr>
      <w:b/>
      <w:bCs/>
      <w:sz w:val="32"/>
      <w:szCs w:val="32"/>
    </w:rPr>
  </w:style>
  <w:style w:type="character" w:customStyle="1" w:styleId="26">
    <w:name w:val="标题 4 字符"/>
    <w:basedOn w:val="19"/>
    <w:link w:val="5"/>
    <w:autoRedefine/>
    <w:semiHidden/>
    <w:qFormat/>
    <w:uiPriority w:val="9"/>
    <w:rPr>
      <w:rFonts w:asciiTheme="majorHAnsi" w:hAnsiTheme="majorHAnsi" w:eastAsiaTheme="majorEastAsia" w:cstheme="majorBidi"/>
      <w:b/>
      <w:bCs/>
      <w:sz w:val="28"/>
      <w:szCs w:val="28"/>
    </w:rPr>
  </w:style>
  <w:style w:type="character" w:customStyle="1" w:styleId="27">
    <w:name w:val="标题 字符"/>
    <w:basedOn w:val="19"/>
    <w:link w:val="8"/>
    <w:autoRedefine/>
    <w:qFormat/>
    <w:uiPriority w:val="10"/>
    <w:rPr>
      <w:rFonts w:ascii="黑体" w:hAnsi="黑体" w:eastAsia="黑体" w:cs="黑体"/>
      <w:b/>
      <w:bCs/>
      <w:sz w:val="24"/>
      <w:szCs w:val="24"/>
    </w:rPr>
  </w:style>
  <w:style w:type="character" w:customStyle="1" w:styleId="28">
    <w:name w:val="页眉 字符"/>
    <w:basedOn w:val="19"/>
    <w:link w:val="12"/>
    <w:autoRedefine/>
    <w:qFormat/>
    <w:uiPriority w:val="99"/>
    <w:rPr>
      <w:sz w:val="18"/>
      <w:szCs w:val="18"/>
    </w:rPr>
  </w:style>
  <w:style w:type="character" w:customStyle="1" w:styleId="29">
    <w:name w:val="页脚 字符"/>
    <w:basedOn w:val="19"/>
    <w:link w:val="11"/>
    <w:autoRedefine/>
    <w:qFormat/>
    <w:uiPriority w:val="99"/>
    <w:rPr>
      <w:sz w:val="18"/>
      <w:szCs w:val="18"/>
    </w:rPr>
  </w:style>
  <w:style w:type="character" w:customStyle="1" w:styleId="30">
    <w:name w:val="标题 1 字符"/>
    <w:basedOn w:val="19"/>
    <w:link w:val="2"/>
    <w:autoRedefine/>
    <w:qFormat/>
    <w:uiPriority w:val="0"/>
    <w:rPr>
      <w:rFonts w:ascii="Calibri" w:hAnsi="Calibri" w:eastAsia="宋体" w:cs="Times New Roman"/>
      <w:b/>
      <w:bCs/>
      <w:kern w:val="44"/>
      <w:sz w:val="44"/>
      <w:szCs w:val="44"/>
    </w:rPr>
  </w:style>
  <w:style w:type="character" w:customStyle="1" w:styleId="31">
    <w:name w:val="副标题 字符"/>
    <w:basedOn w:val="19"/>
    <w:link w:val="13"/>
    <w:autoRedefine/>
    <w:qFormat/>
    <w:uiPriority w:val="0"/>
    <w:rPr>
      <w:rFonts w:ascii="Calibri" w:hAnsi="Calibri" w:eastAsia="楷体" w:cs="Times New Roman"/>
      <w:b/>
      <w:bCs/>
      <w:kern w:val="28"/>
      <w:szCs w:val="32"/>
    </w:rPr>
  </w:style>
  <w:style w:type="paragraph" w:styleId="32">
    <w:name w:val="List Paragraph"/>
    <w:basedOn w:val="1"/>
    <w:autoRedefine/>
    <w:qFormat/>
    <w:uiPriority w:val="34"/>
    <w:pPr>
      <w:ind w:firstLine="420" w:firstLineChars="200"/>
    </w:pPr>
  </w:style>
  <w:style w:type="paragraph" w:customStyle="1" w:styleId="33">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4">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5">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6">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7">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8">
    <w:name w:val="font31"/>
    <w:basedOn w:val="19"/>
    <w:qFormat/>
    <w:uiPriority w:val="0"/>
    <w:rPr>
      <w:rFonts w:hint="eastAsia" w:ascii="华文楷体" w:hAnsi="华文楷体" w:eastAsia="华文楷体" w:cs="华文楷体"/>
      <w:color w:val="000000"/>
      <w:sz w:val="22"/>
      <w:szCs w:val="22"/>
      <w:u w:val="none"/>
      <w:vertAlign w:val="subscript"/>
    </w:rPr>
  </w:style>
  <w:style w:type="character" w:customStyle="1" w:styleId="39">
    <w:name w:val="font21"/>
    <w:basedOn w:val="19"/>
    <w:qFormat/>
    <w:uiPriority w:val="0"/>
    <w:rPr>
      <w:rFonts w:hint="eastAsia" w:ascii="华文楷体" w:hAnsi="华文楷体" w:eastAsia="华文楷体" w:cs="华文楷体"/>
      <w:color w:val="000000"/>
      <w:sz w:val="22"/>
      <w:szCs w:val="22"/>
      <w:u w:val="none"/>
    </w:rPr>
  </w:style>
  <w:style w:type="character" w:customStyle="1" w:styleId="40">
    <w:name w:val="font41"/>
    <w:basedOn w:val="19"/>
    <w:qFormat/>
    <w:uiPriority w:val="0"/>
    <w:rPr>
      <w:rFonts w:hint="eastAsia" w:ascii="华文楷体" w:hAnsi="华文楷体" w:eastAsia="华文楷体" w:cs="华文楷体"/>
      <w:color w:val="000000"/>
      <w:sz w:val="22"/>
      <w:szCs w:val="22"/>
      <w:u w:val="none"/>
      <w:vertAlign w:val="superscript"/>
    </w:rPr>
  </w:style>
  <w:style w:type="character" w:customStyle="1" w:styleId="41">
    <w:name w:val="font11"/>
    <w:basedOn w:val="19"/>
    <w:qFormat/>
    <w:uiPriority w:val="0"/>
    <w:rPr>
      <w:rFonts w:hint="eastAsia" w:ascii="华文楷体" w:hAnsi="华文楷体" w:eastAsia="华文楷体" w:cs="华文楷体"/>
      <w:color w:val="000000"/>
      <w:sz w:val="22"/>
      <w:szCs w:val="22"/>
      <w:u w:val="none"/>
    </w:rPr>
  </w:style>
  <w:style w:type="paragraph" w:customStyle="1" w:styleId="42">
    <w:name w:val="EndNote Bibliography"/>
    <w:basedOn w:val="1"/>
    <w:autoRedefine/>
    <w:qFormat/>
    <w:uiPriority w:val="0"/>
    <w:pPr>
      <w:ind w:firstLine="200" w:firstLineChars="200"/>
      <w:jc w:val="left"/>
    </w:pPr>
    <w:rPr>
      <w:sz w:val="20"/>
    </w:rPr>
  </w:style>
  <w:style w:type="paragraph" w:customStyle="1" w:styleId="43">
    <w:name w:val="列出段落1"/>
    <w:basedOn w:val="1"/>
    <w:qFormat/>
    <w:uiPriority w:val="34"/>
    <w:pPr>
      <w:ind w:firstLine="420" w:firstLineChars="200"/>
    </w:pPr>
  </w:style>
  <w:style w:type="paragraph" w:customStyle="1" w:styleId="44">
    <w:name w:val="正文文本1"/>
    <w:basedOn w:val="1"/>
    <w:qFormat/>
    <w:uiPriority w:val="0"/>
    <w:pPr>
      <w:shd w:val="clear" w:color="auto" w:fill="FFFFFF"/>
      <w:spacing w:line="610" w:lineRule="exact"/>
      <w:jc w:val="center"/>
    </w:pPr>
    <w:rPr>
      <w:rFonts w:ascii="宋体" w:hAnsi="宋体" w:eastAsia="宋体" w:cs="宋体"/>
      <w:sz w:val="28"/>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339</Words>
  <Characters>352</Characters>
  <Lines>35</Lines>
  <Paragraphs>9</Paragraphs>
  <TotalTime>1</TotalTime>
  <ScaleCrop>false</ScaleCrop>
  <LinksUpToDate>false</LinksUpToDate>
  <CharactersWithSpaces>358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2026-05-27T07:58:51Z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012170A0420347A89154D3512890171D_12</vt:lpwstr>
  </property>
  <property fmtid="{D5CDD505-2E9C-101B-9397-08002B2CF9AE}" pid="4" name="KSOTemplateDocerSaveRecord">
    <vt:lpwstr>eyJoZGlkIjoiMDc5ZmMwZTNkY2FjMjU1Y2Y4ZTlkNzhjNmI4MDEyNjciLCJ1c2VySWQiOiI0NDQ3MDkxMjgifQ==</vt:lpwstr>
  </property>
</Properties>
</file>