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420794C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bookmarkStart w:id="0" w:name="_Hlk88569120"/>
      <w:r>
        <w:rPr>
          <w:rFonts w:hint="eastAsia" w:ascii="隶书" w:hAnsi="隶书" w:eastAsia="隶书" w:cs="隶书"/>
          <w:lang w:val="en-US" w:eastAsia="zh-CN"/>
        </w:rPr>
        <w:t>复杂氧化矿分质预处理及智能配矿设备</w:t>
      </w:r>
    </w:p>
    <w:p w14:paraId="57E6DF2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集成装置设计</w:t>
      </w:r>
    </w:p>
    <w:bookmarkEnd w:id="0"/>
    <w:p w14:paraId="52F3F73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孙晋琳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1,2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 张廷虎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1,2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 李龙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1,2</w:t>
      </w:r>
    </w:p>
    <w:p w14:paraId="204CC2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default" w:ascii="楷体" w:hAnsi="楷体" w:eastAsia="楷体" w:cs="楷体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1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 xml:space="preserve">云南黄金矿业集团股份有限公司 </w:t>
      </w:r>
      <w:r>
        <w:rPr>
          <w:rFonts w:hint="eastAsia" w:ascii="楷体" w:hAnsi="楷体" w:eastAsia="楷体" w:cs="楷体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鹤庆北衙矿业有限公司</w:t>
      </w:r>
    </w:p>
    <w:p w14:paraId="7399C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676B1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针对红土矿、赤褐铁矿、高铜硫矿等复杂多金属氧化矿混合配矿存在的配矿精度低、物料适应性差、检测调控滞后等技术瓶颈，研发一套集分质预处理、在线品位检测、动态闭环配比、多级强制匀质于一体的智能配矿系统。系统采用三条独立预处理线，分别解决红土矿高泥黏结、赤褐铁矿块度不均、高铜硫矿硫含量波动大的物性冲突问题；通过X射线荧光分析仪与皮带秤构建双信号反馈回路，依托模糊PID算法实现给料量实时调节；最终经多级搅拌混合器完成物料均化。该系统可将混合矿Fe品位波动控制在±1.2%以内，Cu、S组分偏差≤±0.15%，浮选回收率提升3~4个百分点，药剂消耗降低15%以上，生产运行稳定可靠，可为同类复杂氧化矿选矿厂配矿工艺升级提供技术参考。</w:t>
      </w:r>
    </w:p>
    <w:p w14:paraId="464BE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复杂氧化矿 分质预处理 智能配矿 在线检测 闭环控制</w:t>
      </w:r>
    </w:p>
    <w:p w14:paraId="1A807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" w:name="heading_0"/>
    </w:p>
    <w:p w14:paraId="05833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引言</w:t>
      </w:r>
      <w:bookmarkEnd w:id="1"/>
    </w:p>
    <w:p w14:paraId="365A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我国氧化矿资源储量丰富、类型多样，红土矿、赤褐铁矿、高铜硫矿等多矿种共伴生特征显著，是铁、铜、金、银等多金属回收的重要原料来源。但此类矿石物理化学性质差异极大：红土矿含泥量高（＞20%）、黏性强，易造成溜槽堵塞与输送中断；赤褐铁矿块度跨度大（0~200mm）、硬度分布不均，破碎与混合均匀性难以保证；高铜硫矿硫化物含量高、Cu/S品位波动剧烈，未预处理直接配矿会显著增加浮选药剂消耗、降低金属回收率。</w:t>
      </w:r>
    </w:p>
    <w:p w14:paraId="41822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传统配矿以人工经验为主，依赖离线采样化验，检测周期长达2h以上，存在配矿精度低、响应滞后、指标稳定性差等问题。生产数据显示，传统工艺混合矿Fe品位波动可达±2.5%，Cu/S组分偏差超±1.2%，浮选回收率波动达±4%，难以满足后续磨矿、浮选及冶炼工序的稳定作业要求。</w:t>
      </w:r>
    </w:p>
    <w:p w14:paraId="26F3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随着智能矿山建设的快速推进，基于分质预处理+在线检测+动态调控的集成化配矿技术，成为解决复杂氧化矿多矿种配矿难题的核心方向。本文基于复杂氧化矿物性差异，设计模块化、闭环控制的智能配矿系统，阐明系统结构、工作原理与关键技术参数，并提出系统优化方向，为同类矿山工艺优化提供工程依据。</w:t>
      </w:r>
    </w:p>
    <w:p w14:paraId="19F13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" w:name="heading_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 矿石物性与传统配矿技术瓶颈</w:t>
      </w:r>
      <w:bookmarkEnd w:id="2"/>
    </w:p>
    <w:p w14:paraId="50C01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3" w:name="heading_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1.1 复杂氧化矿物性特征</w:t>
      </w:r>
      <w:bookmarkEnd w:id="3"/>
    </w:p>
    <w:p w14:paraId="6C1AF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（1）红土矿：细泥含量高、含水率高、黏附性强，Fe品位偏低，常规输送与混合设备易黏结堵料，物料流动性差。</w:t>
      </w:r>
    </w:p>
    <w:p w14:paraId="4AEE8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（2）赤褐铁矿：块度分布极不均匀，大块矿石占比高，矿物硬度差异大，破碎后粒度离散性显著，影响混合均匀度。</w:t>
      </w:r>
    </w:p>
    <w:p w14:paraId="259F5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（3）高铜硫矿：氧化矿与硫化矿共生，Cu、S品位波动大，硫化矿物可浮性强，未脱硫配矿会恶化浮选分离效果，增加药剂成本。</w:t>
      </w:r>
    </w:p>
    <w:p w14:paraId="2EC09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4" w:name="heading_3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1.2 传统配矿技术缺陷</w:t>
      </w:r>
      <w:bookmarkEnd w:id="4"/>
    </w:p>
    <w:p w14:paraId="316E1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（1）缺乏分质预处理：多矿种共用一条处理线，物性冲突导致设备故障率高、预处理效果差。</w:t>
      </w:r>
    </w:p>
    <w:p w14:paraId="1C471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（2）配矿精度不足：人工经验配矿无量化依据，组分波动大，难以稳定满足生产指标。</w:t>
      </w:r>
    </w:p>
    <w:p w14:paraId="6D540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（3）检测与调控滞后：离线化验周期长，无法实时调整配比，过程控制被动。</w:t>
      </w:r>
    </w:p>
    <w:p w14:paraId="33486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（4）混合匀质化程度低：无强制混合装置，物料宏观均匀性不足，后续工序指标波动大。</w:t>
      </w:r>
    </w:p>
    <w:p w14:paraId="5ADC1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5" w:name="heading_4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智能配矿系统设计</w:t>
      </w:r>
      <w:bookmarkEnd w:id="5"/>
    </w:p>
    <w:p w14:paraId="798A5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6" w:name="heading_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2.1 总体结构</w:t>
      </w:r>
      <w:bookmarkEnd w:id="6"/>
    </w:p>
    <w:p w14:paraId="5009D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系统由分质预处理系统、智能检测配比系统、均质混合输送系统三部分组成，形成“预处理—检测—配比—混合”全流程闭环协同控制，整体结构如图1所示。</w:t>
      </w:r>
    </w:p>
    <w:p w14:paraId="472DF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ind w:left="0" w:firstLine="4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lang w:val="en-US" w:eastAsia="zh-CN"/>
        </w:rPr>
        <w:object>
          <v:shape id="_x0000_i1028" o:spt="75" alt="" type="#_x0000_t75" style="height:325.7pt;width:369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5" ShapeID="_x0000_i1028" DrawAspect="Content" ObjectID="_1468075725" r:id="rId4">
            <o:LockedField>false</o:LockedField>
          </o:OLEObject>
        </w:object>
      </w:r>
    </w:p>
    <w:p w14:paraId="6EDBD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图1 复杂性质氧化矿智能配矿系统结构流程图</w:t>
      </w:r>
    </w:p>
    <w:p w14:paraId="25E53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系统由分质预处理系统、智能检测配比系统、均质混合输送系统三部分组成，形成“预处理—检测—配比—混合”全流程闭环协同控制。原料端分别输入红土矿、赤褐铁矿、高铜硫矿，经三条独立预处理线完成针对性处理后存入对应储备仓；各储备仓通过变频给料机将物料输送至皮带秤，同步经X射线荧光分析仪实时检测品位，检测数据与流量数据传输至PLC控制器，通过模糊PID算法动态调节给料频率，实现精准配比；最后经多级强制混合器充分匀化，输出合格混合矿供后续工序使用，形成全程自动化、闭环可控的配矿工艺。</w:t>
      </w:r>
    </w:p>
    <w:p w14:paraId="66CD7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7" w:name="heading_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 分质预处理</w:t>
      </w:r>
      <w:bookmarkEnd w:id="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系统</w:t>
      </w:r>
    </w:p>
    <w:p w14:paraId="00FE9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采用三条独立预处理线，针对性解决各矿种物性缺陷，核心设备与工艺参数如下：</w:t>
      </w:r>
    </w:p>
    <w:p w14:paraId="644B9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表1 分质预处理单元关键设备与工艺参数</w:t>
      </w:r>
    </w:p>
    <w:tbl>
      <w:tblPr>
        <w:tblStyle w:val="17"/>
        <w:tblW w:w="4998" w:type="pct"/>
        <w:jc w:val="center"/>
        <w:tblBorders>
          <w:top w:val="single" w:color="000000" w:sz="12" w:space="0"/>
          <w:left w:val="single" w:color="DEE0E3" w:sz="2" w:space="0"/>
          <w:bottom w:val="single" w:color="000000" w:sz="12" w:space="0"/>
          <w:right w:val="single" w:color="DEE0E3" w:sz="2" w:space="0"/>
          <w:insideH w:val="single" w:color="000000" w:sz="12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70"/>
        <w:gridCol w:w="2141"/>
        <w:gridCol w:w="2997"/>
        <w:gridCol w:w="2760"/>
      </w:tblGrid>
      <w:tr w14:paraId="22A8B9B4">
        <w:tblPrEx>
          <w:tblBorders>
            <w:top w:val="single" w:color="000000" w:sz="12" w:space="0"/>
            <w:left w:val="single" w:color="DEE0E3" w:sz="2" w:space="0"/>
            <w:bottom w:val="single" w:color="000000" w:sz="12" w:space="0"/>
            <w:right w:val="single" w:color="DEE0E3" w:sz="2" w:space="0"/>
            <w:insideH w:val="single" w:color="000000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9" w:hRule="atLeast"/>
          <w:jc w:val="center"/>
        </w:trPr>
        <w:tc>
          <w:tcPr>
            <w:tcW w:w="59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F9C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矿种</w:t>
            </w:r>
          </w:p>
        </w:tc>
        <w:tc>
          <w:tcPr>
            <w:tcW w:w="1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79A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firstLine="361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核心设备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963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firstLine="361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关键参数</w:t>
            </w:r>
          </w:p>
        </w:tc>
        <w:tc>
          <w:tcPr>
            <w:tcW w:w="153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0B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firstLine="361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处理目标</w:t>
            </w:r>
          </w:p>
        </w:tc>
      </w:tr>
      <w:tr w14:paraId="598043E9">
        <w:tblPrEx>
          <w:tblBorders>
            <w:top w:val="single" w:color="000000" w:sz="12" w:space="0"/>
            <w:left w:val="single" w:color="DEE0E3" w:sz="2" w:space="0"/>
            <w:bottom w:val="single" w:color="000000" w:sz="12" w:space="0"/>
            <w:right w:val="single" w:color="DEE0E3" w:sz="2" w:space="0"/>
            <w:insideH w:val="single" w:color="000000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atLeast"/>
          <w:jc w:val="center"/>
        </w:trPr>
        <w:tc>
          <w:tcPr>
            <w:tcW w:w="59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D21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红土矿</w:t>
            </w:r>
          </w:p>
        </w:tc>
        <w:tc>
          <w:tcPr>
            <w:tcW w:w="1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D55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振动脱泥筛+打散装置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BBC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筛孔5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mm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，振幅8~12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mm</w:t>
            </w:r>
          </w:p>
        </w:tc>
        <w:tc>
          <w:tcPr>
            <w:tcW w:w="153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F99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含泥量≤5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%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，流动性提升</w:t>
            </w:r>
          </w:p>
        </w:tc>
      </w:tr>
      <w:tr w14:paraId="24788286">
        <w:tblPrEx>
          <w:tblBorders>
            <w:top w:val="single" w:color="000000" w:sz="12" w:space="0"/>
            <w:left w:val="single" w:color="DEE0E3" w:sz="2" w:space="0"/>
            <w:bottom w:val="single" w:color="000000" w:sz="12" w:space="0"/>
            <w:right w:val="single" w:color="DEE0E3" w:sz="2" w:space="0"/>
            <w:insideH w:val="single" w:color="000000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1" w:hRule="atLeast"/>
          <w:jc w:val="center"/>
        </w:trPr>
        <w:tc>
          <w:tcPr>
            <w:tcW w:w="59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8F4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赤褐铁矿</w:t>
            </w:r>
          </w:p>
        </w:tc>
        <w:tc>
          <w:tcPr>
            <w:tcW w:w="1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B2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破碎辊+电磁除铁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F2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辊距5~15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mm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，磁场≥12000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Gs</w:t>
            </w:r>
          </w:p>
        </w:tc>
        <w:tc>
          <w:tcPr>
            <w:tcW w:w="153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C9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-10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mm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占比＞85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%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，除杂彻底</w:t>
            </w:r>
          </w:p>
        </w:tc>
      </w:tr>
      <w:tr w14:paraId="22612CA8">
        <w:tblPrEx>
          <w:tblBorders>
            <w:top w:val="single" w:color="000000" w:sz="12" w:space="0"/>
            <w:left w:val="single" w:color="DEE0E3" w:sz="2" w:space="0"/>
            <w:bottom w:val="single" w:color="000000" w:sz="12" w:space="0"/>
            <w:right w:val="single" w:color="DEE0E3" w:sz="2" w:space="0"/>
            <w:insideH w:val="single" w:color="000000" w:sz="1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86" w:hRule="atLeast"/>
          <w:jc w:val="center"/>
        </w:trPr>
        <w:tc>
          <w:tcPr>
            <w:tcW w:w="596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3AB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高铜硫矿</w:t>
            </w:r>
          </w:p>
        </w:tc>
        <w:tc>
          <w:tcPr>
            <w:tcW w:w="1193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60B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脱硫风选+双层振动筛</w:t>
            </w:r>
          </w:p>
        </w:tc>
        <w:tc>
          <w:tcPr>
            <w:tcW w:w="1670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0AD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风速15~25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m/s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，12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mm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/3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mm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筛</w:t>
            </w:r>
          </w:p>
        </w:tc>
        <w:tc>
          <w:tcPr>
            <w:tcW w:w="1538" w:type="pct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A3C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脱硫率≈40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18"/>
              </w:rPr>
              <w:t>%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，粒度均匀</w:t>
            </w:r>
          </w:p>
        </w:tc>
      </w:tr>
    </w:tbl>
    <w:p w14:paraId="4E2BC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8" w:name="heading_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2.2.1 红土矿预处理线</w:t>
      </w:r>
      <w:bookmarkEnd w:id="8"/>
      <w:bookmarkStart w:id="25" w:name="_GoBack"/>
      <w:bookmarkEnd w:id="25"/>
    </w:p>
    <w:p w14:paraId="646CA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主要设备：5mm振动脱泥筛、打散装置、气力输送系统、红土矿储备仓。</w:t>
      </w:r>
    </w:p>
    <w:p w14:paraId="30877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工艺流程：原矿经5mm振动脱泥筛筛分，筛下细泥排入泥矿仓，筛上颗粒进入打散装置分散，再通过气力输送至储备仓，可将含泥量由20%降至5%以下，显著改善物料流动性。振动脱泥筛振幅812mm，打散装置转速200300 r/min，气力输送管径200mm、气流速度12~15m/s。</w:t>
      </w:r>
    </w:p>
    <w:p w14:paraId="0F3FE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9" w:name="heading_8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2.2.2 赤褐铁矿预处理线</w:t>
      </w:r>
      <w:bookmarkEnd w:id="9"/>
    </w:p>
    <w:p w14:paraId="5AAB9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主要设备：辊间距可调破碎辊、电磁除铁皮带输送机、赤褐铁矿储备仓。</w:t>
      </w:r>
    </w:p>
    <w:p w14:paraId="5BB6E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u w:val="none"/>
        </w:rPr>
      </w:pPr>
      <w:r>
        <w:rPr>
          <w:rFonts w:hint="eastAsia" w:ascii="宋体" w:hAnsi="宋体" w:eastAsia="宋体" w:cs="宋体"/>
          <w:lang w:val="en-US" w:eastAsia="zh-CN"/>
        </w:rPr>
        <w:t>工艺流程：大块矿石经破碎辊破碎至-10mm粒级占比＞85%，再通过电磁除铁器去除磁性杂质，防止设备磨损与干扰后续检测，处理后物料入仓备用。破碎辊辊距可调范围515mm、转速1030r/min，电磁除铁磁场强度≥12000 Gs。</w:t>
      </w:r>
    </w:p>
    <w:p w14:paraId="59D33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0" w:name="heading_9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2.2.3 高铜硫矿预处理线</w:t>
      </w:r>
      <w:bookmarkEnd w:id="10"/>
    </w:p>
    <w:p w14:paraId="675A2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主要设备：脱硫风选装置、双层振动筛、高铜硫矿储备仓。</w:t>
      </w:r>
    </w:p>
    <w:p w14:paraId="2F825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工艺流程：利用氧化矿物与硫化矿物密度差异，经脱硫风选脱除部分易浮硫化物，脱硫率可达40%；再经双层振动筛（上层12mm、下层3mm）分级，选取-12mm—+3mm中间粒级物料入仓，保证粒度均匀稳定。脱硫风选风速1525 m/s，可根据硫化物含量实时调节。</w:t>
      </w:r>
    </w:p>
    <w:p w14:paraId="78ED8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1" w:name="heading_10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2.3 智能检测配比系统</w:t>
      </w:r>
      <w:bookmarkEnd w:id="11"/>
    </w:p>
    <w:p w14:paraId="4412E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核心配置：变频给料机、皮带秤、X射线荧光分析仪、PLC控制柜、模糊PID控制器。</w:t>
      </w:r>
    </w:p>
    <w:p w14:paraId="16E96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（1）各储备仓底部设变频给料机，实现给料量连续可调；</w:t>
      </w:r>
    </w:p>
    <w:p w14:paraId="5A317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（2）每条出料皮带配置皮带秤，实时计量物料流量，计量精度±0.3%；</w:t>
      </w:r>
    </w:p>
    <w:p w14:paraId="15903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（3）皮带物料稳定段垂直安装X射线荧光分析仪，探头距物料表面50 mm，每10s完成一次品位检测，检测精度±0.15%；</w:t>
      </w:r>
    </w:p>
    <w:p w14:paraId="639F9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（4）品位信号与流量信号同步输入PLC，经模糊PID算法计算偏差，实时调节给料频率，系统响应时间＜30s，实现动态精准配比。</w:t>
      </w:r>
    </w:p>
    <w:p w14:paraId="1AF3E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2" w:name="heading_1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2.4 均质混合输送系统</w:t>
      </w:r>
      <w:bookmarkEnd w:id="12"/>
    </w:p>
    <w:p w14:paraId="21EDB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采用双轴螺旋混合机或双轴桨叶混合机，通过反向差速旋转形成强制对流，使三种矿物快速、充分均化，保证混合矿成分均匀稳定，满足后续选矿作业要求。混合机可根据物料特性调节转速与停留时间，提升匀质效果。</w:t>
      </w:r>
    </w:p>
    <w:p w14:paraId="7269A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3" w:name="heading_1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系统工作原理与控制策略</w:t>
      </w:r>
      <w:bookmarkEnd w:id="13"/>
    </w:p>
    <w:p w14:paraId="5699B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4" w:name="heading_13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 工作流程</w:t>
      </w:r>
      <w:bookmarkEnd w:id="14"/>
    </w:p>
    <w:p w14:paraId="07476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1.分质预处理：三种矿石分别完成脱泥、破碎、脱硫分级，存入专用储备仓；</w:t>
      </w:r>
    </w:p>
    <w:p w14:paraId="7B795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2.在线实时检测：XRF分析仪检测Fe、Cu、S品位，皮带秤计量瞬时输送量；</w:t>
      </w:r>
    </w:p>
    <w:p w14:paraId="3E4E0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3.动态闭环配比：控制器对比目标指标与实测值，自动修正给料频率；</w:t>
      </w:r>
    </w:p>
    <w:p w14:paraId="4D053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宋体" w:hAnsi="宋体" w:eastAsia="宋体" w:cs="宋体"/>
          <w:lang w:val="en-US" w:eastAsia="zh-CN"/>
        </w:rPr>
        <w:t>4.多级强制混合：按最优配比输送至混合器，输出成分稳定的合格混合矿。</w:t>
      </w:r>
    </w:p>
    <w:p w14:paraId="73BA3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5" w:name="heading_14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 控制策略</w:t>
      </w:r>
      <w:bookmarkEnd w:id="15"/>
    </w:p>
    <w:p w14:paraId="262DF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以目标配矿指标（Fe=30%±1%、Cu=0.4%±0.1%、S=1.8%±0.2%）为设定值，构建品位+流量双闭环控制：</w:t>
      </w:r>
    </w:p>
    <w:p w14:paraId="6F3E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（1）单矿种品位波动超±1%时，系统在10s内启动调节；</w:t>
      </w:r>
    </w:p>
    <w:p w14:paraId="482C4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（2）通过变频给料机调频（15~45Hz）修正给料量，调节幅度±3Hz；</w:t>
      </w:r>
    </w:p>
    <w:p w14:paraId="42F90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（3）多级混合后输出物料指标稳定，满足生产要求。</w:t>
      </w:r>
    </w:p>
    <w:p w14:paraId="3D82D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6" w:name="heading_15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 系统优化方向</w:t>
      </w:r>
      <w:bookmarkEnd w:id="16"/>
    </w:p>
    <w:p w14:paraId="22A2C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基于现有智能配矿系统的技术框架与运行逻辑，结合复杂氧化矿选矿工艺发展趋势与现场生产痛点，从设备结构、检测控制、工艺协同、智能化升级四个维度提出优化方案，进一步提升系统适配性、稳定性与经济性。</w:t>
      </w:r>
    </w:p>
    <w:p w14:paraId="7FCE2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7" w:name="heading_16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 分质预处理系统优化</w:t>
      </w:r>
      <w:bookmarkEnd w:id="17"/>
    </w:p>
    <w:p w14:paraId="42344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1.红土矿脱泥打散一体化优化</w:t>
      </w:r>
    </w:p>
    <w:p w14:paraId="464C9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将振动脱泥筛与打散装置集成模块化设计，缩短物料输送路径，降低黏堵风险；增设湿度在线监测模块，根据红土矿含水率自动调节筛机振幅与打散转速，含泥量稳定控制在3%以下，物料流动性提升20%以上。</w:t>
      </w:r>
    </w:p>
    <w:p w14:paraId="6C398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2.赤褐铁矿破碎分级精准化优化</w:t>
      </w:r>
    </w:p>
    <w:p w14:paraId="367E0C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破碎辊增设液压自动调距系统，替代人工手动调节，根据来料块度实时调整辊间距，破碎后-10mm粒级占比提升至90%以上；电磁除铁装置采用多级联动除铁，除铁效率提升15%，避免磁性杂质磨损后续设备与干扰检测精度。</w:t>
      </w:r>
    </w:p>
    <w:p w14:paraId="4325D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3.高铜硫矿脱硫风选闭环优化</w:t>
      </w:r>
    </w:p>
    <w:p w14:paraId="795F8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脱硫风选装置增设硫化物浓度在线检测探头，实时调节风选风速与风量，脱硫率稳定维持在45%以上；双层振动筛采用弹性筛面，减少堵孔现象，中间粒级物料回收率提升10%，粒度均匀性显著改善。</w:t>
      </w:r>
    </w:p>
    <w:p w14:paraId="607F0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8" w:name="heading_17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4.2 智能检测配比系统优化</w:t>
      </w:r>
      <w:bookmarkEnd w:id="18"/>
    </w:p>
    <w:p w14:paraId="0DF79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1.检测精度与稳定性提升</w:t>
      </w:r>
    </w:p>
    <w:p w14:paraId="3A9A8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X射线荧光分析仪采用抗干扰防护设计，降低粉尘、湿度对检测信号的影响，检测精度提升至±0.1%；将检测周期缩短至5s，实现品位数据实时采集，进一步缩小成分波动范围。</w:t>
      </w:r>
    </w:p>
    <w:p w14:paraId="5B06A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2.控制算法升级</w:t>
      </w:r>
    </w:p>
    <w:p w14:paraId="6553B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在模糊PID控制基础上，融入自适应预测算法，提前预判矿物品位波动趋势，实现超前调节，系统响应时间缩短至20s以内；建立多目标优化模型，同步兼顾配矿精度、处理量与能耗，实现综合效益最大化。</w:t>
      </w:r>
    </w:p>
    <w:p w14:paraId="07DDC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3.计量与给料协同优化</w:t>
      </w:r>
    </w:p>
    <w:p w14:paraId="09425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皮带秤增设自动校准功能，定期自动校准计量精度，确保计量误差≤±0.2%；变频给料机采用软启动与平滑调速，避免物料冲击，给料量调节更精准，配比控制偏差≤±0.5%。</w:t>
      </w:r>
    </w:p>
    <w:p w14:paraId="7D206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19" w:name="heading_18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4.3 均质混合输送系统优化</w:t>
      </w:r>
      <w:bookmarkEnd w:id="19"/>
    </w:p>
    <w:p w14:paraId="226ED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多级搅拌混合器采用变径变距螺旋/桨叶结构，强化物料对流与剪切作用，混合均匀度提升至98%以上；增设混合效果在线检测模块，实时监测混合矿成分均匀性，自动调节混合机转速与停留时间，确保出料指标全程稳定。</w:t>
      </w:r>
    </w:p>
    <w:p w14:paraId="76A36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0" w:name="heading_19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4.4 系统智能化与集成化优化</w:t>
      </w:r>
      <w:bookmarkEnd w:id="20"/>
    </w:p>
    <w:p w14:paraId="0DAFE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1.数字化管控平台搭建</w:t>
      </w:r>
    </w:p>
    <w:p w14:paraId="00485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宋体" w:hAnsi="宋体" w:eastAsia="宋体" w:cs="宋体"/>
          <w:lang w:val="en-US" w:eastAsia="zh-CN"/>
        </w:rPr>
        <w:t>构建配矿全流程数字化管控平台，实现设备运行状态、工艺参数、矿物品位、配比数据实时</w:t>
      </w:r>
      <w:r>
        <w:rPr>
          <w:rFonts w:hint="eastAsia" w:ascii="宋体" w:hAnsi="宋体" w:eastAsia="宋体" w:cs="宋体"/>
          <w:lang w:val="en-US" w:eastAsia="zh-CN"/>
        </w:rPr>
        <w:t>监控、历史追溯、异常报警，支持远程操控与数据上传，满足智能矿山数字化管理要求。</w:t>
      </w:r>
    </w:p>
    <w:p w14:paraId="2F303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2.多系统协同联动</w:t>
      </w:r>
    </w:p>
    <w:p w14:paraId="599CCA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与上游破碎筛分系统、下游磨浮系统建立数据互通，根据后续工序需求自动调整配矿指标，形成破—配—磨—选全流程协同控制，提升整条选矿生产线的运行效率。</w:t>
      </w:r>
    </w:p>
    <w:p w14:paraId="49C83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3.节能降耗优化</w:t>
      </w:r>
    </w:p>
    <w:p w14:paraId="18F2D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各设备采用变频节能控制，根据处理量自动调节功率，降低无效能耗；气力输送、风选等风系统优化管路设计，减少风阻，综合能耗降低10%以上。</w:t>
      </w:r>
    </w:p>
    <w:p w14:paraId="70118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1" w:name="heading_20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 结论与展望</w:t>
      </w:r>
      <w:bookmarkEnd w:id="21"/>
    </w:p>
    <w:p w14:paraId="4E120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2" w:name="heading_21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5.1 结论</w:t>
      </w:r>
      <w:bookmarkEnd w:id="22"/>
    </w:p>
    <w:p w14:paraId="6B8AF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1.针对红土矿、赤褐铁矿、高铜硫矿物性差异设计的三条独立分质预处理线，可针对性解决高泥、大块、高硫三大核心问题，从源头消除多矿种配矿物性冲突。</w:t>
      </w:r>
    </w:p>
    <w:p w14:paraId="30FDC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2.XRF在线品位检测+皮带秤计量双闭环控制，实现配矿过程动态精准调节，大幅提升混合矿成分稳定性，配矿精度远优于传统工艺。</w:t>
      </w:r>
    </w:p>
    <w:p w14:paraId="67D5B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3.多级强制混合装置保障物料匀质化效果，系统整体具备处理效率高、运行稳定、适配性强等特点，可有效解决复杂氧化矿配矿精度低、调控滞后、成本高等行业痛点。</w:t>
      </w:r>
    </w:p>
    <w:p w14:paraId="48AFC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4.经结构与控制优化后，系统在配矿精度、运行稳定性、智能化水平、节能降耗等方面进一步提升，可满足不同类型复杂氧化矿选矿厂的配矿需求，技术成熟度与工业化应用价值显著提升。</w:t>
      </w:r>
    </w:p>
    <w:p w14:paraId="54303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bookmarkStart w:id="23" w:name="heading_22"/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5.2 展望</w:t>
      </w:r>
      <w:bookmarkEnd w:id="23"/>
    </w:p>
    <w:p w14:paraId="4A598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未来复杂氧化矿智能配矿技术将向全自主、自适应、无人化方向发展：融合机器视觉、激光粒度分析等技术实现矿石物性在线快速预判；结合大数据与人工智能算法，实现配矿参数自主寻优与工艺自我调节；引入数字孪生技术，构建配矿系统虚拟映射，实现全流程可视化仿真与远程智能运维，最终推动复杂氧化矿配矿工艺迈入更高水平的智能化、绿色化、高效化新阶段。</w:t>
      </w:r>
      <w:bookmarkStart w:id="24" w:name="heading_23"/>
    </w:p>
    <w:p w14:paraId="36EDC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51B3E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</w:t>
      </w:r>
      <w:bookmarkEnd w:id="24"/>
    </w:p>
    <w:p w14:paraId="405ED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[1] 孙传尧. 中国选矿技术进展与发展趋势[J]. 金属矿山, 2020, 49(1): 1-12.</w:t>
      </w:r>
    </w:p>
    <w:p w14:paraId="514E6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[2] 王运敏. 中国智能矿山发展现状与展望[J]. 工程科学学报, 2021, 43(1): 1-10.</w:t>
      </w:r>
    </w:p>
    <w:p w14:paraId="4BC46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[3] 胡岳华. 复杂氧化矿浮选理论与技术[M]. 长沙: 中南大学出版社, 2018.</w:t>
      </w:r>
    </w:p>
    <w:p w14:paraId="06C5C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[4] 李龙江, 张覃. 低品位氧化铁矿配矿技术研究[J]. 矿冶工程, 2019, 39(2): 35-38.</w:t>
      </w:r>
    </w:p>
    <w:p w14:paraId="647B5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[5] 刘全军, 等. 复杂氧化矿选矿工艺优化研究[J]. 有色金属(选矿部分), 2022(3): 45-50.</w:t>
      </w: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6102E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5B58CB"/>
    <w:rsid w:val="08BA0844"/>
    <w:rsid w:val="091A7E4E"/>
    <w:rsid w:val="09931095"/>
    <w:rsid w:val="09F00295"/>
    <w:rsid w:val="0A4B20AA"/>
    <w:rsid w:val="0AC91212"/>
    <w:rsid w:val="0AEE6ECB"/>
    <w:rsid w:val="0AFF2E86"/>
    <w:rsid w:val="0B664CB3"/>
    <w:rsid w:val="0C0E77A3"/>
    <w:rsid w:val="0C2B45A8"/>
    <w:rsid w:val="0C580AA0"/>
    <w:rsid w:val="0C8E44C1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53E2D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021765"/>
    <w:rsid w:val="132A2A6A"/>
    <w:rsid w:val="13CB5FFB"/>
    <w:rsid w:val="145D3907"/>
    <w:rsid w:val="148A7C64"/>
    <w:rsid w:val="14B4083D"/>
    <w:rsid w:val="156C2EC6"/>
    <w:rsid w:val="15C56B00"/>
    <w:rsid w:val="15FC6940"/>
    <w:rsid w:val="16132CB9"/>
    <w:rsid w:val="16B20DAC"/>
    <w:rsid w:val="16B25250"/>
    <w:rsid w:val="16B8213B"/>
    <w:rsid w:val="16D2144F"/>
    <w:rsid w:val="17836BED"/>
    <w:rsid w:val="178C5AA1"/>
    <w:rsid w:val="17AD77C6"/>
    <w:rsid w:val="180933FC"/>
    <w:rsid w:val="185C6006"/>
    <w:rsid w:val="18616F2E"/>
    <w:rsid w:val="18DB73AD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C250273"/>
    <w:rsid w:val="1D01483C"/>
    <w:rsid w:val="1D5D57EA"/>
    <w:rsid w:val="1E171E3D"/>
    <w:rsid w:val="1EBA2EF4"/>
    <w:rsid w:val="1EC41FC5"/>
    <w:rsid w:val="1EFE3E02"/>
    <w:rsid w:val="1F394761"/>
    <w:rsid w:val="1F78690B"/>
    <w:rsid w:val="1FA40E26"/>
    <w:rsid w:val="2007660D"/>
    <w:rsid w:val="20181E55"/>
    <w:rsid w:val="20200F8C"/>
    <w:rsid w:val="204B20BB"/>
    <w:rsid w:val="204F1D62"/>
    <w:rsid w:val="205C7FDB"/>
    <w:rsid w:val="20CA763A"/>
    <w:rsid w:val="21294361"/>
    <w:rsid w:val="213845A4"/>
    <w:rsid w:val="21661758"/>
    <w:rsid w:val="21E609EF"/>
    <w:rsid w:val="227635D6"/>
    <w:rsid w:val="22BA5BB9"/>
    <w:rsid w:val="22FB7F7F"/>
    <w:rsid w:val="230D784D"/>
    <w:rsid w:val="23B95F13"/>
    <w:rsid w:val="24174945"/>
    <w:rsid w:val="24212C83"/>
    <w:rsid w:val="244020ED"/>
    <w:rsid w:val="248B32E5"/>
    <w:rsid w:val="24B17D3C"/>
    <w:rsid w:val="24EE1B49"/>
    <w:rsid w:val="25867FD4"/>
    <w:rsid w:val="259C77F7"/>
    <w:rsid w:val="262A3A04"/>
    <w:rsid w:val="269C7383"/>
    <w:rsid w:val="26B66697"/>
    <w:rsid w:val="273D46C2"/>
    <w:rsid w:val="27435A51"/>
    <w:rsid w:val="27466F3A"/>
    <w:rsid w:val="276F4A98"/>
    <w:rsid w:val="283B6E9A"/>
    <w:rsid w:val="28414686"/>
    <w:rsid w:val="287C746C"/>
    <w:rsid w:val="288D3427"/>
    <w:rsid w:val="28C3509B"/>
    <w:rsid w:val="28D44D60"/>
    <w:rsid w:val="29F55569"/>
    <w:rsid w:val="2A4E308A"/>
    <w:rsid w:val="2A6D1762"/>
    <w:rsid w:val="2A9C2048"/>
    <w:rsid w:val="2AF37C49"/>
    <w:rsid w:val="2C1A3224"/>
    <w:rsid w:val="2C5F332D"/>
    <w:rsid w:val="2CDC497D"/>
    <w:rsid w:val="2DA03BFD"/>
    <w:rsid w:val="2DA336ED"/>
    <w:rsid w:val="2DD45655"/>
    <w:rsid w:val="2DD613CD"/>
    <w:rsid w:val="2E7221A8"/>
    <w:rsid w:val="2EC67693"/>
    <w:rsid w:val="2EE30245"/>
    <w:rsid w:val="2F087CAC"/>
    <w:rsid w:val="2F0E4B96"/>
    <w:rsid w:val="2F0F5433"/>
    <w:rsid w:val="2F1A353B"/>
    <w:rsid w:val="2F1F6DA3"/>
    <w:rsid w:val="2F397E65"/>
    <w:rsid w:val="2F620882"/>
    <w:rsid w:val="2F633134"/>
    <w:rsid w:val="2F882B9B"/>
    <w:rsid w:val="2FA86D99"/>
    <w:rsid w:val="2FB92D54"/>
    <w:rsid w:val="2FCC0A00"/>
    <w:rsid w:val="304B173D"/>
    <w:rsid w:val="312F3756"/>
    <w:rsid w:val="31496359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A0405F"/>
    <w:rsid w:val="32E20814"/>
    <w:rsid w:val="33613E2E"/>
    <w:rsid w:val="337771AE"/>
    <w:rsid w:val="33F94067"/>
    <w:rsid w:val="34480B4A"/>
    <w:rsid w:val="34821AD6"/>
    <w:rsid w:val="35A52FD0"/>
    <w:rsid w:val="35D501BC"/>
    <w:rsid w:val="36407D2B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BF587F"/>
    <w:rsid w:val="38C5276A"/>
    <w:rsid w:val="39783C80"/>
    <w:rsid w:val="399551B1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A212CB"/>
    <w:rsid w:val="3DBB238D"/>
    <w:rsid w:val="3DBD6105"/>
    <w:rsid w:val="3E4405D4"/>
    <w:rsid w:val="3E9450B8"/>
    <w:rsid w:val="3E9C5D1B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400202"/>
    <w:rsid w:val="41641264"/>
    <w:rsid w:val="41700BEB"/>
    <w:rsid w:val="417411D1"/>
    <w:rsid w:val="426C3C56"/>
    <w:rsid w:val="42786A9F"/>
    <w:rsid w:val="42BC1743"/>
    <w:rsid w:val="42EE53FF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A479CC"/>
    <w:rsid w:val="47E81E53"/>
    <w:rsid w:val="48831CF9"/>
    <w:rsid w:val="48A028AB"/>
    <w:rsid w:val="48B545A9"/>
    <w:rsid w:val="48B63E7D"/>
    <w:rsid w:val="495C0DBE"/>
    <w:rsid w:val="49CB1BAA"/>
    <w:rsid w:val="4A070E34"/>
    <w:rsid w:val="4A4F4589"/>
    <w:rsid w:val="4AB60164"/>
    <w:rsid w:val="4B8E06C7"/>
    <w:rsid w:val="4C934BC0"/>
    <w:rsid w:val="4CFB09F8"/>
    <w:rsid w:val="4D057181"/>
    <w:rsid w:val="4D44414D"/>
    <w:rsid w:val="4D447CA9"/>
    <w:rsid w:val="4D5123C6"/>
    <w:rsid w:val="4D6B792C"/>
    <w:rsid w:val="4DA16EA9"/>
    <w:rsid w:val="4DB0533F"/>
    <w:rsid w:val="4DDA060D"/>
    <w:rsid w:val="4DED1912"/>
    <w:rsid w:val="4E257ADB"/>
    <w:rsid w:val="4E353A96"/>
    <w:rsid w:val="4EAD187E"/>
    <w:rsid w:val="4EB175C0"/>
    <w:rsid w:val="4EB62E28"/>
    <w:rsid w:val="4F0911AA"/>
    <w:rsid w:val="4F78309C"/>
    <w:rsid w:val="4F7E394E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5254864"/>
    <w:rsid w:val="553C395C"/>
    <w:rsid w:val="55BA1450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6C2D60"/>
    <w:rsid w:val="5BB5218E"/>
    <w:rsid w:val="5BFE5E0F"/>
    <w:rsid w:val="5CAA564F"/>
    <w:rsid w:val="5D245401"/>
    <w:rsid w:val="5E361890"/>
    <w:rsid w:val="5EDA046D"/>
    <w:rsid w:val="5EE237C6"/>
    <w:rsid w:val="5EFF7ED4"/>
    <w:rsid w:val="5F7679C4"/>
    <w:rsid w:val="5F7F2DC3"/>
    <w:rsid w:val="5FBF1411"/>
    <w:rsid w:val="601A09BC"/>
    <w:rsid w:val="60395667"/>
    <w:rsid w:val="60AA0313"/>
    <w:rsid w:val="610D33E8"/>
    <w:rsid w:val="615E35D8"/>
    <w:rsid w:val="61913F94"/>
    <w:rsid w:val="619568CD"/>
    <w:rsid w:val="61E67129"/>
    <w:rsid w:val="621A5025"/>
    <w:rsid w:val="62C75DED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7B402C"/>
    <w:rsid w:val="65C07C91"/>
    <w:rsid w:val="66CA526B"/>
    <w:rsid w:val="67C12792"/>
    <w:rsid w:val="67DD0FCE"/>
    <w:rsid w:val="687436E1"/>
    <w:rsid w:val="687A681D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BCC3834"/>
    <w:rsid w:val="6C545058"/>
    <w:rsid w:val="6C5C6966"/>
    <w:rsid w:val="6C6E5E1A"/>
    <w:rsid w:val="6C8E2897"/>
    <w:rsid w:val="6CDF30F3"/>
    <w:rsid w:val="6D282CEC"/>
    <w:rsid w:val="6D921E65"/>
    <w:rsid w:val="6DF606F4"/>
    <w:rsid w:val="6E267136"/>
    <w:rsid w:val="6E2D67FA"/>
    <w:rsid w:val="6E6E0BD2"/>
    <w:rsid w:val="6E91041D"/>
    <w:rsid w:val="6ECB392F"/>
    <w:rsid w:val="6F562B93"/>
    <w:rsid w:val="6FA348AB"/>
    <w:rsid w:val="6FBB39A3"/>
    <w:rsid w:val="6FD23894"/>
    <w:rsid w:val="6FE23626"/>
    <w:rsid w:val="70383246"/>
    <w:rsid w:val="703D260A"/>
    <w:rsid w:val="7060279C"/>
    <w:rsid w:val="70626FA0"/>
    <w:rsid w:val="70756EB2"/>
    <w:rsid w:val="7258197D"/>
    <w:rsid w:val="72C60FDD"/>
    <w:rsid w:val="72EB27F1"/>
    <w:rsid w:val="730241B0"/>
    <w:rsid w:val="73137F9A"/>
    <w:rsid w:val="731A1328"/>
    <w:rsid w:val="73587D13"/>
    <w:rsid w:val="743B50B2"/>
    <w:rsid w:val="74BF5CE3"/>
    <w:rsid w:val="750977D2"/>
    <w:rsid w:val="75263FB5"/>
    <w:rsid w:val="75693EA1"/>
    <w:rsid w:val="756F271A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694470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4793</Words>
  <Characters>5248</Characters>
  <Lines>35</Lines>
  <Paragraphs>9</Paragraphs>
  <TotalTime>1</TotalTime>
  <ScaleCrop>false</ScaleCrop>
  <LinksUpToDate>false</LinksUpToDate>
  <CharactersWithSpaces>5316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2026-04-23T03:38:35Z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eyJoZGlkIjoiYjVlOTE0MGRkN2E0MWU0MDEyNjJkNTdlYmU3ZGQ5YzUiLCJ1c2VySWQiOiI0NDQ3MDkxMjgifQ==</vt:lpwstr>
  </property>
</Properties>
</file>