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6C4DD6C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Hlk88569120"/>
      <w:r>
        <w:rPr>
          <w:rFonts w:hint="eastAsia" w:ascii="隶书" w:hAnsi="隶书" w:eastAsia="隶书" w:cs="隶书"/>
          <w:lang w:val="en-US" w:eastAsia="zh-CN"/>
        </w:rPr>
        <w:t>高温浓硫酸工况安装材料成本的精细化管控</w:t>
      </w:r>
    </w:p>
    <w:bookmarkEnd w:id="0"/>
    <w:p w14:paraId="4865B7C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王思义 张永云</w:t>
      </w:r>
    </w:p>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云南三环中化化肥有限公司</w:t>
      </w:r>
    </w:p>
    <w:p w14:paraId="54E02C5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jc w:val="center"/>
        <w:textAlignment w:val="auto"/>
        <w:rPr>
          <w:rFonts w:hint="default" w:ascii="Times New Roman" w:hAnsi="Times New Roman" w:eastAsia="Segoe UI" w:cs="Times New Roman"/>
          <w:b w:val="0"/>
          <w:bCs w:val="0"/>
          <w:i w:val="0"/>
          <w:iCs w:val="0"/>
          <w:caps w:val="0"/>
          <w:color w:val="0F1115"/>
          <w:spacing w:val="0"/>
          <w:sz w:val="21"/>
          <w:szCs w:val="21"/>
          <w:shd w:val="clear" w:fill="FFFFFF"/>
        </w:rPr>
      </w:pPr>
      <w:bookmarkStart w:id="1" w:name="_GoBack"/>
      <w:bookmarkEnd w:id="1"/>
    </w:p>
    <w:p w14:paraId="5EE6D8B9">
      <w:pPr>
        <w:spacing w:line="400" w:lineRule="exact"/>
        <w:ind w:firstLine="422" w:firstLineChars="200"/>
        <w:rPr>
          <w:rFonts w:hint="eastAsia" w:ascii="宋体" w:hAnsi="宋体" w:eastAsia="宋体" w:cs="宋体"/>
          <w:b w:val="0"/>
          <w:bCs w:val="0"/>
          <w:szCs w:val="21"/>
        </w:rPr>
      </w:pPr>
      <w:r>
        <w:rPr>
          <w:rFonts w:hint="eastAsia" w:ascii="宋体" w:hAnsi="宋体" w:eastAsia="宋体" w:cs="宋体"/>
          <w:b/>
          <w:bCs/>
          <w:szCs w:val="21"/>
        </w:rPr>
        <w:t>摘要：</w:t>
      </w:r>
      <w:r>
        <w:rPr>
          <w:rFonts w:hint="eastAsia" w:ascii="宋体" w:hAnsi="宋体" w:eastAsia="宋体" w:cs="宋体"/>
          <w:b w:val="0"/>
          <w:bCs w:val="0"/>
          <w:szCs w:val="21"/>
        </w:rPr>
        <w:t>在硫酸装置安装工程里耐蚀材料的费用一般在安装总造价中</w:t>
      </w:r>
      <w:r>
        <w:rPr>
          <w:rFonts w:hint="eastAsia" w:ascii="宋体" w:hAnsi="宋体" w:eastAsia="宋体" w:cs="宋体"/>
          <w:b w:val="0"/>
          <w:bCs w:val="0"/>
          <w:szCs w:val="21"/>
          <w:lang w:val="en-US" w:eastAsia="zh-CN"/>
        </w:rPr>
        <w:t>占比为50%至</w:t>
      </w:r>
      <w:r>
        <w:rPr>
          <w:rFonts w:hint="eastAsia" w:ascii="宋体" w:hAnsi="宋体" w:eastAsia="宋体" w:cs="宋体"/>
          <w:b w:val="0"/>
          <w:bCs w:val="0"/>
          <w:szCs w:val="21"/>
        </w:rPr>
        <w:t>60%，并且其价格受有色金属期货市场波动的影响十分明显，</w:t>
      </w:r>
      <w:r>
        <w:rPr>
          <w:rFonts w:hint="eastAsia" w:ascii="宋体" w:hAnsi="宋体" w:eastAsia="宋体" w:cs="宋体"/>
          <w:b w:val="0"/>
          <w:bCs w:val="0"/>
          <w:szCs w:val="21"/>
          <w:lang w:val="en-US" w:eastAsia="zh-CN"/>
        </w:rPr>
        <w:t>每年的波动幅度</w:t>
      </w:r>
      <w:r>
        <w:rPr>
          <w:rFonts w:hint="eastAsia" w:ascii="宋体" w:hAnsi="宋体" w:eastAsia="宋体" w:cs="宋体"/>
          <w:b w:val="0"/>
          <w:bCs w:val="0"/>
          <w:szCs w:val="21"/>
        </w:rPr>
        <w:t>能够达到 20%到30%这就成了项目成本管控方面的核心难题本文结合化工工程建设行业的实际情况针对设计选材、采购询价、合同约定、施工过程、结算审核这五个关键的环节，系统地构建起高温浓硫酸工况之下安装材料成本的精细化管控体系。经由行业典型的工程案例予以验证，诸如国产材料替代、构建动态价格调整机制、开展价格信息数据库建设、进行焊材消耗定额核验等举措，在成本控制、风险规避以及效益提升等方面呈现出颇为良好的应用成效，此研究成果能够为同类型化工装置安装工程的材料成本管控工作提供实践层面的参考以及技术领域的支撑。</w:t>
      </w:r>
    </w:p>
    <w:p w14:paraId="75F7C1BC">
      <w:pPr>
        <w:spacing w:line="400" w:lineRule="exact"/>
        <w:ind w:firstLine="422" w:firstLineChars="200"/>
        <w:rPr>
          <w:rFonts w:hint="default" w:ascii="宋体" w:hAnsi="宋体" w:eastAsia="宋体" w:cs="宋体"/>
          <w:b/>
          <w:bCs/>
          <w:szCs w:val="21"/>
        </w:rPr>
      </w:pPr>
      <w:r>
        <w:rPr>
          <w:rFonts w:hint="eastAsia" w:ascii="宋体" w:hAnsi="宋体" w:eastAsia="宋体" w:cs="宋体"/>
          <w:b/>
          <w:bCs/>
          <w:szCs w:val="21"/>
        </w:rPr>
        <w:t>关键词：</w:t>
      </w:r>
      <w:r>
        <w:rPr>
          <w:rFonts w:hint="default" w:ascii="宋体" w:hAnsi="宋体" w:eastAsia="宋体" w:cs="宋体"/>
          <w:b w:val="0"/>
          <w:bCs w:val="0"/>
          <w:szCs w:val="21"/>
        </w:rPr>
        <w:t>硫酸装置</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rPr>
        <w:t>安装工程</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rPr>
        <w:t>材料成本</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rPr>
        <w:t>精细化管控</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rPr>
        <w:t>耐蚀材料</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rPr>
        <w:t>价格波动</w:t>
      </w:r>
    </w:p>
    <w:p w14:paraId="18A4D0A3">
      <w:pPr>
        <w:spacing w:line="400" w:lineRule="exact"/>
        <w:rPr>
          <w:rFonts w:hint="eastAsia" w:ascii="宋体" w:hAnsi="宋体" w:eastAsia="宋体" w:cs="宋体"/>
          <w:b/>
          <w:bCs/>
          <w:szCs w:val="21"/>
        </w:rPr>
      </w:pPr>
    </w:p>
    <w:p w14:paraId="7C1EB59B">
      <w:pPr>
        <w:spacing w:line="400" w:lineRule="exact"/>
        <w:rPr>
          <w:rFonts w:hint="eastAsia" w:ascii="宋体" w:hAnsi="宋体" w:eastAsia="宋体" w:cs="宋体"/>
          <w:b/>
          <w:bCs/>
          <w:szCs w:val="21"/>
        </w:rPr>
      </w:pPr>
      <w:r>
        <w:rPr>
          <w:rFonts w:hint="eastAsia" w:ascii="宋体" w:hAnsi="宋体" w:eastAsia="宋体" w:cs="宋体"/>
          <w:b/>
          <w:bCs/>
          <w:szCs w:val="21"/>
        </w:rPr>
        <w:t>1 引言</w:t>
      </w:r>
    </w:p>
    <w:p w14:paraId="359EA8B5">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硫酸装置安装工程的全流程管理进程里，材料成本的管控水准直接影响着项目整体的投资收益以及运营的经济成效，就拿年产80万吨硫磺制酸装置低温位热能回收装置来说，该项目的总体投资规模一般处于0.4亿至0.6亿元的范围，其中安装工程的费用所占比例大概是20%到30%；而在安装造价的组成部分中，耐蚀材料的采购费用所占比例达到了50%到60%。</w:t>
      </w:r>
    </w:p>
    <w:p w14:paraId="47227D2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在高温浓硫酸的工况下所采用的诸如</w:t>
      </w:r>
      <w:r>
        <w:rPr>
          <w:rFonts w:hint="eastAsia" w:ascii="宋体" w:hAnsi="宋体" w:eastAsia="宋体" w:cs="宋体"/>
          <w:sz w:val="21"/>
          <w:szCs w:val="21"/>
          <w:lang w:val="en-US" w:eastAsia="zh-CN"/>
        </w:rPr>
        <w:t>ZeCor-310M、ZeCor-HRS、</w:t>
      </w:r>
      <w:r>
        <w:rPr>
          <w:rFonts w:hint="eastAsia" w:ascii="宋体" w:hAnsi="宋体" w:eastAsia="宋体" w:cs="宋体"/>
          <w:sz w:val="21"/>
          <w:szCs w:val="21"/>
        </w:rPr>
        <w:t>哈氏合金 C - 276、S31008、高硅不锈</w:t>
      </w:r>
      <w:r>
        <w:rPr>
          <w:rFonts w:hint="eastAsia" w:ascii="宋体" w:hAnsi="宋体" w:eastAsia="宋体" w:cs="宋体"/>
          <w:i w:val="0"/>
          <w:iCs w:val="0"/>
          <w:caps w:val="0"/>
          <w:color w:val="0F1115"/>
          <w:spacing w:val="0"/>
          <w:kern w:val="2"/>
          <w:sz w:val="21"/>
          <w:szCs w:val="21"/>
          <w:shd w:val="clear" w:fill="FFFFFF"/>
          <w:lang w:val="en-US" w:eastAsia="zh-CN" w:bidi="ar-SA"/>
        </w:rPr>
        <w:t>钢、钛材之类的特殊材料，其单价要比常规的建筑材料高出许多，</w:t>
      </w:r>
      <w:r>
        <w:rPr>
          <w:rFonts w:hint="eastAsia" w:ascii="宋体" w:hAnsi="宋体" w:eastAsia="宋体" w:cs="宋体"/>
          <w:sz w:val="21"/>
          <w:szCs w:val="21"/>
        </w:rPr>
        <w:t>以常用规格φ89×4mm的哈氏合金C-276管道为例，市场单价约 800～1200元/米，</w:t>
      </w:r>
      <w:r>
        <w:rPr>
          <w:rFonts w:hint="eastAsia" w:ascii="宋体" w:hAnsi="宋体" w:eastAsia="宋体" w:cs="宋体"/>
          <w:i w:val="0"/>
          <w:iCs w:val="0"/>
          <w:caps w:val="0"/>
          <w:color w:val="0F1115"/>
          <w:spacing w:val="0"/>
          <w:kern w:val="2"/>
          <w:sz w:val="21"/>
          <w:szCs w:val="21"/>
          <w:shd w:val="clear" w:fill="FFFFFF"/>
          <w:lang w:val="en-US" w:eastAsia="zh-CN" w:bidi="ar-SA"/>
        </w:rPr>
        <w:t>是普通碳钢管价格的 50 倍还要多，更为重要的是，这类材料的价格和镍、钼等有色金属的期货价格有着紧密的关联每年价格波动的幅度在 20%到 30%，这在行业里已经是常见的情况了。</w:t>
      </w:r>
    </w:p>
    <w:p w14:paraId="15AA2A6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从工程实践的角度来观察，材料成本管控这一环节所暴露出来的问题呈现出高度集中的态势：在设计阶段材料的选择与经济性之间存在脱节现象；采购环节的价格相较于市场同期水平偏高；合同里缺乏价格调整机制进而引发了结算方面的争议；施工阶段对于焊材等辅助材料的管理较为粗放等情况，上述这些问题不但会导致成本出现数十万元级别的增加，而且在一定程度上还极有可能引发合同纠纷，进而延误建设工期，基于这样的情况，本文以全流程的视角出发，从设计、采购、合同、施工直至结算这五个维度对材料成本精细化管控的实施路径进行系统的梳理，并且结合具有典型意义的案例来开展实证分析。</w:t>
      </w:r>
    </w:p>
    <w:p w14:paraId="7E58BB7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 高温浓硫酸工况与常用耐蚀材料</w:t>
      </w:r>
    </w:p>
    <w:p w14:paraId="750229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硫酸装置干吸工序中高温状态的浓硫酸介质具备极为强烈的腐蚀性,一般腐蚀速率会随温度升高而增加，HRS 系统中硫酸的温度能够达到200~230℃，带蒸汽喷射工艺的热回收塔入口烟气温度在260℃；吸收酸浓在99.0%-99.5%   管道内介质流速在1.2-1.8m/s，在部分工作状况下还会伴随着氟、氯等杂质离子一同存在，在这样极为苛刻的环境之下为了达成装置 15 年的设计使用时长的目标，材料每年的腐蚀速度必须严格地控制在 0.025mm/a以内，像常规的 304、316L 这种不锈钢很难满足相关要求,所以一定要选用具有特殊性能的耐蚀合金材料。</w:t>
      </w:r>
    </w:p>
    <w:p w14:paraId="01F3F1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表1呈现的是在 2024 年市场平均价格的情形下，于高温浓硫酸工作状况中经常被使用的耐腐蚀材料的性能以及价格水平（该价格水平是以碳钢价格设定为 1来进行折算的）。</w:t>
      </w:r>
    </w:p>
    <w:p w14:paraId="479E9167">
      <w:pPr>
        <w:spacing w:line="400" w:lineRule="exact"/>
        <w:ind w:firstLine="422" w:firstLineChars="200"/>
        <w:jc w:val="center"/>
        <w:rPr>
          <w:rFonts w:hint="eastAsia" w:ascii="宋体" w:hAnsi="宋体" w:eastAsia="宋体" w:cs="宋体"/>
          <w:b/>
          <w:bCs/>
          <w:szCs w:val="21"/>
          <w:lang w:val="en-US" w:eastAsia="zh-CN"/>
        </w:rPr>
      </w:pPr>
      <w:r>
        <w:rPr>
          <w:rFonts w:hint="eastAsia" w:ascii="宋体" w:hAnsi="宋体" w:eastAsia="宋体" w:cs="宋体"/>
          <w:b/>
          <w:bCs/>
          <w:szCs w:val="21"/>
        </w:rPr>
        <w:t>表1 常用耐蚀材料在性能与价格的对比</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1956"/>
        <w:gridCol w:w="2305"/>
        <w:gridCol w:w="2131"/>
      </w:tblGrid>
      <w:tr w14:paraId="5E12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3A787E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材料牌号</w:t>
            </w:r>
          </w:p>
        </w:tc>
        <w:tc>
          <w:tcPr>
            <w:tcW w:w="1956" w:type="dxa"/>
            <w:vAlign w:val="center"/>
          </w:tcPr>
          <w:p w14:paraId="488EA4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适用温度上限</w:t>
            </w:r>
          </w:p>
        </w:tc>
        <w:tc>
          <w:tcPr>
            <w:tcW w:w="2305" w:type="dxa"/>
            <w:vAlign w:val="center"/>
          </w:tcPr>
          <w:p w14:paraId="203112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典型用途</w:t>
            </w:r>
          </w:p>
        </w:tc>
        <w:tc>
          <w:tcPr>
            <w:tcW w:w="2131" w:type="dxa"/>
            <w:vAlign w:val="center"/>
          </w:tcPr>
          <w:p w14:paraId="5CCAE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相对价格（碳钢=1）</w:t>
            </w:r>
          </w:p>
        </w:tc>
      </w:tr>
      <w:tr w14:paraId="506D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47AFC3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S31008</w:t>
            </w:r>
          </w:p>
        </w:tc>
        <w:tc>
          <w:tcPr>
            <w:tcW w:w="1956" w:type="dxa"/>
            <w:vAlign w:val="center"/>
          </w:tcPr>
          <w:p w14:paraId="4851A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250℃（酸侧）</w:t>
            </w:r>
          </w:p>
        </w:tc>
        <w:tc>
          <w:tcPr>
            <w:tcW w:w="2305" w:type="dxa"/>
            <w:vAlign w:val="center"/>
          </w:tcPr>
          <w:p w14:paraId="167EB6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HRS锅炉换热管、高温烟道</w:t>
            </w:r>
          </w:p>
        </w:tc>
        <w:tc>
          <w:tcPr>
            <w:tcW w:w="2131" w:type="dxa"/>
            <w:vAlign w:val="center"/>
          </w:tcPr>
          <w:p w14:paraId="332C1B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15~20</w:t>
            </w:r>
          </w:p>
        </w:tc>
      </w:tr>
      <w:tr w14:paraId="3CED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00C9FD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哈氏合金C-276</w:t>
            </w:r>
          </w:p>
        </w:tc>
        <w:tc>
          <w:tcPr>
            <w:tcW w:w="1956" w:type="dxa"/>
            <w:vAlign w:val="center"/>
          </w:tcPr>
          <w:p w14:paraId="1E5BC1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250℃</w:t>
            </w:r>
          </w:p>
        </w:tc>
        <w:tc>
          <w:tcPr>
            <w:tcW w:w="2305" w:type="dxa"/>
            <w:vAlign w:val="center"/>
          </w:tcPr>
          <w:p w14:paraId="7BE12E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浓酸管道、阀门、酸分布器</w:t>
            </w:r>
          </w:p>
        </w:tc>
        <w:tc>
          <w:tcPr>
            <w:tcW w:w="2131" w:type="dxa"/>
            <w:vAlign w:val="center"/>
          </w:tcPr>
          <w:p w14:paraId="42258D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40~60</w:t>
            </w:r>
          </w:p>
        </w:tc>
      </w:tr>
      <w:tr w14:paraId="35AA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29F8E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高硅不锈钢</w:t>
            </w:r>
          </w:p>
        </w:tc>
        <w:tc>
          <w:tcPr>
            <w:tcW w:w="1956" w:type="dxa"/>
            <w:vAlign w:val="center"/>
          </w:tcPr>
          <w:p w14:paraId="4770E8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300℃</w:t>
            </w:r>
          </w:p>
        </w:tc>
        <w:tc>
          <w:tcPr>
            <w:tcW w:w="2305" w:type="dxa"/>
            <w:vAlign w:val="center"/>
          </w:tcPr>
          <w:p w14:paraId="278D79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酸泵叶轮、酸冷却器管束、、塔体、泵槽</w:t>
            </w:r>
          </w:p>
        </w:tc>
        <w:tc>
          <w:tcPr>
            <w:tcW w:w="2131" w:type="dxa"/>
            <w:vAlign w:val="center"/>
          </w:tcPr>
          <w:p w14:paraId="482B84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20~30</w:t>
            </w:r>
          </w:p>
        </w:tc>
      </w:tr>
      <w:tr w14:paraId="17CA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0F17B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钛材TA2</w:t>
            </w:r>
          </w:p>
        </w:tc>
        <w:tc>
          <w:tcPr>
            <w:tcW w:w="1956" w:type="dxa"/>
            <w:vAlign w:val="center"/>
          </w:tcPr>
          <w:p w14:paraId="7668CA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120℃</w:t>
            </w:r>
          </w:p>
        </w:tc>
        <w:tc>
          <w:tcPr>
            <w:tcW w:w="2305" w:type="dxa"/>
            <w:vAlign w:val="center"/>
          </w:tcPr>
          <w:p w14:paraId="7BD390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脱硫塔内件、稀酸管道</w:t>
            </w:r>
          </w:p>
        </w:tc>
        <w:tc>
          <w:tcPr>
            <w:tcW w:w="2131" w:type="dxa"/>
            <w:vAlign w:val="center"/>
          </w:tcPr>
          <w:p w14:paraId="4F364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20~30</w:t>
            </w:r>
          </w:p>
        </w:tc>
      </w:tr>
      <w:tr w14:paraId="2B61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61FA55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PTFE衬里</w:t>
            </w:r>
          </w:p>
        </w:tc>
        <w:tc>
          <w:tcPr>
            <w:tcW w:w="1956" w:type="dxa"/>
            <w:vAlign w:val="center"/>
          </w:tcPr>
          <w:p w14:paraId="73C8D0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180℃</w:t>
            </w:r>
          </w:p>
        </w:tc>
        <w:tc>
          <w:tcPr>
            <w:tcW w:w="2305" w:type="dxa"/>
            <w:vAlign w:val="center"/>
          </w:tcPr>
          <w:p w14:paraId="1EC4D4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管道、容器内衬</w:t>
            </w:r>
          </w:p>
        </w:tc>
        <w:tc>
          <w:tcPr>
            <w:tcW w:w="2131" w:type="dxa"/>
            <w:vAlign w:val="center"/>
          </w:tcPr>
          <w:p w14:paraId="23A611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10~15</w:t>
            </w:r>
          </w:p>
        </w:tc>
      </w:tr>
      <w:tr w14:paraId="3117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2130" w:type="dxa"/>
            <w:vAlign w:val="center"/>
          </w:tcPr>
          <w:p w14:paraId="7D6D3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ERNiCrMo-4焊材</w:t>
            </w:r>
          </w:p>
        </w:tc>
        <w:tc>
          <w:tcPr>
            <w:tcW w:w="1956" w:type="dxa"/>
            <w:vAlign w:val="center"/>
          </w:tcPr>
          <w:p w14:paraId="038C75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w:t>
            </w:r>
          </w:p>
        </w:tc>
        <w:tc>
          <w:tcPr>
            <w:tcW w:w="2305" w:type="dxa"/>
            <w:vAlign w:val="center"/>
          </w:tcPr>
          <w:p w14:paraId="056A1A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C-276配套焊接</w:t>
            </w:r>
          </w:p>
        </w:tc>
        <w:tc>
          <w:tcPr>
            <w:tcW w:w="2131" w:type="dxa"/>
            <w:vAlign w:val="center"/>
          </w:tcPr>
          <w:p w14:paraId="0671AE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kern w:val="2"/>
                <w:sz w:val="18"/>
                <w:szCs w:val="18"/>
                <w:shd w:val="clear" w:fill="FFFFFF"/>
                <w:lang w:val="en-US" w:eastAsia="zh-CN" w:bidi="ar-SA"/>
              </w:rPr>
            </w:pPr>
            <w:r>
              <w:rPr>
                <w:rFonts w:hint="eastAsia" w:ascii="宋体" w:hAnsi="宋体" w:eastAsia="宋体" w:cs="宋体"/>
                <w:i w:val="0"/>
                <w:iCs w:val="0"/>
                <w:caps w:val="0"/>
                <w:color w:val="0F1115"/>
                <w:spacing w:val="0"/>
                <w:kern w:val="2"/>
                <w:sz w:val="18"/>
                <w:szCs w:val="18"/>
                <w:shd w:val="clear" w:fill="FFFFFF"/>
                <w:lang w:val="en-US" w:eastAsia="zh-CN" w:bidi="ar-SA"/>
              </w:rPr>
              <w:t>60~80</w:t>
            </w:r>
          </w:p>
        </w:tc>
      </w:tr>
    </w:tbl>
    <w:p w14:paraId="25DE998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需要着重留意的是，这类特殊种类的材料不单是在初始的时候采购成本处于较高水平价格的起伏波动也是相当大的就拿规格为φ25.4×2.11的S31008换热管来说，在2022年到2024年期间，市场价格在86元每米到135 元每米的范围之内上下波动，价格的变动幅度差不多接近 60%；哈氏合金C -</w:t>
      </w:r>
      <w:r>
        <w:rPr>
          <w:rFonts w:hint="eastAsia" w:ascii="宋体" w:hAnsi="宋体" w:eastAsia="宋体" w:cs="宋体"/>
          <w:sz w:val="21"/>
          <w:szCs w:val="21"/>
        </w:rPr>
        <w:t xml:space="preserve"> 276 管道的价钱同样从800元每米，最高上涨到了1200元每米。此现象显示对材料成本的管控不可拘泥于固定单价的思维模式，而应当构建一种契合市场波动情况的动态管理模式。</w:t>
      </w:r>
    </w:p>
    <w:p w14:paraId="7365489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3 材料成本管控的主要难点</w:t>
      </w:r>
    </w:p>
    <w:p w14:paraId="4A37371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依据行业的工程实际操作情况硫酸装置安装过程中的材料成本控制工作主要遭遇五个方面极为显著的难题。</w:t>
      </w:r>
    </w:p>
    <w:p w14:paraId="5872D356">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首先，设计选材和成本控制之间存在着脱节现象设计人员大多把技术可行性以及安全性当作首要考虑因素，对于材料市场价格和经济性的敏感度不够在一些特定场景中，存在过度选用价格高昂的进口合金的状况而忽略了那些在性能匹配方面表现良好、性价比更高的国产替代方案。</w:t>
      </w:r>
    </w:p>
    <w:p w14:paraId="3C56F65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其次，市场价格信息呈现出不对称的状况特种耐蚀材料市场的流通渠道相对较为集中，价格的透明程度比较低，就同规格、同材质的哈氏合金管道而言，不同供应商给出的报价之间的差异能够超过百分之二十，倘若在采购环节，询价的范围不够广泛、比价不够全面就很容易以偏高的价格来完成采购。</w:t>
      </w:r>
    </w:p>
    <w:p w14:paraId="766C8806">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第三，合同价格调整的机制处于缺失状态从合同签订的时间到实际进行材料采购的时间，通常会存在几个月的时间间隔，在这段时间段之内，要是市场价格发生大幅度的上涨情况供货方也许会提出增加价格的要求，或者出现延迟交付货物的现象；要是市场价格呈现下行的态势，业主方就会面临成本出现虚高的问题没有设置价格调整条款的固定单价合同，在市场环境发生剧烈波动的状况下非常容易引发履行合同方面的纠纷。</w:t>
      </w:r>
    </w:p>
    <w:p w14:paraId="39147F09">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第四点，在施工进程当中材料管理呈现出相对粗放的状态，像焊材、衬里这类配套辅助材料在领用时缺乏定额方面的限制与约束损耗虚报、用次品充当良品等情况时常出现，此部分费用尽管在总体材料费用里所占的比例不算高，不过其单价的差异较为显著，对实际使用量进行核验的难度较大，进而成为成本失去控制的一个较为薄弱的环节。</w:t>
      </w:r>
    </w:p>
    <w:p w14:paraId="380F35B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第五，结算审核缺少完整的依据，普遍存在着材料进场验收记录不规范、进口材料报关单以及材质证明书缺失等方面的问题这使得在结算阶段进行价格认定时缺少有效的凭证争议事项频繁出现，审核的效率和准确性难以得到确保。</w:t>
      </w:r>
    </w:p>
    <w:p w14:paraId="735D5BC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 材料成本精细化管控的五环节措施</w:t>
      </w:r>
    </w:p>
    <w:p w14:paraId="5EED53B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面对上述的管控难题此篇文章自设计、采购、合同、施工、结算这五个关键环节，给出具备系统性、可实施的精细化管控办法。</w:t>
      </w:r>
    </w:p>
    <w:p w14:paraId="5AEB032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4.1 设计选材环节：成本源头管控</w:t>
      </w:r>
    </w:p>
    <w:p w14:paraId="6260A8EF">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在工程项目里设计阶段对于最终造价所产生的影响程度会超出 70%，此阶段属于成本实现精细化管控的关键窗口期。</w:t>
      </w:r>
    </w:p>
    <w:p w14:paraId="63C65B9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实行限额设计模式把材料费用的控制指标拆分到各个专业的设计环节当中，在达成耐腐蚀以及工艺要求的情况下，首先挑选技术方面可行、经济上合理的材料选择方案展开多个方案的性价比对比，举例来说，在某一工况下，采用高硅不锈钢（相对价格处于20到 30倍之间）就能够满足使用需求，那么就不必选用价格更高的哈氏合金 C - 276（相对价格在 40 到 60 倍之间），一般而言，这样能够让材料成本降低 30%到 50%，这类替代方案需要经过腐蚀试验验证合格之后才可以应用。</w:t>
      </w:r>
    </w:p>
    <w:p w14:paraId="2AA542E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尽可能选用具备标准管径以及标准壁厚规格的产品以此降低因进行非标定制而产生的额外价格增加情况通常而言，非标产品的价格相较于标准品会高出 10%至20%，针对 S31008、高硅不锈钢这类国产化技术已达到成熟状态的材料，开展关于进行国产替代可行性的评估工作，优先挑选国产的合格产品，能够在一定范围之内让采购成本降低 20%至 40%，对于关键部位所使用的材料可以要求供货的一方提供由第三方出具的腐蚀试验报告以此保证材料的使用性能。</w:t>
      </w:r>
    </w:p>
    <w:p w14:paraId="711DBB0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4.2 采购询价环节</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信息支撑保障</w:t>
      </w:r>
    </w:p>
    <w:p w14:paraId="04927F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在特种材料交易里，采购方面临的主要不利状况是价格信息缺乏透明度，有必要借助信息体系的搭建来增强议价以及决策的能力。</w:t>
      </w:r>
    </w:p>
    <w:p w14:paraId="4A161C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构建材料价格信息的数据资料库按照材料的类别、牌号、规格以及采购时间来分类录入过往的采购价格、市场询价的记录、合同达成的成交价格，每一个季度达成数据的更新以及校准工作，为询价比对和结算审核提供客观的标准依据，对于金额较大的采购订单，运用背靠背的询价方式，向不少于三家符合要求的供应商发出书面的询价请求获取涵盖规格、材质、数量、交货条件等完备信息的正式报价单据，经过综合的比较之后挑选出价格合理且相对较低的供应商。</w:t>
      </w:r>
    </w:p>
    <w:p w14:paraId="1532B6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利用专业的行业数据平台来辅助</w:t>
      </w:r>
      <w:r>
        <w:rPr>
          <w:rFonts w:hint="eastAsia" w:ascii="宋体" w:hAnsi="宋体" w:eastAsia="宋体" w:cs="宋体"/>
          <w:i w:val="0"/>
          <w:iCs w:val="0"/>
          <w:caps w:val="0"/>
          <w:color w:val="auto"/>
          <w:spacing w:val="0"/>
          <w:kern w:val="2"/>
          <w:sz w:val="21"/>
          <w:szCs w:val="21"/>
          <w:shd w:val="clear" w:fill="FFFFFF"/>
          <w:lang w:val="en-US" w:eastAsia="zh-CN" w:bidi="ar-SA"/>
        </w:rPr>
        <w:t>进行决策对上海有色网、我的钢铁这</w:t>
      </w:r>
      <w:r>
        <w:rPr>
          <w:rFonts w:hint="eastAsia" w:ascii="宋体" w:hAnsi="宋体" w:eastAsia="宋体" w:cs="宋体"/>
          <w:i w:val="0"/>
          <w:iCs w:val="0"/>
          <w:caps w:val="0"/>
          <w:color w:val="0F1115"/>
          <w:spacing w:val="0"/>
          <w:kern w:val="2"/>
          <w:sz w:val="21"/>
          <w:szCs w:val="21"/>
          <w:shd w:val="clear" w:fill="FFFFFF"/>
          <w:lang w:val="en-US" w:eastAsia="zh-CN" w:bidi="ar-SA"/>
        </w:rPr>
        <w:t>类平台所提供的有色合金价格指数予以订阅着重对镍、钼、铬等核心金属的期货价格展开跟踪，精确地对价格的走势做出判断，挑选适宜的采购时机，从而降低价格波动所带来的风险。</w:t>
      </w:r>
    </w:p>
    <w:p w14:paraId="4775AA9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lang w:eastAsia="zh-CN"/>
        </w:rPr>
      </w:pPr>
      <w:r>
        <w:rPr>
          <w:rFonts w:hint="eastAsia" w:ascii="宋体" w:hAnsi="宋体" w:eastAsia="宋体" w:cs="宋体"/>
          <w:i w:val="0"/>
          <w:iCs w:val="0"/>
          <w:caps w:val="0"/>
          <w:color w:val="0F1115"/>
          <w:spacing w:val="0"/>
          <w:sz w:val="21"/>
          <w:szCs w:val="21"/>
          <w:shd w:val="clear" w:fill="FFFFFF"/>
        </w:rPr>
        <w:t>4.3 合同签订环节</w:t>
      </w:r>
      <w:r>
        <w:rPr>
          <w:rFonts w:hint="eastAsia" w:ascii="宋体" w:hAnsi="宋体" w:eastAsia="宋体" w:cs="宋体"/>
          <w:i w:val="0"/>
          <w:iCs w:val="0"/>
          <w:caps w:val="0"/>
          <w:color w:val="0F1115"/>
          <w:spacing w:val="0"/>
          <w:sz w:val="21"/>
          <w:szCs w:val="21"/>
          <w:shd w:val="clear" w:fill="FFFFFF"/>
          <w:lang w:eastAsia="zh-CN"/>
        </w:rPr>
        <w:t>：风险前置分配</w:t>
      </w:r>
    </w:p>
    <w:p w14:paraId="14873A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合同作为成本管控以及风险划分的法律凭证，其关键条款应当具备清晰性、明确性与可执行性。</w:t>
      </w:r>
    </w:p>
    <w:p w14:paraId="286F17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清晰界定材料技术的准则，详尽地罗列执行的标准（如 GB 或者 ASTM）、化学组成的范围、力学特性的指标、热处理的状况、无损检测的要求，同时，约定业主方面具备委托第三方进行再次核验的权利倘若再次核验未通过，由此产生的所有费用需由供货方全部承担。</w:t>
      </w:r>
    </w:p>
    <w:p w14:paraId="25029D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对进口材料的范围进行精准界定，要是合同里规定采用</w:t>
      </w:r>
      <m:oMath>
        <m:r>
          <m:rPr/>
          <w:rPr>
            <w:rFonts w:hint="eastAsia" w:ascii="Cambria Math" w:hAnsi="Cambria Math" w:eastAsia="宋体" w:cs="宋体"/>
            <w:caps w:val="0"/>
            <w:color w:val="0F1115"/>
            <w:spacing w:val="0"/>
            <w:kern w:val="2"/>
            <w:sz w:val="21"/>
            <w:szCs w:val="21"/>
            <w:shd w:val="clear" w:fill="FFFFFF"/>
            <w:lang w:val="en-US" w:bidi="ar-SA"/>
          </w:rPr>
          <m:t>×</m:t>
        </m:r>
      </m:oMath>
      <w:r>
        <w:rPr>
          <w:rFonts w:hint="eastAsia" w:ascii="宋体" w:hAnsi="宋体" w:eastAsia="宋体" w:cs="宋体"/>
          <w:i w:val="0"/>
          <w:iCs w:val="0"/>
          <w:caps w:val="0"/>
          <w:color w:val="0F1115"/>
          <w:spacing w:val="0"/>
          <w:kern w:val="2"/>
          <w:sz w:val="21"/>
          <w:szCs w:val="21"/>
          <w:shd w:val="clear" w:fill="FFFFFF"/>
          <w:lang w:val="en-US" w:eastAsia="zh-CN" w:bidi="ar-SA"/>
        </w:rPr>
        <w:t>进口材料，就必须明确其原产地是在中国大陆之外，同时要求提供海关报关单以及原产地证明；要是允许用国产材料进行替代，需要注明替代材料要执行同样的技术标准，并且要经过业主方的书面确认。</w:t>
      </w:r>
    </w:p>
    <w:p w14:paraId="067E1DF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嵌入动态调价公式：</w:t>
      </w:r>
      <m:oMath>
        <m:sSub>
          <m:sSubPr>
            <m:ctrlPr>
              <w:rPr>
                <w:rFonts w:hint="eastAsia" w:ascii="Cambria Math" w:hAnsi="Cambria Math" w:eastAsia="宋体" w:cs="宋体"/>
                <w:i/>
                <w:iCs w:val="0"/>
                <w:caps w:val="0"/>
                <w:color w:val="0F1115"/>
                <w:spacing w:val="0"/>
                <w:kern w:val="2"/>
                <w:sz w:val="21"/>
                <w:szCs w:val="21"/>
                <w:shd w:val="clear" w:fill="FFFFFF"/>
                <w:lang w:val="en-US"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P</m:t>
            </m:r>
            <m:ctrlPr>
              <w:rPr>
                <w:rFonts w:hint="eastAsia" w:ascii="Cambria Math" w:hAnsi="Cambria Math" w:eastAsia="宋体" w:cs="宋体"/>
                <w:i/>
                <w:iCs w:val="0"/>
                <w:caps w:val="0"/>
                <w:color w:val="0F1115"/>
                <w:spacing w:val="0"/>
                <w:kern w:val="2"/>
                <w:sz w:val="21"/>
                <w:szCs w:val="21"/>
                <w:shd w:val="clear" w:fill="FFFFFF"/>
                <w:lang w:val="en-US"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bidi="ar-SA"/>
              </w:rPr>
            </m:ctrlPr>
          </m:sub>
        </m:sSub>
        <m:r>
          <m:rPr/>
          <w:rPr>
            <w:rFonts w:hint="eastAsia" w:ascii="Cambria Math" w:hAnsi="Cambria Math" w:eastAsia="宋体" w:cs="宋体"/>
            <w:caps w:val="0"/>
            <w:color w:val="0F1115"/>
            <w:spacing w:val="0"/>
            <w:kern w:val="2"/>
            <w:sz w:val="21"/>
            <w:szCs w:val="21"/>
            <w:shd w:val="clear" w:fill="FFFFFF"/>
            <w:lang w:val="en-US" w:bidi="ar-SA"/>
          </w:rPr>
          <m:t>=</m:t>
        </m:r>
        <m:sSub>
          <m:sSubPr>
            <m:ctrlPr>
              <w:rPr>
                <w:rFonts w:hint="eastAsia" w:ascii="Cambria Math" w:hAnsi="Cambria Math" w:eastAsia="宋体" w:cs="宋体"/>
                <w:i/>
                <w:iCs w:val="0"/>
                <w:caps w:val="0"/>
                <w:color w:val="0F1115"/>
                <w:spacing w:val="0"/>
                <w:kern w:val="2"/>
                <w:sz w:val="21"/>
                <w:szCs w:val="21"/>
                <w:shd w:val="clear" w:fill="FFFFFF"/>
                <w:lang w:val="en-US"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P</m:t>
            </m:r>
            <m:ctrlPr>
              <w:rPr>
                <w:rFonts w:hint="eastAsia" w:ascii="Cambria Math" w:hAnsi="Cambria Math" w:eastAsia="宋体" w:cs="宋体"/>
                <w:i/>
                <w:iCs w:val="0"/>
                <w:caps w:val="0"/>
                <w:color w:val="0F1115"/>
                <w:spacing w:val="0"/>
                <w:kern w:val="2"/>
                <w:sz w:val="21"/>
                <w:szCs w:val="21"/>
                <w:shd w:val="clear" w:fill="FFFFFF"/>
                <w:lang w:val="en-US"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O</m:t>
            </m:r>
            <m:ctrlPr>
              <w:rPr>
                <w:rFonts w:hint="eastAsia" w:ascii="Cambria Math" w:hAnsi="Cambria Math" w:eastAsia="宋体" w:cs="宋体"/>
                <w:i/>
                <w:iCs w:val="0"/>
                <w:caps w:val="0"/>
                <w:color w:val="0F1115"/>
                <w:spacing w:val="0"/>
                <w:kern w:val="2"/>
                <w:sz w:val="21"/>
                <w:szCs w:val="21"/>
                <w:shd w:val="clear" w:fill="FFFFFF"/>
                <w:lang w:val="en-US" w:bidi="ar-SA"/>
              </w:rPr>
            </m:ctrlPr>
          </m:sub>
        </m:sSub>
        <m:r>
          <m:rPr/>
          <w:rPr>
            <w:rFonts w:hint="eastAsia" w:ascii="Cambria Math" w:hAnsi="Cambria Math" w:eastAsia="宋体" w:cs="宋体"/>
            <w:caps w:val="0"/>
            <w:color w:val="0F1115"/>
            <w:spacing w:val="0"/>
            <w:kern w:val="2"/>
            <w:sz w:val="21"/>
            <w:szCs w:val="21"/>
            <w:shd w:val="clear" w:fill="FFFFFF"/>
            <w:lang w:val="en-US" w:bidi="ar-SA"/>
          </w:rPr>
          <m:t>×</m:t>
        </m:r>
        <m:d>
          <m:dPr>
            <m:ctrlPr>
              <w:rPr>
                <w:rFonts w:hint="eastAsia" w:ascii="Cambria Math" w:hAnsi="Cambria Math" w:eastAsia="宋体" w:cs="宋体"/>
                <w:i/>
                <w:iCs w:val="0"/>
                <w:caps w:val="0"/>
                <w:color w:val="0F1115"/>
                <w:spacing w:val="0"/>
                <w:kern w:val="2"/>
                <w:sz w:val="21"/>
                <w:szCs w:val="21"/>
                <w:shd w:val="clear" w:fill="FFFFFF"/>
                <w:lang w:val="en-US" w:bidi="ar-SA"/>
              </w:rPr>
            </m:ctrlPr>
          </m:dPr>
          <m:e>
            <m:r>
              <m:rPr/>
              <w:rPr>
                <w:rFonts w:hint="eastAsia" w:ascii="Cambria Math" w:hAnsi="Cambria Math" w:eastAsia="宋体" w:cs="宋体"/>
                <w:caps w:val="0"/>
                <w:color w:val="0F1115"/>
                <w:spacing w:val="0"/>
                <w:kern w:val="2"/>
                <w:sz w:val="21"/>
                <w:szCs w:val="21"/>
                <w:shd w:val="clear" w:fill="FFFFFF"/>
                <w:lang w:val="en-US" w:eastAsia="zh-CN" w:bidi="ar-SA"/>
              </w:rPr>
              <m:t>a</m:t>
            </m:r>
            <m:r>
              <m:rPr/>
              <w:rPr>
                <w:rFonts w:hint="eastAsia" w:ascii="Cambria Math" w:hAnsi="Cambria Math" w:eastAsia="宋体" w:cs="宋体"/>
                <w:caps w:val="0"/>
                <w:color w:val="0F1115"/>
                <w:spacing w:val="0"/>
                <w:kern w:val="2"/>
                <w:sz w:val="21"/>
                <w:szCs w:val="21"/>
                <w:shd w:val="clear" w:fill="FFFFFF"/>
                <w:lang w:val="en-US" w:bidi="ar-SA"/>
              </w:rPr>
              <m:t>+</m:t>
            </m:r>
            <m:r>
              <m:rPr/>
              <w:rPr>
                <w:rFonts w:hint="eastAsia" w:ascii="Cambria Math" w:hAnsi="Cambria Math" w:eastAsia="宋体" w:cs="宋体"/>
                <w:caps w:val="0"/>
                <w:color w:val="0F1115"/>
                <w:spacing w:val="0"/>
                <w:kern w:val="2"/>
                <w:sz w:val="21"/>
                <w:szCs w:val="21"/>
                <w:shd w:val="clear" w:fill="FFFFFF"/>
                <w:lang w:val="en-US" w:eastAsia="zh-CN" w:bidi="ar-SA"/>
              </w:rPr>
              <m:t>b</m:t>
            </m:r>
            <m:f>
              <m:fPr>
                <m:ctrlPr>
                  <w:rPr>
                    <w:rFonts w:hint="eastAsia" w:ascii="Cambria Math" w:hAnsi="Cambria Math" w:eastAsia="宋体" w:cs="宋体"/>
                    <w:i/>
                    <w:iCs w:val="0"/>
                    <w:caps w:val="0"/>
                    <w:color w:val="0F1115"/>
                    <w:spacing w:val="0"/>
                    <w:kern w:val="2"/>
                    <w:sz w:val="21"/>
                    <w:szCs w:val="21"/>
                    <w:shd w:val="clear" w:fill="FFFFFF"/>
                    <w:lang w:val="en-US" w:eastAsia="zh-CN" w:bidi="ar-SA"/>
                  </w:rPr>
                </m:ctrlPr>
              </m:fPr>
              <m:num>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I</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num>
              <m:den>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I</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O</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den>
            </m:f>
            <m:r>
              <m:rPr/>
              <w:rPr>
                <w:rFonts w:hint="eastAsia" w:ascii="Cambria Math" w:hAnsi="Cambria Math" w:eastAsia="宋体" w:cs="宋体"/>
                <w:caps w:val="0"/>
                <w:color w:val="0F1115"/>
                <w:spacing w:val="0"/>
                <w:kern w:val="2"/>
                <w:sz w:val="21"/>
                <w:szCs w:val="21"/>
                <w:shd w:val="clear" w:fill="FFFFFF"/>
                <w:lang w:val="en-US" w:bidi="ar-SA"/>
              </w:rPr>
              <m:t>+</m:t>
            </m:r>
            <m:r>
              <m:rPr/>
              <w:rPr>
                <w:rFonts w:hint="eastAsia" w:ascii="Cambria Math" w:hAnsi="Cambria Math" w:eastAsia="宋体" w:cs="宋体"/>
                <w:caps w:val="0"/>
                <w:color w:val="0F1115"/>
                <w:spacing w:val="0"/>
                <w:kern w:val="2"/>
                <w:sz w:val="21"/>
                <w:szCs w:val="21"/>
                <w:shd w:val="clear" w:fill="FFFFFF"/>
                <w:lang w:val="en-US" w:eastAsia="zh-CN" w:bidi="ar-SA"/>
              </w:rPr>
              <m:t>c</m:t>
            </m:r>
            <m:f>
              <m:fPr>
                <m:ctrlPr>
                  <w:rPr>
                    <w:rFonts w:hint="eastAsia" w:ascii="Cambria Math" w:hAnsi="Cambria Math" w:eastAsia="宋体" w:cs="宋体"/>
                    <w:i/>
                    <w:iCs w:val="0"/>
                    <w:caps w:val="0"/>
                    <w:color w:val="0F1115"/>
                    <w:spacing w:val="0"/>
                    <w:kern w:val="2"/>
                    <w:sz w:val="21"/>
                    <w:szCs w:val="21"/>
                    <w:shd w:val="clear" w:fill="FFFFFF"/>
                    <w:lang w:val="en-US" w:eastAsia="zh-CN" w:bidi="ar-SA"/>
                  </w:rPr>
                </m:ctrlPr>
              </m:fPr>
              <m:num>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num>
              <m:den>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O</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den>
            </m:f>
            <m:r>
              <m:rPr/>
              <w:rPr>
                <w:rFonts w:hint="eastAsia" w:ascii="Cambria Math" w:hAnsi="Cambria Math" w:eastAsia="宋体" w:cs="宋体"/>
                <w:caps w:val="0"/>
                <w:color w:val="0F1115"/>
                <w:spacing w:val="0"/>
                <w:kern w:val="2"/>
                <w:sz w:val="21"/>
                <w:szCs w:val="21"/>
                <w:shd w:val="clear" w:fill="FFFFFF"/>
                <w:lang w:val="en-US" w:bidi="ar-SA"/>
              </w:rPr>
              <m:t>+</m:t>
            </m:r>
            <m:r>
              <m:rPr/>
              <w:rPr>
                <w:rFonts w:hint="eastAsia" w:ascii="Cambria Math" w:hAnsi="Cambria Math" w:eastAsia="宋体" w:cs="宋体"/>
                <w:caps w:val="0"/>
                <w:color w:val="0F1115"/>
                <w:spacing w:val="0"/>
                <w:kern w:val="2"/>
                <w:sz w:val="21"/>
                <w:szCs w:val="21"/>
                <w:shd w:val="clear" w:fill="FFFFFF"/>
                <w:lang w:val="en-US" w:eastAsia="zh-CN" w:bidi="ar-SA"/>
              </w:rPr>
              <m:t>d</m:t>
            </m:r>
            <m:f>
              <m:fPr>
                <m:ctrlPr>
                  <w:rPr>
                    <w:rFonts w:hint="eastAsia" w:ascii="Cambria Math" w:hAnsi="Cambria Math" w:eastAsia="宋体" w:cs="宋体"/>
                    <w:i/>
                    <w:iCs w:val="0"/>
                    <w:caps w:val="0"/>
                    <w:color w:val="0F1115"/>
                    <w:spacing w:val="0"/>
                    <w:kern w:val="2"/>
                    <w:sz w:val="21"/>
                    <w:szCs w:val="21"/>
                    <w:shd w:val="clear" w:fill="FFFFFF"/>
                    <w:lang w:val="en-US" w:eastAsia="zh-CN" w:bidi="ar-SA"/>
                  </w:rPr>
                </m:ctrlPr>
              </m:fPr>
              <m:num>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C</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n</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num>
              <m:den>
                <m:sSub>
                  <m:sSubPr>
                    <m:ctrlPr>
                      <w:rPr>
                        <w:rFonts w:hint="eastAsia" w:ascii="Cambria Math" w:hAnsi="Cambria Math" w:eastAsia="宋体" w:cs="宋体"/>
                        <w:i/>
                        <w:iCs w:val="0"/>
                        <w:caps w:val="0"/>
                        <w:color w:val="0F1115"/>
                        <w:spacing w:val="0"/>
                        <w:kern w:val="2"/>
                        <w:sz w:val="21"/>
                        <w:szCs w:val="21"/>
                        <w:shd w:val="clear" w:fill="FFFFFF"/>
                        <w:lang w:val="en-US" w:eastAsia="zh-CN" w:bidi="ar-SA"/>
                      </w:rPr>
                    </m:ctrlPr>
                  </m:sSubPr>
                  <m:e>
                    <m:r>
                      <m:rPr/>
                      <w:rPr>
                        <w:rFonts w:hint="eastAsia" w:ascii="Cambria Math" w:hAnsi="Cambria Math" w:eastAsia="宋体" w:cs="宋体"/>
                        <w:caps w:val="0"/>
                        <w:color w:val="0F1115"/>
                        <w:spacing w:val="0"/>
                        <w:kern w:val="2"/>
                        <w:sz w:val="21"/>
                        <w:szCs w:val="21"/>
                        <w:shd w:val="clear" w:fill="FFFFFF"/>
                        <w:lang w:val="en-US" w:eastAsia="zh-CN" w:bidi="ar-SA"/>
                      </w:rPr>
                      <m:t>C</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e>
                  <m:sub>
                    <m:r>
                      <m:rPr/>
                      <w:rPr>
                        <w:rFonts w:hint="eastAsia" w:ascii="Cambria Math" w:hAnsi="Cambria Math" w:eastAsia="宋体" w:cs="宋体"/>
                        <w:caps w:val="0"/>
                        <w:color w:val="0F1115"/>
                        <w:spacing w:val="0"/>
                        <w:kern w:val="2"/>
                        <w:sz w:val="21"/>
                        <w:szCs w:val="21"/>
                        <w:shd w:val="clear" w:fill="FFFFFF"/>
                        <w:lang w:val="en-US" w:eastAsia="zh-CN" w:bidi="ar-SA"/>
                      </w:rPr>
                      <m:t>O</m:t>
                    </m:r>
                    <m:ctrlPr>
                      <w:rPr>
                        <w:rFonts w:hint="eastAsia" w:ascii="Cambria Math" w:hAnsi="Cambria Math" w:eastAsia="宋体" w:cs="宋体"/>
                        <w:i/>
                        <w:iCs w:val="0"/>
                        <w:caps w:val="0"/>
                        <w:color w:val="0F1115"/>
                        <w:spacing w:val="0"/>
                        <w:kern w:val="2"/>
                        <w:sz w:val="21"/>
                        <w:szCs w:val="21"/>
                        <w:shd w:val="clear" w:fill="FFFFFF"/>
                        <w:lang w:val="en-US" w:eastAsia="zh-CN" w:bidi="ar-SA"/>
                      </w:rPr>
                    </m:ctrlPr>
                  </m:sub>
                </m:sSub>
                <m:ctrlPr>
                  <w:rPr>
                    <w:rFonts w:hint="eastAsia" w:ascii="Cambria Math" w:hAnsi="Cambria Math" w:eastAsia="宋体" w:cs="宋体"/>
                    <w:i/>
                    <w:iCs w:val="0"/>
                    <w:caps w:val="0"/>
                    <w:color w:val="0F1115"/>
                    <w:spacing w:val="0"/>
                    <w:kern w:val="2"/>
                    <w:sz w:val="21"/>
                    <w:szCs w:val="21"/>
                    <w:shd w:val="clear" w:fill="FFFFFF"/>
                    <w:lang w:val="en-US" w:eastAsia="zh-CN" w:bidi="ar-SA"/>
                  </w:rPr>
                </m:ctrlPr>
              </m:den>
            </m:f>
            <m:ctrlPr>
              <w:rPr>
                <w:rFonts w:hint="eastAsia" w:ascii="Cambria Math" w:hAnsi="Cambria Math" w:eastAsia="宋体" w:cs="宋体"/>
                <w:i/>
                <w:iCs w:val="0"/>
                <w:caps w:val="0"/>
                <w:color w:val="0F1115"/>
                <w:spacing w:val="0"/>
                <w:kern w:val="2"/>
                <w:sz w:val="21"/>
                <w:szCs w:val="21"/>
                <w:shd w:val="clear" w:fill="FFFFFF"/>
                <w:lang w:val="en-US" w:bidi="ar-SA"/>
              </w:rPr>
            </m:ctrlPr>
          </m:e>
        </m:d>
      </m:oMath>
      <w:r>
        <w:rPr>
          <w:rFonts w:hint="eastAsia" w:ascii="宋体" w:hAnsi="宋体" w:eastAsia="宋体" w:cs="宋体"/>
          <w:i w:val="0"/>
          <w:iCs w:val="0"/>
          <w:caps w:val="0"/>
          <w:color w:val="0F1115"/>
          <w:spacing w:val="0"/>
          <w:kern w:val="2"/>
          <w:sz w:val="21"/>
          <w:szCs w:val="21"/>
          <w:shd w:val="clear" w:fill="FFFFFF"/>
          <w:lang w:val="en-US" w:eastAsia="zh-CN" w:bidi="ar-SA"/>
        </w:rPr>
        <w:t>，在此之中，a是固定的权重数值（通常取值处于0.2至0.3这个范围），b、c、d依次为镍、钼、铬各自的价格指数权重，该权重以上海有色网所</w:t>
      </w:r>
      <w:r>
        <w:rPr>
          <w:rFonts w:hint="eastAsia" w:ascii="宋体" w:hAnsi="宋体" w:eastAsia="宋体" w:cs="宋体"/>
          <w:sz w:val="21"/>
          <w:szCs w:val="21"/>
        </w:rPr>
        <w:t>提供的数据作为依据，通过如此方式材料价格上涨与下跌的双方依照既定公式开展计算达成市场价格涨跌情况的公平分摊，从根本之处降低结算过程中产生的争议。</w:t>
      </w:r>
    </w:p>
    <w:p w14:paraId="6CEAA31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对价格构成条款予以清晰明确就单价是否涵盖运杂费、采保费以及检验检测费作出约定针对进口材料，要明确其采用FOB或者CIF的计价方式，优先选用到厂含税价这一模式，从而防止后期核算时出现意见上的分歧。</w:t>
      </w:r>
    </w:p>
    <w:p w14:paraId="42F7E84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lang w:eastAsia="zh-CN"/>
        </w:rPr>
      </w:pPr>
      <w:r>
        <w:rPr>
          <w:rFonts w:hint="eastAsia" w:ascii="宋体" w:hAnsi="宋体" w:eastAsia="宋体" w:cs="宋体"/>
          <w:i w:val="0"/>
          <w:iCs w:val="0"/>
          <w:caps w:val="0"/>
          <w:color w:val="0F1115"/>
          <w:spacing w:val="0"/>
          <w:sz w:val="21"/>
          <w:szCs w:val="21"/>
          <w:shd w:val="clear" w:fill="FFFFFF"/>
        </w:rPr>
        <w:t>4.4 施工过程环节</w:t>
      </w:r>
      <w:r>
        <w:rPr>
          <w:rFonts w:hint="eastAsia" w:ascii="宋体" w:hAnsi="宋体" w:eastAsia="宋体" w:cs="宋体"/>
          <w:i w:val="0"/>
          <w:iCs w:val="0"/>
          <w:caps w:val="0"/>
          <w:color w:val="0F1115"/>
          <w:spacing w:val="0"/>
          <w:sz w:val="21"/>
          <w:szCs w:val="21"/>
          <w:shd w:val="clear" w:fill="FFFFFF"/>
          <w:lang w:eastAsia="zh-CN"/>
        </w:rPr>
        <w:t>：动态落地执行</w:t>
      </w:r>
    </w:p>
    <w:p w14:paraId="1163A7D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施工阶段作为成本管控措施得以落实的关键环节，同时也是问题频繁出现以及管控工作的重点所在区域。</w:t>
      </w:r>
    </w:p>
    <w:p w14:paraId="21CEB73F">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需严格落实材料进场核验机制，对各批次材料的材质证明书、规格型号以及实际数量逐一进行核对在必要情形下，可委托第三方专业机构针对化学成分、力学性能、晶间腐蚀等方面的项目开展再次检验，若再次检验的结果显示材料为不合格，那么该材料绝对禁止投入使用，而与此相关的各项费用需由供货方负责承担。</w:t>
      </w:r>
    </w:p>
    <w:p w14:paraId="0BCEBBAE">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推行焊材定额式管理把理论使用量当作管控基准，其计算公式如下：理论使用量等于焊口数目乘以每道口的标准消耗数量再乘以损耗系数（一般取值在 1.05 到 1.15 之间），在实际领取焊材时，领取的数量不得超过理论使用量与合理留存数量的总和，若出现超额领取焊材的情况，必须执行书面的审批流程，并且要对超额的原因作出说明，此外，所使用的焊材品牌以及牌号必须和焊接工艺评定的相关文件相契合。</w:t>
      </w:r>
    </w:p>
    <w:p w14:paraId="719FFEC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构建过程确价机制，在新增材料进行采购之前，施工单位需呈交报价，此报价需经过业主、监理以及造价咨询这三方共同开展核价工作，并且签字予以确认，当进口材料到货之后，要凭借报关单以及税单立刻核定结算单价每个季度都要依照合同调价公式对价差进行核算，同时将其纳入工程进度款的支付范畴。</w:t>
      </w:r>
    </w:p>
    <w:p w14:paraId="5179B2E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加强对设计变更以及签证的管理控制，针对那些涉及材料型号调整、数量调整的设计变更，需要在变更文件里面清晰地标明规格、数量、计价的方式以及执行的标准，防止事后进行补签情况出现和争议事项产生。</w:t>
      </w:r>
    </w:p>
    <w:p w14:paraId="6C3CDDA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sz w:val="21"/>
          <w:szCs w:val="21"/>
        </w:rPr>
      </w:pPr>
      <w:r>
        <w:rPr>
          <w:rFonts w:hint="eastAsia" w:ascii="宋体" w:hAnsi="宋体" w:eastAsia="宋体" w:cs="宋体"/>
          <w:i w:val="0"/>
          <w:iCs w:val="0"/>
          <w:caps w:val="0"/>
          <w:color w:val="0F1115"/>
          <w:spacing w:val="0"/>
          <w:sz w:val="21"/>
          <w:szCs w:val="21"/>
          <w:shd w:val="clear" w:fill="FFFFFF"/>
        </w:rPr>
        <w:t>4.5 结算审核环节</w:t>
      </w:r>
      <w:r>
        <w:rPr>
          <w:rFonts w:hint="eastAsia" w:ascii="宋体" w:hAnsi="宋体" w:eastAsia="宋体" w:cs="宋体"/>
          <w:i w:val="0"/>
          <w:iCs w:val="0"/>
          <w:caps w:val="0"/>
          <w:color w:val="0F1115"/>
          <w:spacing w:val="0"/>
          <w:sz w:val="21"/>
          <w:szCs w:val="21"/>
          <w:shd w:val="clear" w:fill="FFFFFF"/>
          <w:lang w:eastAsia="zh-CN"/>
        </w:rPr>
        <w:t>：</w:t>
      </w:r>
      <w:r>
        <w:rPr>
          <w:rFonts w:hint="eastAsia" w:ascii="宋体" w:hAnsi="宋体" w:eastAsia="宋体" w:cs="宋体"/>
          <w:i w:val="0"/>
          <w:iCs w:val="0"/>
          <w:caps w:val="0"/>
          <w:color w:val="0F1115"/>
          <w:spacing w:val="0"/>
          <w:sz w:val="21"/>
          <w:szCs w:val="21"/>
          <w:shd w:val="clear" w:fill="FFFFFF"/>
        </w:rPr>
        <w:t>闭环验证收官</w:t>
      </w:r>
    </w:p>
    <w:p w14:paraId="1C4EBF51">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结算审核作为成本管控的终极防线，应当借助分类核验以及数据之间的联动，来保证成本的真实可靠性且处于可控状态，表2呈现的是针对不同类型材料所采用的审核办法以及关键的参考依据。</w:t>
      </w:r>
    </w:p>
    <w:p w14:paraId="2E3F3CCB">
      <w:pPr>
        <w:keepNext w:val="0"/>
        <w:keepLines w:val="0"/>
        <w:pageBreakBefore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rPr>
        <w:t>表2 材料结算审核方法与依据</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6"/>
        <w:gridCol w:w="3155"/>
        <w:gridCol w:w="2841"/>
      </w:tblGrid>
      <w:tr w14:paraId="354E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dxa"/>
            <w:vAlign w:val="center"/>
          </w:tcPr>
          <w:p w14:paraId="351363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b/>
                <w:bCs/>
                <w:i w:val="0"/>
                <w:iCs w:val="0"/>
                <w:caps w:val="0"/>
                <w:color w:val="0F1115"/>
                <w:spacing w:val="0"/>
                <w:kern w:val="0"/>
                <w:sz w:val="21"/>
                <w:szCs w:val="21"/>
                <w:lang w:val="en-US" w:eastAsia="zh-CN" w:bidi="ar"/>
              </w:rPr>
              <w:t>材料类别</w:t>
            </w:r>
          </w:p>
        </w:tc>
        <w:tc>
          <w:tcPr>
            <w:tcW w:w="3155" w:type="dxa"/>
            <w:vAlign w:val="center"/>
          </w:tcPr>
          <w:p w14:paraId="5C9D0F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b/>
                <w:bCs/>
                <w:i w:val="0"/>
                <w:iCs w:val="0"/>
                <w:caps w:val="0"/>
                <w:color w:val="0F1115"/>
                <w:spacing w:val="0"/>
                <w:kern w:val="0"/>
                <w:sz w:val="21"/>
                <w:szCs w:val="21"/>
                <w:lang w:val="en-US" w:eastAsia="zh-CN" w:bidi="ar"/>
              </w:rPr>
              <w:t>审核方法</w:t>
            </w:r>
          </w:p>
        </w:tc>
        <w:tc>
          <w:tcPr>
            <w:tcW w:w="2841" w:type="dxa"/>
            <w:vAlign w:val="center"/>
          </w:tcPr>
          <w:p w14:paraId="2DEF23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b/>
                <w:bCs/>
                <w:i w:val="0"/>
                <w:iCs w:val="0"/>
                <w:caps w:val="0"/>
                <w:color w:val="0F1115"/>
                <w:spacing w:val="0"/>
                <w:kern w:val="0"/>
                <w:sz w:val="21"/>
                <w:szCs w:val="21"/>
                <w:lang w:val="en-US" w:eastAsia="zh-CN" w:bidi="ar"/>
              </w:rPr>
              <w:t>关键依据</w:t>
            </w:r>
          </w:p>
        </w:tc>
      </w:tr>
      <w:tr w14:paraId="4223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dxa"/>
            <w:vAlign w:val="center"/>
          </w:tcPr>
          <w:p w14:paraId="058D6A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国产标准耐蚀材料</w:t>
            </w:r>
          </w:p>
        </w:tc>
        <w:tc>
          <w:tcPr>
            <w:tcW w:w="3155" w:type="dxa"/>
            <w:vAlign w:val="center"/>
          </w:tcPr>
          <w:p w14:paraId="53828E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对照信息价+自主询价</w:t>
            </w:r>
          </w:p>
        </w:tc>
        <w:tc>
          <w:tcPr>
            <w:tcW w:w="2841" w:type="dxa"/>
            <w:vAlign w:val="center"/>
          </w:tcPr>
          <w:p w14:paraId="5C8E6B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钢厂出厂价、市场信息价</w:t>
            </w:r>
          </w:p>
        </w:tc>
      </w:tr>
      <w:tr w14:paraId="799A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dxa"/>
            <w:vAlign w:val="center"/>
          </w:tcPr>
          <w:p w14:paraId="318945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进口耐蚀材料</w:t>
            </w:r>
          </w:p>
        </w:tc>
        <w:tc>
          <w:tcPr>
            <w:tcW w:w="3155" w:type="dxa"/>
            <w:vAlign w:val="center"/>
          </w:tcPr>
          <w:p w14:paraId="5A6093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核验报关单+税单+运单</w:t>
            </w:r>
          </w:p>
        </w:tc>
        <w:tc>
          <w:tcPr>
            <w:tcW w:w="2841" w:type="dxa"/>
            <w:vAlign w:val="center"/>
          </w:tcPr>
          <w:p w14:paraId="56A11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海关单据、国际价格指数</w:t>
            </w:r>
          </w:p>
        </w:tc>
      </w:tr>
      <w:tr w14:paraId="60CE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dxa"/>
            <w:vAlign w:val="center"/>
          </w:tcPr>
          <w:p w14:paraId="2DD616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焊材</w:t>
            </w:r>
          </w:p>
        </w:tc>
        <w:tc>
          <w:tcPr>
            <w:tcW w:w="3155" w:type="dxa"/>
            <w:vAlign w:val="center"/>
          </w:tcPr>
          <w:p w14:paraId="7B21DA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领用记录+工艺评定+消耗定额</w:t>
            </w:r>
          </w:p>
        </w:tc>
        <w:tc>
          <w:tcPr>
            <w:tcW w:w="2841" w:type="dxa"/>
            <w:vAlign w:val="center"/>
          </w:tcPr>
          <w:p w14:paraId="070EBB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领料单、工艺评定报告</w:t>
            </w:r>
          </w:p>
        </w:tc>
      </w:tr>
      <w:tr w14:paraId="696D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dxa"/>
            <w:vAlign w:val="center"/>
          </w:tcPr>
          <w:p w14:paraId="77A622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衬里材料</w:t>
            </w:r>
          </w:p>
        </w:tc>
        <w:tc>
          <w:tcPr>
            <w:tcW w:w="3155" w:type="dxa"/>
            <w:vAlign w:val="center"/>
          </w:tcPr>
          <w:p w14:paraId="71049A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现场实测厚度+核对施工记录</w:t>
            </w:r>
          </w:p>
        </w:tc>
        <w:tc>
          <w:tcPr>
            <w:tcW w:w="2841" w:type="dxa"/>
            <w:vAlign w:val="center"/>
          </w:tcPr>
          <w:p w14:paraId="71C180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0F1115"/>
                <w:spacing w:val="0"/>
                <w:sz w:val="21"/>
                <w:szCs w:val="21"/>
                <w:shd w:val="clear" w:fill="FFFFFF"/>
                <w:vertAlign w:val="baseline"/>
              </w:rPr>
            </w:pPr>
            <w:r>
              <w:rPr>
                <w:rFonts w:hint="eastAsia" w:ascii="宋体" w:hAnsi="宋体" w:eastAsia="宋体" w:cs="宋体"/>
                <w:i w:val="0"/>
                <w:iCs w:val="0"/>
                <w:caps w:val="0"/>
                <w:color w:val="0F1115"/>
                <w:spacing w:val="0"/>
                <w:kern w:val="0"/>
                <w:sz w:val="21"/>
                <w:szCs w:val="21"/>
                <w:lang w:val="en-US" w:eastAsia="zh-CN" w:bidi="ar"/>
              </w:rPr>
              <w:t>复验报告、隐蔽工程记录</w:t>
            </w:r>
          </w:p>
        </w:tc>
      </w:tr>
    </w:tbl>
    <w:p w14:paraId="5BE0D54F">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在审核流程里必须达成三项关键的联动核查工作：配套管件的数量要与管道安装的长度彼此契合；实际采购时点的价格要和材料结算的单价相互对应；合同约定的要求要和材料的品牌、规格维持一致借助多维度的交叉核对，最大程度地缩减不合理成本的存在空间。</w:t>
      </w:r>
    </w:p>
    <w:p w14:paraId="593E05F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 xml:space="preserve">5 </w:t>
      </w:r>
      <w:r>
        <w:rPr>
          <w:rFonts w:hint="eastAsia" w:ascii="宋体" w:hAnsi="宋体" w:eastAsia="宋体" w:cs="宋体"/>
          <w:sz w:val="21"/>
          <w:szCs w:val="21"/>
        </w:rPr>
        <w:t>行业典型案例分析</w:t>
      </w:r>
    </w:p>
    <w:p w14:paraId="2854A8B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本论文挑取近些年硫酸装置安装项目里具备典型性的具体事例，数据源自行业公开的资料以及工程实际情况的调查研究对管控手段的应用成效予以证实。</w:t>
      </w:r>
    </w:p>
    <w:p w14:paraId="00DAEE7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5.1 案例一：S31008 换热管进口与国产认定争议</w:t>
      </w:r>
    </w:p>
    <w:p w14:paraId="0725DC79">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项目背景：有一个每年产能为80万吨的硫磺制酸装置安装项目，在其采购合同里清晰地规定，HRS锅炉换热管要采用从国外进口的S31008无缝管，规格 φ25.4×2.11mm。施工单位在进行结算报审时，所报的单价是每米135元管子的总长度达到了8500 米，报审的金额为114.75万元。</w:t>
      </w:r>
    </w:p>
    <w:p w14:paraId="3154C45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关键问题在于：在进行结算审核工作的时候发觉施工单位在实际采购当中所获取的产品是由国内颇具规模的钢厂所生产的而该施工单位却没办法拿出契合合同既定要求的进口报关单以及原产地相关证明。</w:t>
      </w:r>
    </w:p>
    <w:p w14:paraId="697A2D1E">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处理结果：按照合同的相关条款双方清晰明确地将 “进口材料” 界定为原产地处于中国大陆范围之外的材料，并且按照同期国产市场具有一定代表性的公允价格95元/米来开展结算工作经过审定，最终审定金额达到80.75万元，相比之前核减了34万元。</w:t>
      </w:r>
    </w:p>
    <w:p w14:paraId="1AA85D9F">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案例带来的启示是：合同文本应当对 “进口” 的界定标准给出清晰明确的表述，同时明确提出要求供货方提供完备齐全的证明文件，以此规避产地与价格认定方面可能出现的纠纷。</w:t>
      </w:r>
    </w:p>
    <w:p w14:paraId="5F15FA4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5.2 案例二：C-276 管道价格波动调差处理</w:t>
      </w:r>
    </w:p>
    <w:p w14:paraId="6CFD2DCD">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项目背景：有一个项目涉及哈氏合金C - 276</w:t>
      </w:r>
      <w:r>
        <w:rPr>
          <w:rFonts w:hint="eastAsia" w:ascii="宋体" w:hAnsi="宋体" w:eastAsia="宋体" w:cs="宋体"/>
          <w:sz w:val="21"/>
          <w:szCs w:val="21"/>
        </w:rPr>
        <w:t>无缝管，规格φ89×4mm</w:t>
      </w:r>
      <w:r>
        <w:rPr>
          <w:rFonts w:hint="eastAsia" w:ascii="宋体" w:hAnsi="宋体" w:eastAsia="宋体" w:cs="宋体"/>
          <w:i w:val="0"/>
          <w:iCs w:val="0"/>
          <w:caps w:val="0"/>
          <w:color w:val="0F1115"/>
          <w:spacing w:val="0"/>
          <w:kern w:val="2"/>
          <w:sz w:val="21"/>
          <w:szCs w:val="21"/>
          <w:shd w:val="clear" w:fill="FFFFFF"/>
          <w:lang w:val="en-US" w:eastAsia="zh-CN" w:bidi="ar-SA"/>
        </w:rPr>
        <w:t>管道的采购，在签订合同的时候，市场上该管道的价格是每米950元，管道的总长度为650米，而且，合同里面并没有对价格调整机制作出约定，在施工的阶段，钼的价格从每吨 35万元上升到了每吨52万元，于是，施工单位提交了大幅度调整价格的申请这就使得双方之间产生了争议。</w:t>
      </w:r>
    </w:p>
    <w:p w14:paraId="6BFE179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关键问题在于：事前调价约定的缺失，因市场出现大幅度的波动而引发了履约方面的矛盾这种情况进一步影响到工程的正常推进。</w:t>
      </w:r>
    </w:p>
    <w:p w14:paraId="45E81AF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处理结果方面，依据GB50500 - 2013《建设工程工程量清单计价规范》第9.8条的有关规定，通过多方面的沟通协商，最终确定了调价方案，该方案以合同签订前一周上海有色网的平均价格900元/米作为基准价格，把实际采购时点的平均价格1080元/米当作结算价格，风险系数设定为0.8，经过计算，调增的单价为（1080 - 900）×0.8 = 144元/米，最终总的调增金额达到了9.36万元。</w:t>
      </w:r>
    </w:p>
    <w:p w14:paraId="6EFD3C0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案例所带来的启发为：在合同里提前嵌入具备动态特性的调价公式，能够切实地对价格出现波动的风险予以规避，进而降低事后进行协商所产生的成本以及对工期造成的影响。</w:t>
      </w:r>
    </w:p>
    <w:p w14:paraId="01844B1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5.3 案例三：焊材品牌与用量审核管控</w:t>
      </w:r>
    </w:p>
    <w:p w14:paraId="29C1092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某项目φ89×4mm C-276管道安装工程，施工单位申报配套焊材 ERNiCrMo-4 共210kg，单价365元/kg（宣称进口），报审总价7.67万元。审核发现申报用量远超定额，品牌与实际使用不符。按管道总长650m、焊口186道、单道消耗 0.45kg、损耗系数1.1核算，理论用量约92kg；现场核实为国产焊材，单价280 元/kg。最终核定总价 2.58万元，核减 5.09万元。</w:t>
      </w:r>
    </w:p>
    <w:p w14:paraId="5070BED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案例所带来的启示为：对于焊材的审核工作不能仅仅凭借施工单位所报审的数据来进行，而必须要将现场的领料记录、焊接工艺评定以及理论消耗定额等方面相结合，开展联合性质的核验工作以此达成精准化的管控目标。</w:t>
      </w:r>
    </w:p>
    <w:p w14:paraId="0364441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6 结论与建议</w:t>
      </w:r>
    </w:p>
    <w:p w14:paraId="7FAC879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工程实践显示，硫酸装置安装工程在材料成本的管控方面，务必要基于高温浓硫酸具有强腐蚀特性的工况情况，针对设计、采购、合同、施工、结算这五个关键的环节，开展全流程的精细化管理工作在设计阶段借助限额选择材料以及采用国产材料进行替代的方式能够从根源上让成本降低超过30%；在采购阶段，依靠价格信息库并且进行多方询问价格，能够切实有效地把控采购的单价；在合同阶段运用动态调价公式可以规避有色金属价格出现波动的风险；在施工阶段，落实材料进场后的再次检验以及焊材定额管理工作，能够减少施工现场的浪费现象；在结算阶段，按照相关凭证进行核验并且进行联动核对能够保证结算的情况真实且准确。</w:t>
      </w:r>
    </w:p>
    <w:p w14:paraId="2622D286">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企业可把上述做法固定成内部管理的标准，强化技术人员、采购人员、造价人员以及施工人员之间的协同培训，构建行业共享的特种耐蚀材料价格信息体系，全方位推行动态调价和焊材定额管控举措切实提高硫酸装置安装工程在投资效益和成本管控方面的水平。</w:t>
      </w:r>
    </w:p>
    <w:p w14:paraId="2B355E69">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Style w:val="16"/>
          <w:rFonts w:hint="eastAsia" w:ascii="宋体" w:hAnsi="宋体" w:eastAsia="宋体" w:cs="宋体"/>
          <w:b/>
          <w:bCs/>
          <w:i w:val="0"/>
          <w:iCs w:val="0"/>
          <w:caps w:val="0"/>
          <w:color w:val="0F1115"/>
          <w:spacing w:val="0"/>
          <w:sz w:val="21"/>
          <w:szCs w:val="21"/>
          <w:shd w:val="clear" w:fill="FFFFFF"/>
        </w:rPr>
      </w:pPr>
    </w:p>
    <w:p w14:paraId="4972E46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Style w:val="16"/>
          <w:rFonts w:hint="eastAsia" w:ascii="宋体" w:hAnsi="宋体" w:eastAsia="宋体" w:cs="宋体"/>
          <w:b/>
          <w:bCs/>
          <w:i w:val="0"/>
          <w:iCs w:val="0"/>
          <w:caps w:val="0"/>
          <w:color w:val="0F1115"/>
          <w:spacing w:val="0"/>
          <w:sz w:val="21"/>
          <w:szCs w:val="21"/>
          <w:shd w:val="clear" w:fill="FFFFFF"/>
        </w:rPr>
        <w:t>参考文献</w:t>
      </w:r>
    </w:p>
    <w:p w14:paraId="30093BFE">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[1] 中华人民共和国国家标准. GB50500 - 2013 建设工程工程量清单计价规范[S]. 北京: 中国计划出版社, 2013.</w:t>
      </w:r>
    </w:p>
    <w:p w14:paraId="1FBB22C6">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[2] 中华人民共和国国家标准. GB/T 150 - 2024 压力容器[S]. 北京: 中国标准出版社, 2024.</w:t>
      </w:r>
    </w:p>
    <w:p w14:paraId="4D84B7B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[3] 庄艳丹. 建筑安装工程在造价预结算审核方面所存在的问题以及对应的优化对策[J]. 中国住宅设施, 2024(10): 97 - 99.</w:t>
      </w:r>
    </w:p>
    <w:p w14:paraId="44B0625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[4] 陈丽榕. 建筑安装工程造价预结算审核方面的问题以及对应的优化方法[J]. 建筑与预算, 2024(5): 49 - 51.</w:t>
      </w:r>
    </w:p>
    <w:p w14:paraId="743637D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lang w:val="en-US" w:eastAsia="zh-CN"/>
        </w:rPr>
      </w:pPr>
      <w:r>
        <w:rPr>
          <w:rFonts w:hint="eastAsia" w:ascii="宋体" w:hAnsi="宋体" w:eastAsia="宋体" w:cs="宋体"/>
          <w:i w:val="0"/>
          <w:iCs w:val="0"/>
          <w:caps w:val="0"/>
          <w:color w:val="0F1115"/>
          <w:spacing w:val="0"/>
          <w:sz w:val="21"/>
          <w:szCs w:val="21"/>
          <w:shd w:val="clear" w:fill="FFFFFF"/>
        </w:rPr>
        <w:t>[5] 上海有色金属网. 围绕 2023 年至 2024 年镍、钼以及特种合金材料价格走势开展的分析[R]. 上海, 2024.</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B3EEC"/>
    <w:rsid w:val="00FD2258"/>
    <w:rsid w:val="01520363"/>
    <w:rsid w:val="01C963F3"/>
    <w:rsid w:val="01DE1C5C"/>
    <w:rsid w:val="020411DA"/>
    <w:rsid w:val="02203B3A"/>
    <w:rsid w:val="02AE0AB5"/>
    <w:rsid w:val="02B86B51"/>
    <w:rsid w:val="03304250"/>
    <w:rsid w:val="0374238F"/>
    <w:rsid w:val="03A5079A"/>
    <w:rsid w:val="03C527A5"/>
    <w:rsid w:val="04545D1C"/>
    <w:rsid w:val="04CC1D57"/>
    <w:rsid w:val="04DC643E"/>
    <w:rsid w:val="056106F1"/>
    <w:rsid w:val="05AE130F"/>
    <w:rsid w:val="062077BC"/>
    <w:rsid w:val="065F10D4"/>
    <w:rsid w:val="0730481F"/>
    <w:rsid w:val="076E5F7E"/>
    <w:rsid w:val="07B471FE"/>
    <w:rsid w:val="07C05BA3"/>
    <w:rsid w:val="07E3246F"/>
    <w:rsid w:val="07F7358F"/>
    <w:rsid w:val="08564759"/>
    <w:rsid w:val="08BA0844"/>
    <w:rsid w:val="090C7CD1"/>
    <w:rsid w:val="091A7E4E"/>
    <w:rsid w:val="09931095"/>
    <w:rsid w:val="09F00295"/>
    <w:rsid w:val="0A4B20AA"/>
    <w:rsid w:val="0B664CB3"/>
    <w:rsid w:val="0C0E77A3"/>
    <w:rsid w:val="0C2B45A8"/>
    <w:rsid w:val="0C580AA0"/>
    <w:rsid w:val="0C8E44C1"/>
    <w:rsid w:val="0C9B098C"/>
    <w:rsid w:val="0CDE6ACB"/>
    <w:rsid w:val="0CE82491"/>
    <w:rsid w:val="0CF56428"/>
    <w:rsid w:val="0D525F6F"/>
    <w:rsid w:val="0DA11FD2"/>
    <w:rsid w:val="0E470192"/>
    <w:rsid w:val="0E792F4F"/>
    <w:rsid w:val="0EC8358F"/>
    <w:rsid w:val="0F2C7FC2"/>
    <w:rsid w:val="0F543075"/>
    <w:rsid w:val="0FF00FEF"/>
    <w:rsid w:val="0FF705D0"/>
    <w:rsid w:val="102313C5"/>
    <w:rsid w:val="103C5A23"/>
    <w:rsid w:val="10523A58"/>
    <w:rsid w:val="10667503"/>
    <w:rsid w:val="108035FE"/>
    <w:rsid w:val="10BB15FD"/>
    <w:rsid w:val="10D34B99"/>
    <w:rsid w:val="111156C1"/>
    <w:rsid w:val="111B6540"/>
    <w:rsid w:val="11407D54"/>
    <w:rsid w:val="123F1DBA"/>
    <w:rsid w:val="12CF1390"/>
    <w:rsid w:val="12DB7D35"/>
    <w:rsid w:val="12E60488"/>
    <w:rsid w:val="13001868"/>
    <w:rsid w:val="132A2A6A"/>
    <w:rsid w:val="13CB5FFB"/>
    <w:rsid w:val="13F015BE"/>
    <w:rsid w:val="145D3907"/>
    <w:rsid w:val="148A7C64"/>
    <w:rsid w:val="14B4083D"/>
    <w:rsid w:val="156C2EC6"/>
    <w:rsid w:val="15C56B00"/>
    <w:rsid w:val="16132CB9"/>
    <w:rsid w:val="16B20DAC"/>
    <w:rsid w:val="16B25250"/>
    <w:rsid w:val="16B8213B"/>
    <w:rsid w:val="16D2144F"/>
    <w:rsid w:val="17836BED"/>
    <w:rsid w:val="178C5AA1"/>
    <w:rsid w:val="17AD77C6"/>
    <w:rsid w:val="180933FC"/>
    <w:rsid w:val="18616F2E"/>
    <w:rsid w:val="191221DB"/>
    <w:rsid w:val="19800B64"/>
    <w:rsid w:val="19836A30"/>
    <w:rsid w:val="199944A6"/>
    <w:rsid w:val="19D21766"/>
    <w:rsid w:val="19FD4A34"/>
    <w:rsid w:val="1A533F79"/>
    <w:rsid w:val="1A5A1E87"/>
    <w:rsid w:val="1B6F3710"/>
    <w:rsid w:val="1C250273"/>
    <w:rsid w:val="1D01483C"/>
    <w:rsid w:val="1D0E0D07"/>
    <w:rsid w:val="1D5D57EA"/>
    <w:rsid w:val="1DE42792"/>
    <w:rsid w:val="1E171E3D"/>
    <w:rsid w:val="1EBA2EF4"/>
    <w:rsid w:val="1F1620F4"/>
    <w:rsid w:val="1F78690B"/>
    <w:rsid w:val="1FA40E26"/>
    <w:rsid w:val="1FE741BD"/>
    <w:rsid w:val="20181E55"/>
    <w:rsid w:val="20200F8C"/>
    <w:rsid w:val="204B20BB"/>
    <w:rsid w:val="204F1D62"/>
    <w:rsid w:val="205C7FDB"/>
    <w:rsid w:val="20CA763A"/>
    <w:rsid w:val="21294361"/>
    <w:rsid w:val="21661758"/>
    <w:rsid w:val="227635D6"/>
    <w:rsid w:val="22BA5BB9"/>
    <w:rsid w:val="22EA5D72"/>
    <w:rsid w:val="230D784D"/>
    <w:rsid w:val="23B95F13"/>
    <w:rsid w:val="24174945"/>
    <w:rsid w:val="24212C83"/>
    <w:rsid w:val="244020ED"/>
    <w:rsid w:val="24B17D3C"/>
    <w:rsid w:val="24EE1B49"/>
    <w:rsid w:val="25867FD4"/>
    <w:rsid w:val="258C3110"/>
    <w:rsid w:val="259C77F7"/>
    <w:rsid w:val="262A3A04"/>
    <w:rsid w:val="269C7383"/>
    <w:rsid w:val="26B66697"/>
    <w:rsid w:val="273D46C2"/>
    <w:rsid w:val="27435A51"/>
    <w:rsid w:val="27466F3A"/>
    <w:rsid w:val="276F4A98"/>
    <w:rsid w:val="280671AA"/>
    <w:rsid w:val="28237D5C"/>
    <w:rsid w:val="283B6E9A"/>
    <w:rsid w:val="28414686"/>
    <w:rsid w:val="285F68BA"/>
    <w:rsid w:val="287C746C"/>
    <w:rsid w:val="288D3427"/>
    <w:rsid w:val="28D44D60"/>
    <w:rsid w:val="29F55569"/>
    <w:rsid w:val="2A14198E"/>
    <w:rsid w:val="2AF37C49"/>
    <w:rsid w:val="2B612949"/>
    <w:rsid w:val="2C1A3224"/>
    <w:rsid w:val="2C5F332D"/>
    <w:rsid w:val="2CDC497D"/>
    <w:rsid w:val="2DA03BFD"/>
    <w:rsid w:val="2DAB5E91"/>
    <w:rsid w:val="2DD45655"/>
    <w:rsid w:val="2EC67693"/>
    <w:rsid w:val="2EE30245"/>
    <w:rsid w:val="2F087CAC"/>
    <w:rsid w:val="2F0E4B96"/>
    <w:rsid w:val="2F1A353B"/>
    <w:rsid w:val="2F1F6DA3"/>
    <w:rsid w:val="2F633134"/>
    <w:rsid w:val="2F882B9B"/>
    <w:rsid w:val="2FA86D99"/>
    <w:rsid w:val="312F3756"/>
    <w:rsid w:val="31496359"/>
    <w:rsid w:val="315E0057"/>
    <w:rsid w:val="318D4498"/>
    <w:rsid w:val="31975317"/>
    <w:rsid w:val="3199108F"/>
    <w:rsid w:val="319F16AA"/>
    <w:rsid w:val="31F167D5"/>
    <w:rsid w:val="3216448E"/>
    <w:rsid w:val="321D581C"/>
    <w:rsid w:val="323963CE"/>
    <w:rsid w:val="3273368E"/>
    <w:rsid w:val="32963820"/>
    <w:rsid w:val="32E20814"/>
    <w:rsid w:val="337771AE"/>
    <w:rsid w:val="33F94067"/>
    <w:rsid w:val="340728DF"/>
    <w:rsid w:val="34480B4A"/>
    <w:rsid w:val="34821AD6"/>
    <w:rsid w:val="348E47AF"/>
    <w:rsid w:val="34943D90"/>
    <w:rsid w:val="35A52FD0"/>
    <w:rsid w:val="35D501BC"/>
    <w:rsid w:val="36407D2B"/>
    <w:rsid w:val="36BE3BE8"/>
    <w:rsid w:val="36DA26A7"/>
    <w:rsid w:val="36DB5CA6"/>
    <w:rsid w:val="37227431"/>
    <w:rsid w:val="3756532C"/>
    <w:rsid w:val="37B01725"/>
    <w:rsid w:val="38061044"/>
    <w:rsid w:val="381C3783"/>
    <w:rsid w:val="38997BC6"/>
    <w:rsid w:val="389E342F"/>
    <w:rsid w:val="38B16CBE"/>
    <w:rsid w:val="38C5276A"/>
    <w:rsid w:val="399551B1"/>
    <w:rsid w:val="39D619B3"/>
    <w:rsid w:val="3A445910"/>
    <w:rsid w:val="3A557B1D"/>
    <w:rsid w:val="3A726921"/>
    <w:rsid w:val="3A765FE2"/>
    <w:rsid w:val="3A804B9A"/>
    <w:rsid w:val="3AE50EA1"/>
    <w:rsid w:val="3B2C6AD0"/>
    <w:rsid w:val="3B36697E"/>
    <w:rsid w:val="3B653D90"/>
    <w:rsid w:val="3B7D732B"/>
    <w:rsid w:val="3BAE3989"/>
    <w:rsid w:val="3BCC3E0F"/>
    <w:rsid w:val="3BD66A3C"/>
    <w:rsid w:val="3C424796"/>
    <w:rsid w:val="3CC044ED"/>
    <w:rsid w:val="3CC25530"/>
    <w:rsid w:val="3CC52D38"/>
    <w:rsid w:val="3CD13DD3"/>
    <w:rsid w:val="3D0715A3"/>
    <w:rsid w:val="3D4C16A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1911D83"/>
    <w:rsid w:val="425863FC"/>
    <w:rsid w:val="426C3C56"/>
    <w:rsid w:val="42786A9F"/>
    <w:rsid w:val="42EE53FF"/>
    <w:rsid w:val="43E4263E"/>
    <w:rsid w:val="44FD328B"/>
    <w:rsid w:val="45554E75"/>
    <w:rsid w:val="459D60E3"/>
    <w:rsid w:val="45E5444B"/>
    <w:rsid w:val="46362EF9"/>
    <w:rsid w:val="465515D1"/>
    <w:rsid w:val="468E4AE3"/>
    <w:rsid w:val="46955E71"/>
    <w:rsid w:val="46F54E2D"/>
    <w:rsid w:val="46FD57C4"/>
    <w:rsid w:val="47925F0D"/>
    <w:rsid w:val="47A143DA"/>
    <w:rsid w:val="480706A9"/>
    <w:rsid w:val="48B545A9"/>
    <w:rsid w:val="48F272A6"/>
    <w:rsid w:val="495C0DBE"/>
    <w:rsid w:val="49CB1BAA"/>
    <w:rsid w:val="49DE5E98"/>
    <w:rsid w:val="4A4F4589"/>
    <w:rsid w:val="4AB60164"/>
    <w:rsid w:val="4B8E06C7"/>
    <w:rsid w:val="4BEB208F"/>
    <w:rsid w:val="4C934BC0"/>
    <w:rsid w:val="4CFB09F8"/>
    <w:rsid w:val="4D057181"/>
    <w:rsid w:val="4D1D44CA"/>
    <w:rsid w:val="4D5123C6"/>
    <w:rsid w:val="4D6B792C"/>
    <w:rsid w:val="4DA16EA9"/>
    <w:rsid w:val="4DED1912"/>
    <w:rsid w:val="4E257ADB"/>
    <w:rsid w:val="4E353A96"/>
    <w:rsid w:val="4EAD187E"/>
    <w:rsid w:val="4EB175C0"/>
    <w:rsid w:val="4EB62E28"/>
    <w:rsid w:val="4F78309C"/>
    <w:rsid w:val="50A20D13"/>
    <w:rsid w:val="50AF7B2F"/>
    <w:rsid w:val="50B02F71"/>
    <w:rsid w:val="50C26CF2"/>
    <w:rsid w:val="50EC0D83"/>
    <w:rsid w:val="50FE0CB7"/>
    <w:rsid w:val="512D188F"/>
    <w:rsid w:val="51363DAD"/>
    <w:rsid w:val="513B5867"/>
    <w:rsid w:val="51EC090F"/>
    <w:rsid w:val="51FB00AC"/>
    <w:rsid w:val="52E57838"/>
    <w:rsid w:val="53146370"/>
    <w:rsid w:val="5415414D"/>
    <w:rsid w:val="542B3971"/>
    <w:rsid w:val="54335EE7"/>
    <w:rsid w:val="5463310B"/>
    <w:rsid w:val="54C142D5"/>
    <w:rsid w:val="55254864"/>
    <w:rsid w:val="553C395C"/>
    <w:rsid w:val="55BA1450"/>
    <w:rsid w:val="56135E24"/>
    <w:rsid w:val="564017AC"/>
    <w:rsid w:val="567B0721"/>
    <w:rsid w:val="567B117E"/>
    <w:rsid w:val="56F97D56"/>
    <w:rsid w:val="57081D47"/>
    <w:rsid w:val="57E97DCB"/>
    <w:rsid w:val="57F56770"/>
    <w:rsid w:val="582A5A6F"/>
    <w:rsid w:val="5847689F"/>
    <w:rsid w:val="58C47EF0"/>
    <w:rsid w:val="59345076"/>
    <w:rsid w:val="596F60AE"/>
    <w:rsid w:val="5A2A0227"/>
    <w:rsid w:val="5A7B0A82"/>
    <w:rsid w:val="5B0311A3"/>
    <w:rsid w:val="5BFE5E0F"/>
    <w:rsid w:val="5CA73DB1"/>
    <w:rsid w:val="5CAA564F"/>
    <w:rsid w:val="5E015742"/>
    <w:rsid w:val="5E361890"/>
    <w:rsid w:val="5EDA046D"/>
    <w:rsid w:val="5EE237C6"/>
    <w:rsid w:val="5EFF7ED4"/>
    <w:rsid w:val="5F7679C4"/>
    <w:rsid w:val="5F7F2DC3"/>
    <w:rsid w:val="5FBF1411"/>
    <w:rsid w:val="60395667"/>
    <w:rsid w:val="610D33E8"/>
    <w:rsid w:val="615E35D8"/>
    <w:rsid w:val="619568CD"/>
    <w:rsid w:val="61E67129"/>
    <w:rsid w:val="62CC27C3"/>
    <w:rsid w:val="635A7DCF"/>
    <w:rsid w:val="637D586B"/>
    <w:rsid w:val="63872EA4"/>
    <w:rsid w:val="63F26259"/>
    <w:rsid w:val="63FA3360"/>
    <w:rsid w:val="640A365A"/>
    <w:rsid w:val="640E2967"/>
    <w:rsid w:val="64754794"/>
    <w:rsid w:val="64FD7B2B"/>
    <w:rsid w:val="65141505"/>
    <w:rsid w:val="657B402C"/>
    <w:rsid w:val="65C07C91"/>
    <w:rsid w:val="66CA526B"/>
    <w:rsid w:val="67DD0FCE"/>
    <w:rsid w:val="68774F7F"/>
    <w:rsid w:val="687A681D"/>
    <w:rsid w:val="68D73C6F"/>
    <w:rsid w:val="690B56C7"/>
    <w:rsid w:val="696A4D66"/>
    <w:rsid w:val="699456BD"/>
    <w:rsid w:val="6A4E3ABD"/>
    <w:rsid w:val="6A9A31A7"/>
    <w:rsid w:val="6AD06BC8"/>
    <w:rsid w:val="6B3929BF"/>
    <w:rsid w:val="6B3D425E"/>
    <w:rsid w:val="6B431148"/>
    <w:rsid w:val="6B56531F"/>
    <w:rsid w:val="6BB8040C"/>
    <w:rsid w:val="6C1F5711"/>
    <w:rsid w:val="6C5C6966"/>
    <w:rsid w:val="6C6E5E1A"/>
    <w:rsid w:val="6C8E2897"/>
    <w:rsid w:val="6CDF30F3"/>
    <w:rsid w:val="6D921E65"/>
    <w:rsid w:val="6DF606F4"/>
    <w:rsid w:val="6E267136"/>
    <w:rsid w:val="6E2D67FA"/>
    <w:rsid w:val="6E6E0BD2"/>
    <w:rsid w:val="6E91041D"/>
    <w:rsid w:val="6ECB392F"/>
    <w:rsid w:val="6EF56BFD"/>
    <w:rsid w:val="6F3678A8"/>
    <w:rsid w:val="6F562B93"/>
    <w:rsid w:val="6FA348AB"/>
    <w:rsid w:val="6FBB39A3"/>
    <w:rsid w:val="6FD23894"/>
    <w:rsid w:val="6FE23626"/>
    <w:rsid w:val="70383246"/>
    <w:rsid w:val="703D260A"/>
    <w:rsid w:val="7060279C"/>
    <w:rsid w:val="70626FA0"/>
    <w:rsid w:val="70756EB2"/>
    <w:rsid w:val="71BE777B"/>
    <w:rsid w:val="7258197D"/>
    <w:rsid w:val="72B8241C"/>
    <w:rsid w:val="730241B0"/>
    <w:rsid w:val="73587D13"/>
    <w:rsid w:val="73CB617F"/>
    <w:rsid w:val="743B50B2"/>
    <w:rsid w:val="74BF5CE3"/>
    <w:rsid w:val="750977D2"/>
    <w:rsid w:val="75693EA1"/>
    <w:rsid w:val="75B25848"/>
    <w:rsid w:val="76424E1E"/>
    <w:rsid w:val="76C92E49"/>
    <w:rsid w:val="77617526"/>
    <w:rsid w:val="777A05E8"/>
    <w:rsid w:val="781A1483"/>
    <w:rsid w:val="781F0851"/>
    <w:rsid w:val="7820118F"/>
    <w:rsid w:val="782A7918"/>
    <w:rsid w:val="78B00E0E"/>
    <w:rsid w:val="78C94F9D"/>
    <w:rsid w:val="78E51A91"/>
    <w:rsid w:val="78FD502C"/>
    <w:rsid w:val="795D5ACB"/>
    <w:rsid w:val="796450AB"/>
    <w:rsid w:val="79943C4A"/>
    <w:rsid w:val="79A92E6E"/>
    <w:rsid w:val="79EB30D7"/>
    <w:rsid w:val="7A293F0A"/>
    <w:rsid w:val="7A5E24AA"/>
    <w:rsid w:val="7ACB4CB6"/>
    <w:rsid w:val="7B02692A"/>
    <w:rsid w:val="7B486307"/>
    <w:rsid w:val="7B5B603A"/>
    <w:rsid w:val="7B5C744A"/>
    <w:rsid w:val="7BA55C3B"/>
    <w:rsid w:val="7BD858DD"/>
    <w:rsid w:val="7BE9361F"/>
    <w:rsid w:val="7C765821"/>
    <w:rsid w:val="7C856E44"/>
    <w:rsid w:val="7CD24A22"/>
    <w:rsid w:val="7D366D5F"/>
    <w:rsid w:val="7DD722F0"/>
    <w:rsid w:val="7E32210A"/>
    <w:rsid w:val="7EC87E8B"/>
    <w:rsid w:val="7EF70770"/>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0"/>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autoRedefine/>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autoRedefine/>
    <w:qFormat/>
    <w:uiPriority w:val="0"/>
    <w:pPr>
      <w:spacing w:after="120" w:afterLines="0" w:afterAutospacing="0"/>
    </w:pPr>
  </w:style>
  <w:style w:type="paragraph" w:styleId="7">
    <w:name w:val="footer"/>
    <w:basedOn w:val="1"/>
    <w:link w:val="25"/>
    <w:autoRedefine/>
    <w:unhideWhenUsed/>
    <w:qFormat/>
    <w:uiPriority w:val="99"/>
    <w:pPr>
      <w:tabs>
        <w:tab w:val="center" w:pos="4153"/>
        <w:tab w:val="right" w:pos="8306"/>
      </w:tabs>
      <w:snapToGrid w:val="0"/>
      <w:jc w:val="left"/>
    </w:pPr>
    <w:rPr>
      <w:sz w:val="18"/>
      <w:szCs w:val="18"/>
    </w:rPr>
  </w:style>
  <w:style w:type="paragraph" w:styleId="8">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7"/>
    <w:autoRedefine/>
    <w:qFormat/>
    <w:uiPriority w:val="0"/>
    <w:pPr>
      <w:spacing w:line="400" w:lineRule="exact"/>
      <w:jc w:val="center"/>
    </w:pPr>
    <w:rPr>
      <w:rFonts w:ascii="Calibri" w:hAnsi="Calibri" w:eastAsia="楷体" w:cs="Times New Roman"/>
      <w:b/>
      <w:bCs/>
      <w:kern w:val="28"/>
      <w:szCs w:val="32"/>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5"/>
    <w:next w:val="1"/>
    <w:link w:val="23"/>
    <w:qFormat/>
    <w:uiPriority w:val="10"/>
    <w:pPr>
      <w:adjustRightInd w:val="0"/>
      <w:snapToGrid w:val="0"/>
      <w:spacing w:before="0" w:after="0" w:line="360" w:lineRule="auto"/>
      <w:jc w:val="center"/>
    </w:pPr>
    <w:rPr>
      <w:rFonts w:ascii="黑体" w:hAnsi="黑体" w:eastAsia="黑体" w:cs="黑体"/>
      <w:sz w:val="24"/>
      <w:szCs w:val="24"/>
    </w:rPr>
  </w:style>
  <w:style w:type="paragraph" w:styleId="12">
    <w:name w:val="Body Text First Indent"/>
    <w:basedOn w:val="6"/>
    <w:autoRedefine/>
    <w:qFormat/>
    <w:uiPriority w:val="0"/>
    <w:pPr>
      <w:ind w:firstLine="420" w:firstLineChars="100"/>
    </w:pPr>
  </w:style>
  <w:style w:type="table" w:styleId="14">
    <w:name w:val="Table Grid"/>
    <w:basedOn w:val="13"/>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0正文"/>
    <w:basedOn w:val="1"/>
    <w:qFormat/>
    <w:uiPriority w:val="0"/>
    <w:pPr>
      <w:ind w:firstLine="480" w:firstLineChars="200"/>
    </w:pPr>
  </w:style>
  <w:style w:type="character" w:customStyle="1" w:styleId="19">
    <w:name w:val="标题 2 字符"/>
    <w:basedOn w:val="15"/>
    <w:autoRedefine/>
    <w:semiHidden/>
    <w:qFormat/>
    <w:uiPriority w:val="9"/>
    <w:rPr>
      <w:rFonts w:asciiTheme="majorHAnsi" w:hAnsiTheme="majorHAnsi" w:eastAsiaTheme="majorEastAsia" w:cstheme="majorBidi"/>
      <w:b/>
      <w:bCs/>
      <w:sz w:val="32"/>
      <w:szCs w:val="32"/>
    </w:rPr>
  </w:style>
  <w:style w:type="character" w:customStyle="1" w:styleId="20">
    <w:name w:val="标题 2 字符1"/>
    <w:link w:val="3"/>
    <w:autoRedefine/>
    <w:qFormat/>
    <w:uiPriority w:val="9"/>
    <w:rPr>
      <w:rFonts w:ascii="宋体" w:hAnsi="宋体" w:eastAsia="宋体" w:cs="宋体"/>
      <w:b/>
      <w:bCs/>
      <w:kern w:val="0"/>
      <w:sz w:val="28"/>
      <w:szCs w:val="28"/>
    </w:rPr>
  </w:style>
  <w:style w:type="character" w:customStyle="1" w:styleId="21">
    <w:name w:val="标题 3 字符"/>
    <w:basedOn w:val="15"/>
    <w:link w:val="4"/>
    <w:autoRedefine/>
    <w:semiHidden/>
    <w:qFormat/>
    <w:uiPriority w:val="9"/>
    <w:rPr>
      <w:b/>
      <w:bCs/>
      <w:sz w:val="32"/>
      <w:szCs w:val="32"/>
    </w:rPr>
  </w:style>
  <w:style w:type="character" w:customStyle="1" w:styleId="22">
    <w:name w:val="标题 4 字符"/>
    <w:basedOn w:val="15"/>
    <w:link w:val="5"/>
    <w:autoRedefine/>
    <w:semiHidden/>
    <w:qFormat/>
    <w:uiPriority w:val="9"/>
    <w:rPr>
      <w:rFonts w:asciiTheme="majorHAnsi" w:hAnsiTheme="majorHAnsi" w:eastAsiaTheme="majorEastAsia" w:cstheme="majorBidi"/>
      <w:b/>
      <w:bCs/>
      <w:sz w:val="28"/>
      <w:szCs w:val="28"/>
    </w:rPr>
  </w:style>
  <w:style w:type="character" w:customStyle="1" w:styleId="23">
    <w:name w:val="标题 字符"/>
    <w:basedOn w:val="15"/>
    <w:link w:val="11"/>
    <w:autoRedefine/>
    <w:qFormat/>
    <w:uiPriority w:val="10"/>
    <w:rPr>
      <w:rFonts w:ascii="黑体" w:hAnsi="黑体" w:eastAsia="黑体" w:cs="黑体"/>
      <w:b/>
      <w:bCs/>
      <w:sz w:val="24"/>
      <w:szCs w:val="24"/>
    </w:rPr>
  </w:style>
  <w:style w:type="character" w:customStyle="1" w:styleId="24">
    <w:name w:val="页眉 字符"/>
    <w:basedOn w:val="15"/>
    <w:link w:val="8"/>
    <w:autoRedefine/>
    <w:qFormat/>
    <w:uiPriority w:val="99"/>
    <w:rPr>
      <w:sz w:val="18"/>
      <w:szCs w:val="18"/>
    </w:rPr>
  </w:style>
  <w:style w:type="character" w:customStyle="1" w:styleId="25">
    <w:name w:val="页脚 字符"/>
    <w:basedOn w:val="15"/>
    <w:link w:val="7"/>
    <w:autoRedefine/>
    <w:qFormat/>
    <w:uiPriority w:val="99"/>
    <w:rPr>
      <w:sz w:val="18"/>
      <w:szCs w:val="18"/>
    </w:rPr>
  </w:style>
  <w:style w:type="character" w:customStyle="1" w:styleId="26">
    <w:name w:val="标题 1 字符"/>
    <w:basedOn w:val="15"/>
    <w:link w:val="2"/>
    <w:autoRedefine/>
    <w:qFormat/>
    <w:uiPriority w:val="0"/>
    <w:rPr>
      <w:rFonts w:ascii="Calibri" w:hAnsi="Calibri" w:eastAsia="宋体" w:cs="Times New Roman"/>
      <w:b/>
      <w:bCs/>
      <w:kern w:val="44"/>
      <w:sz w:val="44"/>
      <w:szCs w:val="44"/>
    </w:rPr>
  </w:style>
  <w:style w:type="character" w:customStyle="1" w:styleId="27">
    <w:name w:val="副标题 字符"/>
    <w:basedOn w:val="15"/>
    <w:link w:val="9"/>
    <w:autoRedefine/>
    <w:qFormat/>
    <w:uiPriority w:val="0"/>
    <w:rPr>
      <w:rFonts w:ascii="Calibri" w:hAnsi="Calibri" w:eastAsia="楷体" w:cs="Times New Roman"/>
      <w:b/>
      <w:bCs/>
      <w:kern w:val="28"/>
      <w:szCs w:val="32"/>
    </w:rPr>
  </w:style>
  <w:style w:type="paragraph" w:styleId="28">
    <w:name w:val="List Paragraph"/>
    <w:basedOn w:val="1"/>
    <w:autoRedefine/>
    <w:qFormat/>
    <w:uiPriority w:val="34"/>
    <w:pPr>
      <w:ind w:firstLine="420" w:firstLineChars="200"/>
    </w:pPr>
  </w:style>
  <w:style w:type="paragraph" w:customStyle="1" w:styleId="29">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0">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1">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2">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3">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4">
    <w:name w:val="font31"/>
    <w:basedOn w:val="15"/>
    <w:qFormat/>
    <w:uiPriority w:val="0"/>
    <w:rPr>
      <w:rFonts w:hint="eastAsia" w:ascii="华文楷体" w:hAnsi="华文楷体" w:eastAsia="华文楷体" w:cs="华文楷体"/>
      <w:color w:val="000000"/>
      <w:sz w:val="22"/>
      <w:szCs w:val="22"/>
      <w:u w:val="none"/>
      <w:vertAlign w:val="subscript"/>
    </w:rPr>
  </w:style>
  <w:style w:type="character" w:customStyle="1" w:styleId="35">
    <w:name w:val="font21"/>
    <w:basedOn w:val="15"/>
    <w:qFormat/>
    <w:uiPriority w:val="0"/>
    <w:rPr>
      <w:rFonts w:hint="eastAsia" w:ascii="华文楷体" w:hAnsi="华文楷体" w:eastAsia="华文楷体" w:cs="华文楷体"/>
      <w:color w:val="000000"/>
      <w:sz w:val="22"/>
      <w:szCs w:val="22"/>
      <w:u w:val="none"/>
    </w:rPr>
  </w:style>
  <w:style w:type="character" w:customStyle="1" w:styleId="36">
    <w:name w:val="font41"/>
    <w:basedOn w:val="15"/>
    <w:qFormat/>
    <w:uiPriority w:val="0"/>
    <w:rPr>
      <w:rFonts w:hint="eastAsia" w:ascii="华文楷体" w:hAnsi="华文楷体" w:eastAsia="华文楷体" w:cs="华文楷体"/>
      <w:color w:val="000000"/>
      <w:sz w:val="22"/>
      <w:szCs w:val="22"/>
      <w:u w:val="none"/>
      <w:vertAlign w:val="superscript"/>
    </w:rPr>
  </w:style>
  <w:style w:type="character" w:customStyle="1" w:styleId="37">
    <w:name w:val="font11"/>
    <w:basedOn w:val="15"/>
    <w:qFormat/>
    <w:uiPriority w:val="0"/>
    <w:rPr>
      <w:rFonts w:hint="eastAsia" w:ascii="华文楷体" w:hAnsi="华文楷体" w:eastAsia="华文楷体" w:cs="华文楷体"/>
      <w:color w:val="000000"/>
      <w:sz w:val="22"/>
      <w:szCs w:val="22"/>
      <w:u w:val="none"/>
    </w:rPr>
  </w:style>
  <w:style w:type="paragraph" w:customStyle="1" w:styleId="38">
    <w:name w:val="EndNote Bibliography"/>
    <w:basedOn w:val="1"/>
    <w:autoRedefine/>
    <w:qFormat/>
    <w:uiPriority w:val="0"/>
    <w:pPr>
      <w:ind w:firstLine="200" w:firstLineChars="200"/>
      <w:jc w:val="left"/>
    </w:pPr>
    <w:rPr>
      <w:sz w:val="20"/>
    </w:rPr>
  </w:style>
  <w:style w:type="paragraph" w:customStyle="1" w:styleId="39">
    <w:name w:val="列出段落1"/>
    <w:basedOn w:val="1"/>
    <w:qFormat/>
    <w:uiPriority w:val="34"/>
    <w:pPr>
      <w:ind w:firstLine="420" w:firstLineChars="200"/>
    </w:pPr>
  </w:style>
  <w:style w:type="paragraph" w:customStyle="1" w:styleId="40">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6623</Words>
  <Characters>7105</Characters>
  <Lines>35</Lines>
  <Paragraphs>9</Paragraphs>
  <TotalTime>0</TotalTime>
  <ScaleCrop>false</ScaleCrop>
  <LinksUpToDate>false</LinksUpToDate>
  <CharactersWithSpaces>7238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2026-05-07T07:29:56Z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