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0A9FC69D">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bookmarkStart w:id="0" w:name="_Hlk88569120"/>
      <w:r>
        <w:rPr>
          <w:rFonts w:hint="eastAsia" w:ascii="隶书" w:hAnsi="隶书" w:eastAsia="隶书" w:cs="隶书"/>
          <w:lang w:val="en-US" w:eastAsia="zh-CN"/>
        </w:rPr>
        <w:t>85%热法食品磷酸生产中的典型质量问题</w:t>
      </w:r>
    </w:p>
    <w:p w14:paraId="400156C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及工艺控制</w:t>
      </w:r>
    </w:p>
    <w:bookmarkEnd w:id="0"/>
    <w:p w14:paraId="4865B7C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王科丽</w:t>
      </w:r>
    </w:p>
    <w:p w14:paraId="204CC2A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中轻依兰集团有限公司</w:t>
      </w:r>
    </w:p>
    <w:p w14:paraId="54E02C58">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left="0" w:right="0" w:firstLine="0"/>
        <w:jc w:val="center"/>
        <w:textAlignment w:val="auto"/>
        <w:rPr>
          <w:rFonts w:hint="default" w:ascii="Times New Roman" w:hAnsi="Times New Roman" w:eastAsia="Segoe UI" w:cs="Times New Roman"/>
          <w:b w:val="0"/>
          <w:bCs w:val="0"/>
          <w:i w:val="0"/>
          <w:iCs w:val="0"/>
          <w:caps w:val="0"/>
          <w:color w:val="0F1115"/>
          <w:spacing w:val="0"/>
          <w:sz w:val="21"/>
          <w:szCs w:val="21"/>
          <w:shd w:val="clear" w:fill="FFFFFF"/>
        </w:rPr>
      </w:pPr>
    </w:p>
    <w:p w14:paraId="37D06C8C">
      <w:pPr>
        <w:spacing w:line="400" w:lineRule="exact"/>
        <w:ind w:firstLine="422" w:firstLineChars="200"/>
        <w:rPr>
          <w:rFonts w:hint="default" w:ascii="宋体" w:hAnsi="宋体" w:eastAsia="宋体" w:cs="宋体"/>
          <w:b/>
          <w:bCs/>
          <w:szCs w:val="21"/>
        </w:rPr>
      </w:pPr>
      <w:r>
        <w:rPr>
          <w:rFonts w:hint="default" w:ascii="宋体" w:hAnsi="宋体" w:eastAsia="宋体" w:cs="宋体"/>
          <w:b/>
          <w:bCs/>
          <w:szCs w:val="21"/>
          <w:lang w:val="en-US" w:eastAsia="zh-CN"/>
        </w:rPr>
        <w:t>摘要：</w:t>
      </w:r>
      <w:r>
        <w:rPr>
          <w:rFonts w:hint="default" w:ascii="宋体" w:hAnsi="宋体" w:eastAsia="宋体" w:cs="宋体"/>
          <w:b w:val="0"/>
          <w:bCs w:val="0"/>
          <w:szCs w:val="21"/>
          <w:lang w:val="en-US" w:eastAsia="zh-CN"/>
        </w:rPr>
        <w:t>就某公司30000吨每年热法食品磷酸装置在运行初始阶段频繁</w:t>
      </w:r>
      <w:r>
        <w:rPr>
          <w:rFonts w:hint="eastAsia" w:ascii="宋体" w:hAnsi="宋体" w:eastAsia="宋体" w:cs="宋体"/>
          <w:b w:val="0"/>
          <w:bCs w:val="0"/>
          <w:szCs w:val="21"/>
          <w:lang w:val="en-US" w:eastAsia="zh-CN"/>
        </w:rPr>
        <w:t>出</w:t>
      </w:r>
      <w:r>
        <w:rPr>
          <w:rFonts w:hint="default" w:ascii="宋体" w:hAnsi="宋体" w:eastAsia="宋体" w:cs="宋体"/>
          <w:b w:val="0"/>
          <w:bCs w:val="0"/>
          <w:szCs w:val="21"/>
          <w:lang w:val="en-US" w:eastAsia="zh-CN"/>
        </w:rPr>
        <w:t>现的黄酸、黑点、砷含量超过标准以及产品浓度不稳定等质量问题，对各个问题的产生环节和作用机制开展了系统分析，研究显示：黄酸主要是由板框过滤机的滤布发生磨损，进而造成砷渣出现渗漏所引发的；黑点是因为压缩空气中混杂有固体杂质所致；脱砷的成效与五硫化二磷（P₂S₅）的溶解温度存在紧密联系；浓度难以控制和调酸槽的容积过大，从而导致混合不充分存在关联。借助一系列举措达成了产品</w:t>
      </w:r>
      <w:r>
        <w:rPr>
          <w:rFonts w:hint="eastAsia" w:ascii="宋体" w:hAnsi="宋体" w:eastAsia="宋体" w:cs="宋体"/>
          <w:b w:val="0"/>
          <w:bCs w:val="0"/>
          <w:szCs w:val="21"/>
          <w:lang w:val="en-US" w:eastAsia="zh-CN"/>
        </w:rPr>
        <w:t>质量的</w:t>
      </w:r>
      <w:r>
        <w:rPr>
          <w:rFonts w:hint="default" w:ascii="宋体" w:hAnsi="宋体" w:eastAsia="宋体" w:cs="宋体"/>
          <w:b w:val="0"/>
          <w:bCs w:val="0"/>
          <w:szCs w:val="21"/>
          <w:lang w:val="en-US" w:eastAsia="zh-CN"/>
        </w:rPr>
        <w:t>明显提升</w:t>
      </w:r>
      <w:r>
        <w:rPr>
          <w:rFonts w:hint="eastAsia" w:ascii="宋体" w:hAnsi="宋体" w:eastAsia="宋体" w:cs="宋体"/>
          <w:b w:val="0"/>
          <w:bCs w:val="0"/>
          <w:szCs w:val="21"/>
          <w:lang w:val="en-US" w:eastAsia="zh-CN"/>
        </w:rPr>
        <w:t>，</w:t>
      </w:r>
      <w:r>
        <w:rPr>
          <w:rFonts w:hint="default" w:ascii="宋体" w:hAnsi="宋体" w:eastAsia="宋体" w:cs="宋体"/>
          <w:b w:val="0"/>
          <w:bCs w:val="0"/>
          <w:szCs w:val="21"/>
          <w:lang w:val="en-US" w:eastAsia="zh-CN"/>
        </w:rPr>
        <w:t>这些举措包括把滤布目数从300目增加至450目，在压缩空气入口处添加过滤棉</w:t>
      </w:r>
      <w:r>
        <w:rPr>
          <w:rFonts w:hint="eastAsia" w:ascii="宋体" w:hAnsi="宋体" w:eastAsia="宋体" w:cs="宋体"/>
          <w:b w:val="0"/>
          <w:bCs w:val="0"/>
          <w:szCs w:val="21"/>
          <w:lang w:val="en-US" w:eastAsia="zh-CN"/>
        </w:rPr>
        <w:t>，</w:t>
      </w:r>
      <w:r>
        <w:rPr>
          <w:rFonts w:hint="default" w:ascii="宋体" w:hAnsi="宋体" w:eastAsia="宋体" w:cs="宋体"/>
          <w:b w:val="0"/>
          <w:bCs w:val="0"/>
          <w:szCs w:val="21"/>
          <w:lang w:val="en-US" w:eastAsia="zh-CN"/>
        </w:rPr>
        <w:t>把P₂S₅溶解温度从常温提高到40 - 50℃</w:t>
      </w:r>
      <w:r>
        <w:rPr>
          <w:rFonts w:hint="eastAsia" w:ascii="宋体" w:hAnsi="宋体" w:eastAsia="宋体" w:cs="宋体"/>
          <w:b w:val="0"/>
          <w:bCs w:val="0"/>
          <w:szCs w:val="21"/>
          <w:lang w:val="en-US" w:eastAsia="zh-CN"/>
        </w:rPr>
        <w:t>，并且严格把控。新添</w:t>
      </w:r>
      <w:r>
        <w:rPr>
          <w:rFonts w:hint="default" w:ascii="宋体" w:hAnsi="宋体" w:eastAsia="宋体" w:cs="宋体"/>
          <w:b w:val="0"/>
          <w:bCs w:val="0"/>
          <w:szCs w:val="21"/>
          <w:lang w:val="en-US" w:eastAsia="zh-CN"/>
        </w:rPr>
        <w:t>一个10 m</w:t>
      </w:r>
      <w:r>
        <w:rPr>
          <w:rFonts w:hint="eastAsia" w:ascii="宋体" w:hAnsi="宋体" w:eastAsia="宋体" w:cs="宋体"/>
          <w:b w:val="0"/>
          <w:bCs w:val="0"/>
          <w:szCs w:val="21"/>
          <w:lang w:val="en-US" w:eastAsia="zh-CN"/>
        </w:rPr>
        <w:t>³</w:t>
      </w:r>
      <w:r>
        <w:rPr>
          <w:rFonts w:hint="default" w:ascii="宋体" w:hAnsi="宋体" w:eastAsia="宋体" w:cs="宋体"/>
          <w:b w:val="0"/>
          <w:bCs w:val="0"/>
          <w:szCs w:val="21"/>
          <w:lang w:val="en-US" w:eastAsia="zh-CN"/>
        </w:rPr>
        <w:t>的小型调酸槽等，改进之后，食品磷酸的砷含量稳稳地低于0.5 ppm</w:t>
      </w:r>
      <w:r>
        <w:rPr>
          <w:rFonts w:hint="eastAsia" w:ascii="宋体" w:hAnsi="宋体" w:eastAsia="宋体" w:cs="宋体"/>
          <w:b w:val="0"/>
          <w:bCs w:val="0"/>
          <w:szCs w:val="21"/>
          <w:lang w:val="en-US" w:eastAsia="zh-CN"/>
        </w:rPr>
        <w:t>达到</w:t>
      </w:r>
      <w:r>
        <w:rPr>
          <w:rFonts w:hint="default" w:ascii="宋体" w:hAnsi="宋体" w:eastAsia="宋体" w:cs="宋体"/>
          <w:b w:val="0"/>
          <w:bCs w:val="0"/>
          <w:szCs w:val="21"/>
          <w:lang w:val="en-US" w:eastAsia="zh-CN"/>
        </w:rPr>
        <w:t>GB1886.15 - 2015</w:t>
      </w:r>
      <w:r>
        <w:rPr>
          <w:rFonts w:hint="eastAsia" w:ascii="宋体" w:hAnsi="宋体" w:eastAsia="宋体" w:cs="宋体"/>
          <w:b w:val="0"/>
          <w:bCs w:val="0"/>
          <w:szCs w:val="21"/>
          <w:lang w:val="en-US" w:eastAsia="zh-CN"/>
        </w:rPr>
        <w:t>标准</w:t>
      </w:r>
      <w:r>
        <w:rPr>
          <w:rFonts w:hint="default" w:ascii="宋体" w:hAnsi="宋体" w:eastAsia="宋体" w:cs="宋体"/>
          <w:b w:val="0"/>
          <w:bCs w:val="0"/>
          <w:szCs w:val="21"/>
          <w:lang w:val="en-US" w:eastAsia="zh-CN"/>
        </w:rPr>
        <w:t>，色度达到了5⁰</w:t>
      </w:r>
      <w:r>
        <w:rPr>
          <w:rFonts w:hint="eastAsia" w:ascii="宋体" w:hAnsi="宋体" w:eastAsia="宋体" w:cs="宋体"/>
          <w:b w:val="0"/>
          <w:bCs w:val="0"/>
          <w:szCs w:val="21"/>
          <w:lang w:val="en-US" w:eastAsia="zh-CN"/>
        </w:rPr>
        <w:t>，</w:t>
      </w:r>
      <w:r>
        <w:rPr>
          <w:rFonts w:hint="default" w:ascii="宋体" w:hAnsi="宋体" w:eastAsia="宋体" w:cs="宋体"/>
          <w:b w:val="0"/>
          <w:bCs w:val="0"/>
          <w:szCs w:val="21"/>
          <w:lang w:val="en-US" w:eastAsia="zh-CN"/>
        </w:rPr>
        <w:t>产品单项的合格比率达到了100%，装置每月的生产能力从原本设计的2500 t提高到了3600 t（达到设计</w:t>
      </w:r>
      <w:r>
        <w:rPr>
          <w:rFonts w:hint="eastAsia" w:ascii="宋体" w:hAnsi="宋体" w:eastAsia="宋体" w:cs="宋体"/>
          <w:b w:val="0"/>
          <w:bCs w:val="0"/>
          <w:szCs w:val="21"/>
          <w:lang w:val="en-US" w:eastAsia="zh-CN"/>
        </w:rPr>
        <w:t>能力</w:t>
      </w:r>
      <w:r>
        <w:rPr>
          <w:rFonts w:hint="default" w:ascii="宋体" w:hAnsi="宋体" w:eastAsia="宋体" w:cs="宋体"/>
          <w:b w:val="0"/>
          <w:bCs w:val="0"/>
          <w:szCs w:val="21"/>
          <w:lang w:val="en-US" w:eastAsia="zh-CN"/>
        </w:rPr>
        <w:t>的144%）。本文所提及的改进方案具备成本低廉、操作便捷的特点，能够为从事同类热法</w:t>
      </w:r>
      <w:r>
        <w:rPr>
          <w:rFonts w:hint="eastAsia" w:ascii="宋体" w:hAnsi="宋体" w:eastAsia="宋体" w:cs="宋体"/>
          <w:b w:val="0"/>
          <w:bCs w:val="0"/>
          <w:szCs w:val="21"/>
          <w:lang w:val="en-US" w:eastAsia="zh-CN"/>
        </w:rPr>
        <w:t>食品</w:t>
      </w:r>
      <w:r>
        <w:rPr>
          <w:rFonts w:hint="default" w:ascii="宋体" w:hAnsi="宋体" w:eastAsia="宋体" w:cs="宋体"/>
          <w:b w:val="0"/>
          <w:bCs w:val="0"/>
          <w:szCs w:val="21"/>
          <w:lang w:val="en-US" w:eastAsia="zh-CN"/>
        </w:rPr>
        <w:t>磷酸生产的企业</w:t>
      </w:r>
      <w:r>
        <w:rPr>
          <w:rFonts w:hint="eastAsia" w:ascii="宋体" w:hAnsi="宋体" w:eastAsia="宋体" w:cs="宋体"/>
          <w:b w:val="0"/>
          <w:bCs w:val="0"/>
          <w:szCs w:val="21"/>
          <w:lang w:val="en-US" w:eastAsia="zh-CN"/>
        </w:rPr>
        <w:t>提供借鉴</w:t>
      </w:r>
      <w:r>
        <w:rPr>
          <w:rFonts w:hint="default" w:ascii="宋体" w:hAnsi="宋体" w:eastAsia="宋体" w:cs="宋体"/>
          <w:b w:val="0"/>
          <w:bCs w:val="0"/>
          <w:szCs w:val="21"/>
          <w:lang w:val="en-US" w:eastAsia="zh-CN"/>
        </w:rPr>
        <w:t>。</w:t>
      </w:r>
    </w:p>
    <w:p w14:paraId="47A05F8B">
      <w:pPr>
        <w:spacing w:line="400" w:lineRule="exact"/>
        <w:ind w:firstLine="422" w:firstLineChars="200"/>
        <w:rPr>
          <w:rFonts w:hint="default" w:ascii="宋体" w:hAnsi="宋体" w:eastAsia="宋体" w:cs="宋体"/>
          <w:b w:val="0"/>
          <w:bCs w:val="0"/>
          <w:szCs w:val="21"/>
          <w:lang w:val="en-US" w:eastAsia="zh-CN"/>
        </w:rPr>
      </w:pPr>
      <w:r>
        <w:rPr>
          <w:rFonts w:hint="default" w:ascii="宋体" w:hAnsi="宋体" w:eastAsia="宋体" w:cs="宋体"/>
          <w:b/>
          <w:bCs/>
          <w:szCs w:val="21"/>
          <w:lang w:val="en-US" w:eastAsia="zh-CN"/>
        </w:rPr>
        <w:t>关键词：</w:t>
      </w:r>
      <w:r>
        <w:rPr>
          <w:rFonts w:hint="default" w:ascii="宋体" w:hAnsi="宋体" w:eastAsia="宋体" w:cs="宋体"/>
          <w:b w:val="0"/>
          <w:bCs w:val="0"/>
          <w:szCs w:val="21"/>
          <w:lang w:val="en-US" w:eastAsia="zh-CN"/>
        </w:rPr>
        <w:t>食品磷酸</w:t>
      </w:r>
      <w:r>
        <w:rPr>
          <w:rFonts w:hint="eastAsia" w:ascii="宋体" w:hAnsi="宋体" w:eastAsia="宋体" w:cs="宋体"/>
          <w:b w:val="0"/>
          <w:bCs w:val="0"/>
          <w:szCs w:val="21"/>
          <w:lang w:val="en-US" w:eastAsia="zh-CN"/>
        </w:rPr>
        <w:t xml:space="preserve"> </w:t>
      </w:r>
      <w:r>
        <w:rPr>
          <w:rFonts w:hint="default" w:ascii="宋体" w:hAnsi="宋体" w:eastAsia="宋体" w:cs="宋体"/>
          <w:b w:val="0"/>
          <w:bCs w:val="0"/>
          <w:szCs w:val="21"/>
          <w:lang w:val="en-US" w:eastAsia="zh-CN"/>
        </w:rPr>
        <w:t>脱除砷元素</w:t>
      </w:r>
      <w:r>
        <w:rPr>
          <w:rFonts w:hint="eastAsia" w:ascii="宋体" w:hAnsi="宋体" w:eastAsia="宋体" w:cs="宋体"/>
          <w:b w:val="0"/>
          <w:bCs w:val="0"/>
          <w:szCs w:val="21"/>
          <w:lang w:val="en-US" w:eastAsia="zh-CN"/>
        </w:rPr>
        <w:t xml:space="preserve"> </w:t>
      </w:r>
      <w:r>
        <w:rPr>
          <w:rFonts w:hint="default" w:ascii="宋体" w:hAnsi="宋体" w:eastAsia="宋体" w:cs="宋体"/>
          <w:b w:val="0"/>
          <w:bCs w:val="0"/>
          <w:szCs w:val="21"/>
          <w:lang w:val="en-US" w:eastAsia="zh-CN"/>
        </w:rPr>
        <w:t>五硫化二磷</w:t>
      </w:r>
      <w:r>
        <w:rPr>
          <w:rFonts w:hint="eastAsia" w:ascii="宋体" w:hAnsi="宋体" w:eastAsia="宋体" w:cs="宋体"/>
          <w:b w:val="0"/>
          <w:bCs w:val="0"/>
          <w:szCs w:val="21"/>
          <w:lang w:val="en-US" w:eastAsia="zh-CN"/>
        </w:rPr>
        <w:t xml:space="preserve"> </w:t>
      </w:r>
      <w:r>
        <w:rPr>
          <w:rFonts w:hint="default" w:ascii="宋体" w:hAnsi="宋体" w:eastAsia="宋体" w:cs="宋体"/>
          <w:b w:val="0"/>
          <w:bCs w:val="0"/>
          <w:szCs w:val="21"/>
          <w:lang w:val="en-US" w:eastAsia="zh-CN"/>
        </w:rPr>
        <w:t>板框式过滤</w:t>
      </w:r>
    </w:p>
    <w:p w14:paraId="51D5DD45">
      <w:pPr>
        <w:keepNext w:val="0"/>
        <w:keepLines w:val="0"/>
        <w:pageBreakBefore w:val="0"/>
        <w:kinsoku/>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sz w:val="21"/>
          <w:szCs w:val="21"/>
          <w:lang w:val="en-US" w:eastAsia="zh-CN"/>
        </w:rPr>
      </w:pPr>
    </w:p>
    <w:p w14:paraId="72918BF8">
      <w:pPr>
        <w:keepNext w:val="0"/>
        <w:keepLines w:val="0"/>
        <w:pageBreakBefore w:val="0"/>
        <w:kinsoku/>
        <w:overflowPunct/>
        <w:topLinePunct w:val="0"/>
        <w:autoSpaceDE/>
        <w:autoSpaceDN/>
        <w:bidi w:val="0"/>
        <w:adjustRightInd/>
        <w:snapToGrid/>
        <w:spacing w:line="400" w:lineRule="exact"/>
        <w:textAlignment w:val="auto"/>
        <w:rPr>
          <w:rFonts w:hint="eastAsia" w:ascii="宋体" w:hAnsi="宋体" w:eastAsia="宋体" w:cs="宋体"/>
          <w:b/>
          <w:bCs/>
          <w:sz w:val="21"/>
          <w:szCs w:val="21"/>
        </w:rPr>
      </w:pPr>
      <w:r>
        <w:rPr>
          <w:rFonts w:hint="eastAsia" w:ascii="宋体" w:hAnsi="宋体" w:eastAsia="宋体" w:cs="宋体"/>
          <w:b/>
          <w:bCs/>
          <w:sz w:val="21"/>
          <w:szCs w:val="21"/>
        </w:rPr>
        <w:t>0 引言</w:t>
      </w:r>
    </w:p>
    <w:p w14:paraId="6867BBB6">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85%含量的食品磷酸（H₃PO₄）属于关键的食品添加剂，在酸度调节剂、螯合剂以及发酵助剂等范畴有着广泛的运用，我国拥有数量众多的热法磷酸生产装置，然而普遍存在着产品质量波动幅度较大、脱砷效率偏低、杂质控制存在困难等状况，制约了装置产能的发挥，以及企业的经济效益提升。</w:t>
      </w:r>
    </w:p>
    <w:p w14:paraId="456AAB82">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某家公司85%的食品磷酸制造装置运用五硫化二磷（P₂S₅）当作脱除砷元素的药剂，设计的生产能力为每年3万吨，在装置投入运营的初始阶段，受到磷酸质量方面问题的显著影响，生产能力在较长时间内都难以达到设计标准，具体体现为成品酸里出现黄酸、黑点，并且砷的含量超过规定标准，以及浓度不符合要求等状况，通过系统性的分析以及工艺方面的改进，上述这些问题得到了彻底的解决，装置的运行处于稳定状态，产品的质量达到了国家规定的强制标准要求，生产能力超出设计144%。</w:t>
      </w:r>
    </w:p>
    <w:p w14:paraId="465F665C">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本文针对上述具有代表性的质量问题之成因，以及所实施的控制举措展开系统性总结，其目的在于为同类型企业给予技术方面的参考。</w:t>
      </w:r>
    </w:p>
    <w:p w14:paraId="01C45A0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1 工艺流程与质量控制难点</w:t>
      </w:r>
    </w:p>
    <w:p w14:paraId="5526A9F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1.1 热法磷酸生产工艺</w:t>
      </w:r>
    </w:p>
    <w:p w14:paraId="4CC33FC7">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企业运用热法磷酸制造工艺，此工艺主要涵盖两个步骤的反应，即磷的燃烧反应与酸酐的水合反应，黄磷于燃烧塔之中，跟空气发生反应生成五氧化二磷（P₄O₁₀），接着在水合塔里和水进行反应，生成含量大约为88%的工业磷酸，具体反应如下：P</w:t>
      </w:r>
      <w:r>
        <w:rPr>
          <w:rFonts w:hint="eastAsia" w:ascii="宋体" w:hAnsi="宋体" w:eastAsia="宋体" w:cs="宋体"/>
          <w:i w:val="0"/>
          <w:iCs w:val="0"/>
          <w:caps w:val="0"/>
          <w:color w:val="0F1115"/>
          <w:spacing w:val="0"/>
          <w:kern w:val="2"/>
          <w:sz w:val="21"/>
          <w:szCs w:val="21"/>
          <w:shd w:val="clear" w:fill="FFFFFF"/>
          <w:vertAlign w:val="subscript"/>
          <w:lang w:val="en-US" w:eastAsia="zh-CN" w:bidi="ar-SA"/>
        </w:rPr>
        <w:t>4</w:t>
      </w:r>
      <w:r>
        <w:rPr>
          <w:rFonts w:hint="eastAsia" w:ascii="宋体" w:hAnsi="宋体" w:eastAsia="宋体" w:cs="宋体"/>
          <w:i w:val="0"/>
          <w:iCs w:val="0"/>
          <w:caps w:val="0"/>
          <w:color w:val="0F1115"/>
          <w:spacing w:val="0"/>
          <w:kern w:val="2"/>
          <w:sz w:val="21"/>
          <w:szCs w:val="21"/>
          <w:shd w:val="clear" w:fill="FFFFFF"/>
          <w:lang w:val="en-US" w:eastAsia="zh-CN" w:bidi="ar-SA"/>
        </w:rPr>
        <w:t>+5O</w:t>
      </w:r>
      <w:r>
        <w:rPr>
          <w:rFonts w:hint="eastAsia" w:ascii="宋体" w:hAnsi="宋体" w:eastAsia="宋体" w:cs="宋体"/>
          <w:i w:val="0"/>
          <w:iCs w:val="0"/>
          <w:caps w:val="0"/>
          <w:color w:val="0F1115"/>
          <w:spacing w:val="0"/>
          <w:kern w:val="2"/>
          <w:sz w:val="21"/>
          <w:szCs w:val="21"/>
          <w:shd w:val="clear" w:fill="FFFFFF"/>
          <w:vertAlign w:val="subscript"/>
          <w:lang w:val="en-US" w:eastAsia="zh-CN" w:bidi="ar-SA"/>
        </w:rPr>
        <w:t>2</w:t>
      </w:r>
      <w:r>
        <w:rPr>
          <w:rFonts w:hint="eastAsia" w:ascii="宋体" w:hAnsi="宋体" w:eastAsia="宋体" w:cs="宋体"/>
          <w:i w:val="0"/>
          <w:iCs w:val="0"/>
          <w:caps w:val="0"/>
          <w:color w:val="0F1115"/>
          <w:spacing w:val="0"/>
          <w:kern w:val="2"/>
          <w:sz w:val="21"/>
          <w:szCs w:val="21"/>
          <w:shd w:val="clear" w:fill="FFFFFF"/>
          <w:lang w:val="en-US" w:eastAsia="zh-CN" w:bidi="ar-SA"/>
        </w:rPr>
        <w:t>→P</w:t>
      </w:r>
      <w:r>
        <w:rPr>
          <w:rFonts w:hint="eastAsia" w:ascii="宋体" w:hAnsi="宋体" w:eastAsia="宋体" w:cs="宋体"/>
          <w:i w:val="0"/>
          <w:iCs w:val="0"/>
          <w:caps w:val="0"/>
          <w:color w:val="0F1115"/>
          <w:spacing w:val="0"/>
          <w:kern w:val="2"/>
          <w:sz w:val="21"/>
          <w:szCs w:val="21"/>
          <w:shd w:val="clear" w:fill="FFFFFF"/>
          <w:vertAlign w:val="subscript"/>
          <w:lang w:val="en-US" w:eastAsia="zh-CN" w:bidi="ar-SA"/>
        </w:rPr>
        <w:t>4</w:t>
      </w:r>
      <w:r>
        <w:rPr>
          <w:rFonts w:hint="eastAsia" w:ascii="宋体" w:hAnsi="宋体" w:eastAsia="宋体" w:cs="宋体"/>
          <w:i w:val="0"/>
          <w:iCs w:val="0"/>
          <w:caps w:val="0"/>
          <w:color w:val="0F1115"/>
          <w:spacing w:val="0"/>
          <w:kern w:val="2"/>
          <w:sz w:val="21"/>
          <w:szCs w:val="21"/>
          <w:shd w:val="clear" w:fill="FFFFFF"/>
          <w:lang w:val="en-US" w:eastAsia="zh-CN" w:bidi="ar-SA"/>
        </w:rPr>
        <w:t>O</w:t>
      </w:r>
      <w:r>
        <w:rPr>
          <w:rFonts w:hint="eastAsia" w:ascii="宋体" w:hAnsi="宋体" w:eastAsia="宋体" w:cs="宋体"/>
          <w:i w:val="0"/>
          <w:iCs w:val="0"/>
          <w:caps w:val="0"/>
          <w:color w:val="0F1115"/>
          <w:spacing w:val="0"/>
          <w:kern w:val="2"/>
          <w:sz w:val="21"/>
          <w:szCs w:val="21"/>
          <w:shd w:val="clear" w:fill="FFFFFF"/>
          <w:vertAlign w:val="subscript"/>
          <w:lang w:val="en-US" w:eastAsia="zh-CN" w:bidi="ar-SA"/>
        </w:rPr>
        <w:t>10</w:t>
      </w:r>
      <w:r>
        <w:rPr>
          <w:rFonts w:hint="eastAsia" w:ascii="宋体" w:hAnsi="宋体" w:eastAsia="宋体" w:cs="宋体"/>
          <w:i w:val="0"/>
          <w:iCs w:val="0"/>
          <w:caps w:val="0"/>
          <w:color w:val="0F1115"/>
          <w:spacing w:val="0"/>
          <w:kern w:val="2"/>
          <w:sz w:val="21"/>
          <w:szCs w:val="21"/>
          <w:shd w:val="clear" w:fill="FFFFFF"/>
          <w:lang w:val="en-US" w:eastAsia="zh-CN" w:bidi="ar-SA"/>
        </w:rPr>
        <w:t>​，P</w:t>
      </w:r>
      <w:r>
        <w:rPr>
          <w:rFonts w:hint="eastAsia" w:ascii="宋体" w:hAnsi="宋体" w:eastAsia="宋体" w:cs="宋体"/>
          <w:i w:val="0"/>
          <w:iCs w:val="0"/>
          <w:caps w:val="0"/>
          <w:color w:val="0F1115"/>
          <w:spacing w:val="0"/>
          <w:kern w:val="2"/>
          <w:sz w:val="21"/>
          <w:szCs w:val="21"/>
          <w:shd w:val="clear" w:fill="FFFFFF"/>
          <w:vertAlign w:val="subscript"/>
          <w:lang w:val="en-US" w:eastAsia="zh-CN" w:bidi="ar-SA"/>
        </w:rPr>
        <w:t>4</w:t>
      </w:r>
      <w:r>
        <w:rPr>
          <w:rFonts w:hint="eastAsia" w:ascii="宋体" w:hAnsi="宋体" w:eastAsia="宋体" w:cs="宋体"/>
          <w:i w:val="0"/>
          <w:iCs w:val="0"/>
          <w:caps w:val="0"/>
          <w:color w:val="0F1115"/>
          <w:spacing w:val="0"/>
          <w:kern w:val="2"/>
          <w:sz w:val="21"/>
          <w:szCs w:val="21"/>
          <w:shd w:val="clear" w:fill="FFFFFF"/>
          <w:lang w:val="en-US" w:eastAsia="zh-CN" w:bidi="ar-SA"/>
        </w:rPr>
        <w:t>O</w:t>
      </w:r>
      <w:r>
        <w:rPr>
          <w:rFonts w:hint="eastAsia" w:ascii="宋体" w:hAnsi="宋体" w:eastAsia="宋体" w:cs="宋体"/>
          <w:i w:val="0"/>
          <w:iCs w:val="0"/>
          <w:caps w:val="0"/>
          <w:color w:val="0F1115"/>
          <w:spacing w:val="0"/>
          <w:kern w:val="2"/>
          <w:sz w:val="21"/>
          <w:szCs w:val="21"/>
          <w:shd w:val="clear" w:fill="FFFFFF"/>
          <w:vertAlign w:val="subscript"/>
          <w:lang w:val="en-US" w:eastAsia="zh-CN" w:bidi="ar-SA"/>
        </w:rPr>
        <w:t>10</w:t>
      </w:r>
      <w:r>
        <w:rPr>
          <w:rFonts w:hint="eastAsia" w:ascii="宋体" w:hAnsi="宋体" w:eastAsia="宋体" w:cs="宋体"/>
          <w:i w:val="0"/>
          <w:iCs w:val="0"/>
          <w:caps w:val="0"/>
          <w:color w:val="0F1115"/>
          <w:spacing w:val="0"/>
          <w:kern w:val="2"/>
          <w:sz w:val="21"/>
          <w:szCs w:val="21"/>
          <w:shd w:val="clear" w:fill="FFFFFF"/>
          <w:lang w:val="en-US" w:eastAsia="zh-CN" w:bidi="ar-SA"/>
        </w:rPr>
        <w:t>+6H</w:t>
      </w:r>
      <w:r>
        <w:rPr>
          <w:rFonts w:hint="eastAsia" w:ascii="宋体" w:hAnsi="宋体" w:eastAsia="宋体" w:cs="宋体"/>
          <w:i w:val="0"/>
          <w:iCs w:val="0"/>
          <w:caps w:val="0"/>
          <w:color w:val="0F1115"/>
          <w:spacing w:val="0"/>
          <w:kern w:val="2"/>
          <w:sz w:val="21"/>
          <w:szCs w:val="21"/>
          <w:shd w:val="clear" w:fill="FFFFFF"/>
          <w:vertAlign w:val="subscript"/>
          <w:lang w:val="en-US" w:eastAsia="zh-CN" w:bidi="ar-SA"/>
        </w:rPr>
        <w:t>2</w:t>
      </w:r>
      <w:r>
        <w:rPr>
          <w:rFonts w:hint="eastAsia" w:ascii="宋体" w:hAnsi="宋体" w:eastAsia="宋体" w:cs="宋体"/>
          <w:i w:val="0"/>
          <w:iCs w:val="0"/>
          <w:caps w:val="0"/>
          <w:color w:val="0F1115"/>
          <w:spacing w:val="0"/>
          <w:kern w:val="2"/>
          <w:sz w:val="21"/>
          <w:szCs w:val="21"/>
          <w:shd w:val="clear" w:fill="FFFFFF"/>
          <w:lang w:val="en-US" w:eastAsia="zh-CN" w:bidi="ar-SA"/>
        </w:rPr>
        <w:t>O→4H</w:t>
      </w:r>
      <w:r>
        <w:rPr>
          <w:rFonts w:hint="eastAsia" w:ascii="宋体" w:hAnsi="宋体" w:eastAsia="宋体" w:cs="宋体"/>
          <w:i w:val="0"/>
          <w:iCs w:val="0"/>
          <w:caps w:val="0"/>
          <w:color w:val="0F1115"/>
          <w:spacing w:val="0"/>
          <w:kern w:val="2"/>
          <w:sz w:val="21"/>
          <w:szCs w:val="21"/>
          <w:shd w:val="clear" w:fill="FFFFFF"/>
          <w:vertAlign w:val="subscript"/>
          <w:lang w:val="en-US" w:eastAsia="zh-CN" w:bidi="ar-SA"/>
        </w:rPr>
        <w:t>3</w:t>
      </w:r>
      <w:r>
        <w:rPr>
          <w:rFonts w:hint="eastAsia" w:ascii="宋体" w:hAnsi="宋体" w:eastAsia="宋体" w:cs="宋体"/>
          <w:i w:val="0"/>
          <w:iCs w:val="0"/>
          <w:caps w:val="0"/>
          <w:color w:val="0F1115"/>
          <w:spacing w:val="0"/>
          <w:kern w:val="2"/>
          <w:sz w:val="21"/>
          <w:szCs w:val="21"/>
          <w:shd w:val="clear" w:fill="FFFFFF"/>
          <w:lang w:val="en-US" w:eastAsia="zh-CN" w:bidi="ar-SA"/>
        </w:rPr>
        <w:t>PO</w:t>
      </w:r>
      <w:r>
        <w:rPr>
          <w:rFonts w:hint="eastAsia" w:ascii="宋体" w:hAnsi="宋体" w:eastAsia="宋体" w:cs="宋体"/>
          <w:i w:val="0"/>
          <w:iCs w:val="0"/>
          <w:caps w:val="0"/>
          <w:color w:val="0F1115"/>
          <w:spacing w:val="0"/>
          <w:kern w:val="2"/>
          <w:sz w:val="21"/>
          <w:szCs w:val="21"/>
          <w:shd w:val="clear" w:fill="FFFFFF"/>
          <w:vertAlign w:val="subscript"/>
          <w:lang w:val="en-US" w:eastAsia="zh-CN" w:bidi="ar-SA"/>
        </w:rPr>
        <w:t>4</w:t>
      </w:r>
      <w:r>
        <w:rPr>
          <w:rFonts w:hint="eastAsia" w:ascii="宋体" w:hAnsi="宋体" w:eastAsia="宋体" w:cs="宋体"/>
          <w:i w:val="0"/>
          <w:iCs w:val="0"/>
          <w:caps w:val="0"/>
          <w:color w:val="0F1115"/>
          <w:spacing w:val="0"/>
          <w:kern w:val="2"/>
          <w:sz w:val="21"/>
          <w:szCs w:val="21"/>
          <w:shd w:val="clear" w:fill="FFFFFF"/>
          <w:lang w:val="en-US" w:eastAsia="zh-CN" w:bidi="ar-SA"/>
        </w:rPr>
        <w:t>​</w:t>
      </w:r>
    </w:p>
    <w:p w14:paraId="7F9651D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1.2 食品磷酸脱砷流程</w:t>
      </w:r>
    </w:p>
    <w:p w14:paraId="19F55671">
      <w:pPr>
        <w:keepNext w:val="0"/>
        <w:keepLines w:val="0"/>
        <w:pageBreakBefore w:val="0"/>
        <w:kinsoku/>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5200015" cy="1538605"/>
            <wp:effectExtent l="0" t="0" r="635" b="444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4"/>
                    <a:stretch>
                      <a:fillRect/>
                    </a:stretch>
                  </pic:blipFill>
                  <pic:spPr>
                    <a:xfrm>
                      <a:off x="0" y="0"/>
                      <a:ext cx="5200015" cy="1538605"/>
                    </a:xfrm>
                    <a:prstGeom prst="rect">
                      <a:avLst/>
                    </a:prstGeom>
                    <a:noFill/>
                    <a:ln>
                      <a:noFill/>
                    </a:ln>
                  </pic:spPr>
                </pic:pic>
              </a:graphicData>
            </a:graphic>
          </wp:inline>
        </w:drawing>
      </w:r>
    </w:p>
    <w:p w14:paraId="3119638C">
      <w:pPr>
        <w:keepNext w:val="0"/>
        <w:keepLines w:val="0"/>
        <w:pageBreakBefore w:val="0"/>
        <w:kinsoku/>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 xml:space="preserve">图1 </w:t>
      </w:r>
      <w:r>
        <w:rPr>
          <w:rFonts w:hint="eastAsia" w:ascii="宋体" w:hAnsi="宋体" w:eastAsia="宋体" w:cs="宋体"/>
          <w:b/>
          <w:bCs/>
          <w:sz w:val="21"/>
          <w:szCs w:val="21"/>
        </w:rPr>
        <w:t>食品磷酸脱砷流程</w:t>
      </w:r>
    </w:p>
    <w:p w14:paraId="01CB76C6">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sz w:val="21"/>
          <w:szCs w:val="21"/>
        </w:rPr>
        <w:t>经</w:t>
      </w:r>
      <w:r>
        <w:rPr>
          <w:rFonts w:hint="eastAsia" w:ascii="宋体" w:hAnsi="宋体" w:eastAsia="宋体" w:cs="宋体"/>
          <w:i w:val="0"/>
          <w:iCs w:val="0"/>
          <w:caps w:val="0"/>
          <w:color w:val="0F1115"/>
          <w:spacing w:val="0"/>
          <w:kern w:val="2"/>
          <w:sz w:val="21"/>
          <w:szCs w:val="21"/>
          <w:shd w:val="clear" w:fill="FFFFFF"/>
          <w:lang w:val="en-US" w:eastAsia="zh-CN" w:bidi="ar-SA"/>
        </w:rPr>
        <w:t>过计量之后，88%的工业磷酸进入反应釜，与浓度为2%的五硫化二磷（P₂S₅）水溶液发生反应，磷酸里含有的亚砷酸（H₃AsO₃）会和五硫化二磷（P₂S</w:t>
      </w:r>
      <w:r>
        <w:rPr>
          <w:rFonts w:hint="eastAsia" w:ascii="宋体" w:hAnsi="宋体" w:eastAsia="宋体" w:cs="宋体"/>
          <w:i w:val="0"/>
          <w:iCs w:val="0"/>
          <w:caps w:val="0"/>
          <w:color w:val="0F1115"/>
          <w:spacing w:val="0"/>
          <w:kern w:val="2"/>
          <w:sz w:val="21"/>
          <w:szCs w:val="21"/>
          <w:shd w:val="clear" w:fill="FFFFFF"/>
          <w:vertAlign w:val="subscript"/>
          <w:lang w:val="en-US" w:eastAsia="zh-CN" w:bidi="ar-SA"/>
        </w:rPr>
        <w:t>₅</w:t>
      </w:r>
      <w:r>
        <w:rPr>
          <w:rFonts w:hint="eastAsia" w:ascii="宋体" w:hAnsi="宋体" w:eastAsia="宋体" w:cs="宋体"/>
          <w:i w:val="0"/>
          <w:iCs w:val="0"/>
          <w:caps w:val="0"/>
          <w:color w:val="0F1115"/>
          <w:spacing w:val="0"/>
          <w:kern w:val="2"/>
          <w:sz w:val="21"/>
          <w:szCs w:val="21"/>
          <w:shd w:val="clear" w:fill="FFFFFF"/>
          <w:lang w:val="en-US" w:eastAsia="zh-CN" w:bidi="ar-SA"/>
        </w:rPr>
        <w:t>）</w:t>
      </w:r>
      <w:r>
        <w:rPr>
          <w:rFonts w:hint="eastAsia" w:ascii="宋体" w:hAnsi="宋体" w:eastAsia="宋体" w:cs="宋体"/>
          <w:i w:val="0"/>
          <w:iCs w:val="0"/>
          <w:caps w:val="0"/>
          <w:color w:val="0F1115"/>
          <w:spacing w:val="0"/>
          <w:kern w:val="2"/>
          <w:sz w:val="21"/>
          <w:szCs w:val="21"/>
          <w:shd w:val="clear" w:fill="FFFFFF"/>
          <w:vertAlign w:val="baseline"/>
          <w:lang w:val="en-US" w:eastAsia="zh-CN" w:bidi="ar-SA"/>
        </w:rPr>
        <w:t>水</w:t>
      </w:r>
      <w:r>
        <w:rPr>
          <w:rFonts w:hint="eastAsia" w:ascii="宋体" w:hAnsi="宋体" w:eastAsia="宋体" w:cs="宋体"/>
          <w:i w:val="0"/>
          <w:iCs w:val="0"/>
          <w:caps w:val="0"/>
          <w:color w:val="0F1115"/>
          <w:spacing w:val="0"/>
          <w:kern w:val="2"/>
          <w:sz w:val="21"/>
          <w:szCs w:val="21"/>
          <w:shd w:val="clear" w:fill="FFFFFF"/>
          <w:lang w:val="en-US" w:eastAsia="zh-CN" w:bidi="ar-SA"/>
        </w:rPr>
        <w:t>解所释</w:t>
      </w:r>
      <w:r>
        <w:rPr>
          <w:rFonts w:hint="eastAsia" w:ascii="宋体" w:hAnsi="宋体" w:eastAsia="宋体" w:cs="宋体"/>
          <w:i w:val="0"/>
          <w:iCs w:val="0"/>
          <w:caps w:val="0"/>
          <w:color w:val="0F1115"/>
          <w:spacing w:val="0"/>
          <w:kern w:val="2"/>
          <w:sz w:val="21"/>
          <w:szCs w:val="21"/>
          <w:shd w:val="clear" w:fill="FFFFFF"/>
          <w:vertAlign w:val="baseline"/>
          <w:lang w:val="en-US" w:eastAsia="zh-CN" w:bidi="ar-SA"/>
        </w:rPr>
        <w:t>放</w:t>
      </w:r>
      <w:r>
        <w:rPr>
          <w:rFonts w:hint="eastAsia" w:ascii="宋体" w:hAnsi="宋体" w:eastAsia="宋体" w:cs="宋体"/>
          <w:i w:val="0"/>
          <w:iCs w:val="0"/>
          <w:caps w:val="0"/>
          <w:color w:val="0F1115"/>
          <w:spacing w:val="0"/>
          <w:kern w:val="2"/>
          <w:sz w:val="21"/>
          <w:szCs w:val="21"/>
          <w:shd w:val="clear" w:fill="FFFFFF"/>
          <w:lang w:val="en-US" w:eastAsia="zh-CN" w:bidi="ar-SA"/>
        </w:rPr>
        <w:t>出来的硫</w:t>
      </w:r>
      <w:r>
        <w:rPr>
          <w:rFonts w:hint="eastAsia" w:ascii="宋体" w:hAnsi="宋体" w:eastAsia="宋体" w:cs="宋体"/>
          <w:i w:val="0"/>
          <w:iCs w:val="0"/>
          <w:caps w:val="0"/>
          <w:color w:val="0F1115"/>
          <w:spacing w:val="0"/>
          <w:kern w:val="2"/>
          <w:sz w:val="21"/>
          <w:szCs w:val="21"/>
          <w:shd w:val="clear" w:fill="FFFFFF"/>
          <w:vertAlign w:val="baseline"/>
          <w:lang w:val="en-US" w:eastAsia="zh-CN" w:bidi="ar-SA"/>
        </w:rPr>
        <w:t>化</w:t>
      </w:r>
      <w:r>
        <w:rPr>
          <w:rFonts w:hint="eastAsia" w:ascii="宋体" w:hAnsi="宋体" w:eastAsia="宋体" w:cs="宋体"/>
          <w:i w:val="0"/>
          <w:iCs w:val="0"/>
          <w:caps w:val="0"/>
          <w:color w:val="0F1115"/>
          <w:spacing w:val="0"/>
          <w:kern w:val="2"/>
          <w:sz w:val="21"/>
          <w:szCs w:val="21"/>
          <w:shd w:val="clear" w:fill="FFFFFF"/>
          <w:lang w:val="en-US" w:eastAsia="zh-CN" w:bidi="ar-SA"/>
        </w:rPr>
        <w:t>氢（</w:t>
      </w:r>
      <w:r>
        <w:rPr>
          <w:rFonts w:hint="eastAsia" w:ascii="宋体" w:hAnsi="宋体" w:eastAsia="宋体" w:cs="宋体"/>
          <w:i w:val="0"/>
          <w:iCs w:val="0"/>
          <w:caps w:val="0"/>
          <w:color w:val="0F1115"/>
          <w:spacing w:val="0"/>
          <w:kern w:val="2"/>
          <w:sz w:val="21"/>
          <w:szCs w:val="21"/>
          <w:shd w:val="clear" w:fill="FFFFFF"/>
          <w:vertAlign w:val="baseline"/>
          <w:lang w:val="en-US" w:eastAsia="zh-CN" w:bidi="ar-SA"/>
        </w:rPr>
        <w:t>H</w:t>
      </w:r>
      <w:r>
        <w:rPr>
          <w:rFonts w:hint="eastAsia" w:ascii="宋体" w:hAnsi="宋体" w:eastAsia="宋体" w:cs="宋体"/>
          <w:i w:val="0"/>
          <w:iCs w:val="0"/>
          <w:caps w:val="0"/>
          <w:color w:val="0F1115"/>
          <w:spacing w:val="0"/>
          <w:kern w:val="2"/>
          <w:sz w:val="21"/>
          <w:szCs w:val="21"/>
          <w:shd w:val="clear" w:fill="FFFFFF"/>
          <w:lang w:val="en-US" w:eastAsia="zh-CN" w:bidi="ar-SA"/>
        </w:rPr>
        <w:t>₂S）</w:t>
      </w:r>
      <w:r>
        <w:rPr>
          <w:rFonts w:hint="eastAsia" w:ascii="宋体" w:hAnsi="宋体" w:eastAsia="宋体" w:cs="宋体"/>
          <w:i w:val="0"/>
          <w:iCs w:val="0"/>
          <w:caps w:val="0"/>
          <w:color w:val="0F1115"/>
          <w:spacing w:val="0"/>
          <w:kern w:val="2"/>
          <w:sz w:val="21"/>
          <w:szCs w:val="21"/>
          <w:shd w:val="clear" w:fill="FFFFFF"/>
          <w:vertAlign w:val="baseline"/>
          <w:lang w:val="en-US" w:eastAsia="zh-CN" w:bidi="ar-SA"/>
        </w:rPr>
        <w:t>进</w:t>
      </w:r>
      <w:r>
        <w:rPr>
          <w:rFonts w:hint="eastAsia" w:ascii="宋体" w:hAnsi="宋体" w:eastAsia="宋体" w:cs="宋体"/>
          <w:i w:val="0"/>
          <w:iCs w:val="0"/>
          <w:caps w:val="0"/>
          <w:color w:val="0F1115"/>
          <w:spacing w:val="0"/>
          <w:kern w:val="2"/>
          <w:sz w:val="21"/>
          <w:szCs w:val="21"/>
          <w:shd w:val="clear" w:fill="FFFFFF"/>
          <w:lang w:val="en-US" w:eastAsia="zh-CN" w:bidi="ar-SA"/>
        </w:rPr>
        <w:t>行反应，进而生成三硫化二</w:t>
      </w:r>
      <w:r>
        <w:rPr>
          <w:rFonts w:hint="eastAsia" w:ascii="宋体" w:hAnsi="宋体" w:eastAsia="宋体" w:cs="宋体"/>
          <w:i w:val="0"/>
          <w:iCs w:val="0"/>
          <w:caps w:val="0"/>
          <w:color w:val="0F1115"/>
          <w:spacing w:val="0"/>
          <w:kern w:val="2"/>
          <w:sz w:val="21"/>
          <w:szCs w:val="21"/>
          <w:shd w:val="clear" w:fill="FFFFFF"/>
          <w:vertAlign w:val="baseline"/>
          <w:lang w:val="en-US" w:eastAsia="zh-CN" w:bidi="ar-SA"/>
        </w:rPr>
        <w:t>砷（</w:t>
      </w:r>
      <w:r>
        <w:rPr>
          <w:rFonts w:hint="eastAsia" w:ascii="宋体" w:hAnsi="宋体" w:eastAsia="宋体" w:cs="宋体"/>
          <w:i w:val="0"/>
          <w:iCs w:val="0"/>
          <w:caps w:val="0"/>
          <w:color w:val="0F1115"/>
          <w:spacing w:val="0"/>
          <w:kern w:val="2"/>
          <w:sz w:val="21"/>
          <w:szCs w:val="21"/>
          <w:shd w:val="clear" w:fill="FFFFFF"/>
          <w:lang w:val="en-US" w:eastAsia="zh-CN" w:bidi="ar-SA"/>
        </w:rPr>
        <w:t>A</w:t>
      </w:r>
      <w:r>
        <w:rPr>
          <w:rFonts w:hint="eastAsia" w:ascii="宋体" w:hAnsi="宋体" w:eastAsia="宋体" w:cs="宋体"/>
          <w:i w:val="0"/>
          <w:iCs w:val="0"/>
          <w:caps w:val="0"/>
          <w:color w:val="0F1115"/>
          <w:spacing w:val="0"/>
          <w:kern w:val="2"/>
          <w:sz w:val="21"/>
          <w:szCs w:val="21"/>
          <w:shd w:val="clear" w:fill="FFFFFF"/>
          <w:vertAlign w:val="baseline"/>
          <w:lang w:val="en-US" w:eastAsia="zh-CN" w:bidi="ar-SA"/>
        </w:rPr>
        <w:t>s</w:t>
      </w:r>
      <w:r>
        <w:rPr>
          <w:rFonts w:hint="eastAsia" w:ascii="宋体" w:hAnsi="宋体" w:eastAsia="宋体" w:cs="宋体"/>
          <w:i w:val="0"/>
          <w:iCs w:val="0"/>
          <w:caps w:val="0"/>
          <w:color w:val="0F1115"/>
          <w:spacing w:val="0"/>
          <w:kern w:val="2"/>
          <w:sz w:val="21"/>
          <w:szCs w:val="21"/>
          <w:shd w:val="clear" w:fill="FFFFFF"/>
          <w:lang w:val="en-US" w:eastAsia="zh-CN" w:bidi="ar-SA"/>
        </w:rPr>
        <w:t>₂</w:t>
      </w:r>
      <w:r>
        <w:rPr>
          <w:rFonts w:hint="eastAsia" w:ascii="宋体" w:hAnsi="宋体" w:eastAsia="宋体" w:cs="宋体"/>
          <w:i w:val="0"/>
          <w:iCs w:val="0"/>
          <w:caps w:val="0"/>
          <w:color w:val="0F1115"/>
          <w:spacing w:val="0"/>
          <w:kern w:val="2"/>
          <w:sz w:val="21"/>
          <w:szCs w:val="21"/>
          <w:shd w:val="clear" w:fill="FFFFFF"/>
          <w:vertAlign w:val="baseline"/>
          <w:lang w:val="en-US" w:eastAsia="zh-CN" w:bidi="ar-SA"/>
        </w:rPr>
        <w:t>S</w:t>
      </w:r>
      <w:r>
        <w:rPr>
          <w:rFonts w:hint="eastAsia" w:ascii="宋体" w:hAnsi="宋体" w:eastAsia="宋体" w:cs="宋体"/>
          <w:i w:val="0"/>
          <w:iCs w:val="0"/>
          <w:caps w:val="0"/>
          <w:color w:val="0F1115"/>
          <w:spacing w:val="0"/>
          <w:kern w:val="2"/>
          <w:sz w:val="21"/>
          <w:szCs w:val="21"/>
          <w:shd w:val="clear" w:fill="FFFFFF"/>
          <w:lang w:val="en-US" w:eastAsia="zh-CN" w:bidi="ar-SA"/>
        </w:rPr>
        <w:t>₃）沉</w:t>
      </w:r>
      <w:r>
        <w:rPr>
          <w:rFonts w:hint="eastAsia" w:ascii="宋体" w:hAnsi="宋体" w:eastAsia="宋体" w:cs="宋体"/>
          <w:i w:val="0"/>
          <w:iCs w:val="0"/>
          <w:caps w:val="0"/>
          <w:color w:val="0F1115"/>
          <w:spacing w:val="0"/>
          <w:kern w:val="2"/>
          <w:sz w:val="21"/>
          <w:szCs w:val="21"/>
          <w:shd w:val="clear" w:fill="FFFFFF"/>
          <w:vertAlign w:val="baseline"/>
          <w:lang w:val="en-US" w:eastAsia="zh-CN" w:bidi="ar-SA"/>
        </w:rPr>
        <w:t>淀，</w:t>
      </w:r>
      <w:r>
        <w:rPr>
          <w:rFonts w:hint="eastAsia" w:ascii="宋体" w:hAnsi="宋体" w:eastAsia="宋体" w:cs="宋体"/>
          <w:i w:val="0"/>
          <w:iCs w:val="0"/>
          <w:caps w:val="0"/>
          <w:color w:val="0F1115"/>
          <w:spacing w:val="0"/>
          <w:kern w:val="2"/>
          <w:sz w:val="21"/>
          <w:szCs w:val="21"/>
          <w:shd w:val="clear" w:fill="FFFFFF"/>
          <w:lang w:val="en-US" w:eastAsia="zh-CN" w:bidi="ar-SA"/>
        </w:rPr>
        <w:t>具体的</w:t>
      </w:r>
      <w:r>
        <w:rPr>
          <w:rFonts w:hint="eastAsia" w:ascii="宋体" w:hAnsi="宋体" w:eastAsia="宋体" w:cs="宋体"/>
          <w:i w:val="0"/>
          <w:iCs w:val="0"/>
          <w:caps w:val="0"/>
          <w:color w:val="0F1115"/>
          <w:spacing w:val="0"/>
          <w:kern w:val="2"/>
          <w:sz w:val="21"/>
          <w:szCs w:val="21"/>
          <w:shd w:val="clear" w:fill="FFFFFF"/>
          <w:vertAlign w:val="baseline"/>
          <w:lang w:val="en-US" w:eastAsia="zh-CN" w:bidi="ar-SA"/>
        </w:rPr>
        <w:t>反应过</w:t>
      </w:r>
      <w:r>
        <w:rPr>
          <w:rFonts w:hint="eastAsia" w:ascii="宋体" w:hAnsi="宋体" w:eastAsia="宋体" w:cs="宋体"/>
          <w:i w:val="0"/>
          <w:iCs w:val="0"/>
          <w:caps w:val="0"/>
          <w:color w:val="0F1115"/>
          <w:spacing w:val="0"/>
          <w:kern w:val="2"/>
          <w:sz w:val="21"/>
          <w:szCs w:val="21"/>
          <w:shd w:val="clear" w:fill="FFFFFF"/>
          <w:lang w:val="en-US" w:eastAsia="zh-CN" w:bidi="ar-SA"/>
        </w:rPr>
        <w:t>程如下：</w:t>
      </w:r>
      <w:r>
        <w:rPr>
          <w:rFonts w:hint="eastAsia" w:ascii="宋体" w:hAnsi="宋体" w:eastAsia="宋体" w:cs="宋体"/>
          <w:i w:val="0"/>
          <w:iCs w:val="0"/>
          <w:caps w:val="0"/>
          <w:color w:val="0F1115"/>
          <w:spacing w:val="0"/>
          <w:kern w:val="2"/>
          <w:sz w:val="21"/>
          <w:szCs w:val="21"/>
          <w:shd w:val="clear" w:fill="FFFFFF"/>
          <w:vertAlign w:val="baseline"/>
          <w:lang w:val="en-US" w:eastAsia="zh-CN" w:bidi="ar-SA"/>
        </w:rPr>
        <w:t>五硫</w:t>
      </w:r>
      <w:r>
        <w:rPr>
          <w:rFonts w:hint="eastAsia" w:ascii="宋体" w:hAnsi="宋体" w:eastAsia="宋体" w:cs="宋体"/>
          <w:i w:val="0"/>
          <w:iCs w:val="0"/>
          <w:caps w:val="0"/>
          <w:color w:val="0F1115"/>
          <w:spacing w:val="0"/>
          <w:kern w:val="2"/>
          <w:sz w:val="21"/>
          <w:szCs w:val="21"/>
          <w:shd w:val="clear" w:fill="FFFFFF"/>
          <w:lang w:val="en-US" w:eastAsia="zh-CN" w:bidi="ar-SA"/>
        </w:rPr>
        <w:t>化二磷（P₂S₅）和水反应生成磷酸和硫化氢气体，化学方程式为P₂S₅+8H₂O→2H₃PO₄+5H₂S↑；硫化氢和亚砷酸反应生成三硫化二砷沉淀和水，化学方程式为3H₂S +2H₃AsO₃→As₂S₃↓+6H₂O</w:t>
      </w:r>
    </w:p>
    <w:p w14:paraId="1B09AB4C">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经过板框过滤机（配备300目聚丙烯滤布）过滤含砷渣的磷酸之后该磷酸进入曝气罐，使用压缩空气来去除残留的H₂S，最后在调酸槽里把浓度调整到85.0%至 85.2%的范围，随后进入成品罐。</w:t>
      </w:r>
    </w:p>
    <w:p w14:paraId="5C87204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1.3 质量控制难点</w:t>
      </w:r>
    </w:p>
    <w:p w14:paraId="23ABAFAB">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客户对食品磷酸的质量要求严于GB 1886.15 - 2015的指标：砷≤0.5ppm，黑点情况（不存在肉眼能够看到的杂质），浓度范围在85.0%～85.2%。鉴于脱砷反应、过滤、曝气、调酸等多个单元操作之间存在相互影响的关系，若是任何一个环节没有把控好就会引起成品质量达不到客户要求。</w:t>
      </w:r>
    </w:p>
    <w:p w14:paraId="1C42AF4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2 主要质量问题与原因分析</w:t>
      </w:r>
    </w:p>
    <w:p w14:paraId="16A16C1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2.1 黄酸问题</w:t>
      </w:r>
    </w:p>
    <w:p w14:paraId="21CA945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现象：在装置运行了一段时长之后，针对板框过滤机出口处的酸样开展比色分析，其色度显示为小于或等于10⁰，经过细致观察能够发现，酸里面存在着细小的黄色斑点，与此同时，磷酸当中的砷含量（As）也出现了超出标准的情况（大于0.5 ppm）。</w:t>
      </w:r>
    </w:p>
    <w:p w14:paraId="50DD75B1">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排查流程为：对过滤系统当中的各个节点进行取样并分析，从而确认黄点属于As₂S₃沉淀颗粒，在对板框过滤机开展检查的时候发现，原本安装的300目聚丙烯滤布，在实际操作压力处于0.1到0.3MPa的情况下，运行将近15天之后出现了较为明显的磨损状况，部分位置的孔径有所增大，这就使得微小的砷渣颗粒能够穿过滤布进入到清液当中。</w:t>
      </w:r>
    </w:p>
    <w:p w14:paraId="2B832C81">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auto"/>
          <w:spacing w:val="0"/>
          <w:kern w:val="2"/>
          <w:sz w:val="21"/>
          <w:szCs w:val="21"/>
          <w:shd w:val="clear" w:fill="FFFFFF"/>
          <w:lang w:val="en-US" w:eastAsia="zh-CN" w:bidi="ar-SA"/>
        </w:rPr>
      </w:pPr>
      <w:r>
        <w:rPr>
          <w:rFonts w:hint="eastAsia" w:ascii="宋体" w:hAnsi="宋体" w:eastAsia="宋体" w:cs="宋体"/>
          <w:i w:val="0"/>
          <w:iCs w:val="0"/>
          <w:caps w:val="0"/>
          <w:color w:val="auto"/>
          <w:spacing w:val="0"/>
          <w:kern w:val="2"/>
          <w:sz w:val="21"/>
          <w:szCs w:val="21"/>
          <w:shd w:val="clear" w:fill="FFFFFF"/>
          <w:lang w:val="en-US" w:eastAsia="zh-CN" w:bidi="ar-SA"/>
        </w:rPr>
        <w:t>理论分析：在操作压力下，滤布加滤饼层的合并孔径必须小于固体颗粒的直径。只有满足这个条件，颗粒才无法通过滤布的孔洞，从而被有效拦截在滤布上游，实现“固-液分离”。</w:t>
      </w:r>
    </w:p>
    <w:p w14:paraId="678E015E">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auto"/>
          <w:spacing w:val="0"/>
          <w:kern w:val="2"/>
          <w:sz w:val="21"/>
          <w:szCs w:val="21"/>
          <w:shd w:val="clear" w:fill="FFFFFF"/>
          <w:lang w:val="en-US" w:eastAsia="zh-CN" w:bidi="ar-SA"/>
        </w:rPr>
      </w:pPr>
      <w:r>
        <w:rPr>
          <w:rFonts w:hint="eastAsia" w:ascii="宋体" w:hAnsi="宋体" w:eastAsia="宋体" w:cs="宋体"/>
          <w:i w:val="0"/>
          <w:iCs w:val="0"/>
          <w:caps w:val="0"/>
          <w:color w:val="auto"/>
          <w:spacing w:val="0"/>
          <w:kern w:val="2"/>
          <w:sz w:val="21"/>
          <w:szCs w:val="21"/>
          <w:shd w:val="clear" w:fill="FFFFFF"/>
          <w:lang w:val="en-US" w:eastAsia="zh-CN" w:bidi="ar-SA"/>
        </w:rPr>
        <w:t>300目滤布理论孔径约48微米，而砷渣As</w:t>
      </w:r>
      <w:r>
        <w:rPr>
          <w:rFonts w:hint="eastAsia" w:ascii="宋体" w:hAnsi="宋体" w:eastAsia="宋体" w:cs="宋体"/>
          <w:i w:val="0"/>
          <w:iCs w:val="0"/>
          <w:caps w:val="0"/>
          <w:color w:val="auto"/>
          <w:spacing w:val="0"/>
          <w:kern w:val="2"/>
          <w:sz w:val="21"/>
          <w:szCs w:val="21"/>
          <w:shd w:val="clear" w:fill="FFFFFF"/>
          <w:vertAlign w:val="subscript"/>
          <w:lang w:val="en-US" w:eastAsia="zh-CN" w:bidi="ar-SA"/>
        </w:rPr>
        <w:t>2</w:t>
      </w:r>
      <w:r>
        <w:rPr>
          <w:rFonts w:hint="eastAsia" w:ascii="宋体" w:hAnsi="宋体" w:eastAsia="宋体" w:cs="宋体"/>
          <w:i w:val="0"/>
          <w:iCs w:val="0"/>
          <w:caps w:val="0"/>
          <w:color w:val="auto"/>
          <w:spacing w:val="0"/>
          <w:kern w:val="2"/>
          <w:sz w:val="21"/>
          <w:szCs w:val="21"/>
          <w:shd w:val="clear" w:fill="FFFFFF"/>
          <w:lang w:val="en-US" w:eastAsia="zh-CN" w:bidi="ar-SA"/>
        </w:rPr>
        <w:t>S</w:t>
      </w:r>
      <w:r>
        <w:rPr>
          <w:rFonts w:hint="eastAsia" w:ascii="宋体" w:hAnsi="宋体" w:eastAsia="宋体" w:cs="宋体"/>
          <w:i w:val="0"/>
          <w:iCs w:val="0"/>
          <w:caps w:val="0"/>
          <w:color w:val="auto"/>
          <w:spacing w:val="0"/>
          <w:kern w:val="2"/>
          <w:sz w:val="21"/>
          <w:szCs w:val="21"/>
          <w:shd w:val="clear" w:fill="FFFFFF"/>
          <w:vertAlign w:val="subscript"/>
          <w:lang w:val="en-US" w:eastAsia="zh-CN" w:bidi="ar-SA"/>
        </w:rPr>
        <w:t>3</w:t>
      </w:r>
      <w:r>
        <w:rPr>
          <w:rFonts w:hint="eastAsia" w:ascii="宋体" w:hAnsi="宋体" w:eastAsia="宋体" w:cs="宋体"/>
          <w:i w:val="0"/>
          <w:iCs w:val="0"/>
          <w:caps w:val="0"/>
          <w:color w:val="auto"/>
          <w:spacing w:val="0"/>
          <w:kern w:val="2"/>
          <w:sz w:val="21"/>
          <w:szCs w:val="21"/>
          <w:shd w:val="clear" w:fill="FFFFFF"/>
          <w:lang w:val="en-US" w:eastAsia="zh-CN" w:bidi="ar-SA"/>
        </w:rPr>
        <w:t>颗粒直径约5~30微米，由于滤布孔径大于颗粒直径(48&gt;最大30)，颗粒应该能通过?但在实际过滤中，滤布并非单纯靠“筛分"，还有“滤饼层"辅助拦截。二者合并拦截，其部分孔径会小于30微米，所以300目滤布能拦截部分颗粒。但磨损使局部孔径扩大到远大于颗粒直径(如80微米)，砷渣穿透的可能性明显增大，进而造成黄酸以及砷的含量超出标准。</w:t>
      </w:r>
    </w:p>
    <w:p w14:paraId="2CB94CC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bookmarkStart w:id="1" w:name="_GoBack"/>
      <w:bookmarkEnd w:id="1"/>
      <w:r>
        <w:rPr>
          <w:rFonts w:hint="eastAsia" w:ascii="宋体" w:hAnsi="宋体" w:eastAsia="宋体" w:cs="宋体"/>
          <w:i w:val="0"/>
          <w:iCs w:val="0"/>
          <w:caps w:val="0"/>
          <w:color w:val="0F1115"/>
          <w:spacing w:val="0"/>
          <w:sz w:val="21"/>
          <w:szCs w:val="21"/>
          <w:shd w:val="clear" w:fill="FFFFFF"/>
        </w:rPr>
        <w:t>2.2 黑点问题</w:t>
      </w:r>
    </w:p>
    <w:p w14:paraId="31B25817">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现象：成品酸里出现了数量众多的黑色微小颗粒，这些颗粒能够用肉眼直接看到，对产品的外观质量造成了较为严重的影响。</w:t>
      </w:r>
    </w:p>
    <w:p w14:paraId="1F070D51">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排查流程如下：沿着工艺流程分阶段进行取样,结果发现板框过滤机出口处的酸样里没有黑点，然而，曝气罐以及调酸槽里面的酸样却包含黑点，对这两个罐子进行清洗之后再次取样黑点依旧存在，更进一步检查后发现，罐子内部压缩空气搅拌管的出口位置有较为明显的黑色沉积物，通过放大观察得知，那些黑点是铁锈、碳颗粒还有管道脱落的物质。</w:t>
      </w:r>
    </w:p>
    <w:p w14:paraId="2D035B6B">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原因认定：黑点的来源为压缩空气系统，空压机出口的气体未经过净化处理，带有铁锈、积碳以及管道杂质等物质，直接进入曝气罐、调酸槽，对磷酸产品造成了污染。</w:t>
      </w:r>
    </w:p>
    <w:p w14:paraId="41218E1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2.3 砷含量超标</w:t>
      </w:r>
    </w:p>
    <w:p w14:paraId="0077EAF0">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现象：依据设计要求，每生产</w:t>
      </w:r>
      <w:r>
        <w:rPr>
          <w:rFonts w:hint="eastAsia" w:ascii="宋体" w:hAnsi="宋体" w:eastAsia="宋体" w:cs="宋体"/>
          <w:i w:val="0"/>
          <w:iCs w:val="0"/>
          <w:caps w:val="0"/>
          <w:color w:val="0F1115"/>
          <w:spacing w:val="0"/>
          <w:kern w:val="2"/>
          <w:sz w:val="21"/>
          <w:szCs w:val="21"/>
          <w:highlight w:val="none"/>
          <w:shd w:val="clear" w:fill="FFFFFF"/>
          <w:lang w:val="en-US" w:eastAsia="zh-CN" w:bidi="ar-SA"/>
        </w:rPr>
        <w:t>一吨磷酸应当添加0.</w:t>
      </w:r>
      <w:r>
        <w:rPr>
          <w:rFonts w:hint="eastAsia" w:ascii="宋体" w:hAnsi="宋体" w:eastAsia="宋体" w:cs="宋体"/>
          <w:i w:val="0"/>
          <w:iCs w:val="0"/>
          <w:caps w:val="0"/>
          <w:color w:val="0F1115"/>
          <w:spacing w:val="0"/>
          <w:kern w:val="2"/>
          <w:sz w:val="21"/>
          <w:szCs w:val="21"/>
          <w:shd w:val="clear" w:fill="FFFFFF"/>
          <w:lang w:val="en-US" w:eastAsia="zh-CN" w:bidi="ar-SA"/>
        </w:rPr>
        <w:t>2千克的五硫化二磷（P₂S₅），然</w:t>
      </w:r>
      <w:r>
        <w:rPr>
          <w:rFonts w:hint="eastAsia" w:ascii="宋体" w:hAnsi="宋体" w:eastAsia="宋体" w:cs="宋体"/>
          <w:i w:val="0"/>
          <w:iCs w:val="0"/>
          <w:caps w:val="0"/>
          <w:color w:val="0F1115"/>
          <w:spacing w:val="0"/>
          <w:kern w:val="2"/>
          <w:sz w:val="21"/>
          <w:szCs w:val="21"/>
          <w:highlight w:val="none"/>
          <w:shd w:val="clear" w:fill="FFFFFF"/>
          <w:lang w:val="en-US" w:eastAsia="zh-CN" w:bidi="ar-SA"/>
        </w:rPr>
        <w:t>而在实际生产</w:t>
      </w:r>
      <w:r>
        <w:rPr>
          <w:rFonts w:hint="eastAsia" w:ascii="宋体" w:hAnsi="宋体" w:eastAsia="宋体" w:cs="宋体"/>
          <w:i w:val="0"/>
          <w:iCs w:val="0"/>
          <w:caps w:val="0"/>
          <w:color w:val="0F1115"/>
          <w:spacing w:val="0"/>
          <w:kern w:val="2"/>
          <w:sz w:val="21"/>
          <w:szCs w:val="21"/>
          <w:shd w:val="clear" w:fill="FFFFFF"/>
          <w:lang w:val="en-US" w:eastAsia="zh-CN" w:bidi="ar-SA"/>
        </w:rPr>
        <w:t>过程中每吨磷酸所投入的五硫化二磷（P₂S₅）数量达到了0.5千克，这一投加量相较于设计标准超出了150%，即便如此成品磷酸中的砷含量依旧超出了规定标准（大于0.5 ppm）。</w:t>
      </w:r>
    </w:p>
    <w:p w14:paraId="1E8E203B">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原因分析：脱砷反应的关键之处在于P₂S₅是否能够充分进行水解，从而产生足够数量的H₂S，P₂S₅的水解速率和温度有着紧密的关联，为了弄清楚其中的缘由，设计了在不同溶解温度情况之下的对比实验其结果如表1所示。</w:t>
      </w:r>
    </w:p>
    <w:p w14:paraId="43E50B07">
      <w:pPr>
        <w:keepNext w:val="0"/>
        <w:keepLines w:val="0"/>
        <w:pageBreakBefore w:val="0"/>
        <w:kinsoku/>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表1 五硫化二磷（P₂S₅）溶解温度对于脱砷成效所产生的影响</w:t>
      </w:r>
    </w:p>
    <w:tbl>
      <w:tblPr>
        <w:tblStyle w:val="14"/>
        <w:tblW w:w="8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3"/>
        <w:gridCol w:w="2754"/>
        <w:gridCol w:w="2190"/>
        <w:gridCol w:w="2291"/>
      </w:tblGrid>
      <w:tr w14:paraId="4EF7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13" w:type="dxa"/>
            <w:noWrap w:val="0"/>
            <w:tcMar>
              <w:top w:w="-1" w:type="dxa"/>
              <w:left w:w="-1" w:type="dxa"/>
              <w:bottom w:w="-1" w:type="dxa"/>
              <w:right w:w="-1" w:type="dxa"/>
            </w:tcMar>
            <w:vAlign w:val="center"/>
          </w:tcPr>
          <w:p w14:paraId="084FD9DC">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sz w:val="18"/>
                <w:szCs w:val="18"/>
                <w:vertAlign w:val="baseline"/>
              </w:rPr>
            </w:pPr>
            <w:r>
              <w:rPr>
                <w:rFonts w:hint="eastAsia" w:ascii="宋体" w:hAnsi="宋体" w:eastAsia="宋体" w:cs="宋体"/>
                <w:b/>
                <w:bCs/>
                <w:i w:val="0"/>
                <w:iCs w:val="0"/>
                <w:caps w:val="0"/>
                <w:color w:val="0F1115"/>
                <w:spacing w:val="0"/>
                <w:kern w:val="0"/>
                <w:sz w:val="18"/>
                <w:szCs w:val="18"/>
                <w:lang w:val="en-US" w:eastAsia="zh-CN" w:bidi="ar"/>
              </w:rPr>
              <w:t>溶解温度（℃）</w:t>
            </w:r>
          </w:p>
        </w:tc>
        <w:tc>
          <w:tcPr>
            <w:tcW w:w="2754" w:type="dxa"/>
            <w:noWrap w:val="0"/>
            <w:tcMar>
              <w:top w:w="-1" w:type="dxa"/>
              <w:left w:w="-1" w:type="dxa"/>
              <w:bottom w:w="-1" w:type="dxa"/>
              <w:right w:w="-1" w:type="dxa"/>
            </w:tcMar>
            <w:vAlign w:val="center"/>
          </w:tcPr>
          <w:p w14:paraId="0798806C">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sz w:val="18"/>
                <w:szCs w:val="18"/>
                <w:vertAlign w:val="baseline"/>
              </w:rPr>
            </w:pPr>
            <w:r>
              <w:rPr>
                <w:rFonts w:hint="eastAsia" w:ascii="宋体" w:hAnsi="宋体" w:eastAsia="宋体" w:cs="宋体"/>
                <w:b/>
                <w:bCs/>
                <w:i w:val="0"/>
                <w:iCs w:val="0"/>
                <w:caps w:val="0"/>
                <w:color w:val="0F1115"/>
                <w:spacing w:val="0"/>
                <w:kern w:val="0"/>
                <w:sz w:val="18"/>
                <w:szCs w:val="18"/>
                <w:lang w:val="en-US" w:eastAsia="zh-CN" w:bidi="ar"/>
              </w:rPr>
              <w:t>P₂S₅溶解情况</w:t>
            </w:r>
          </w:p>
        </w:tc>
        <w:tc>
          <w:tcPr>
            <w:tcW w:w="2190" w:type="dxa"/>
            <w:noWrap w:val="0"/>
            <w:tcMar>
              <w:top w:w="-1" w:type="dxa"/>
              <w:left w:w="-1" w:type="dxa"/>
              <w:bottom w:w="-1" w:type="dxa"/>
              <w:right w:w="-1" w:type="dxa"/>
            </w:tcMar>
            <w:vAlign w:val="center"/>
          </w:tcPr>
          <w:p w14:paraId="225E9E12">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sz w:val="18"/>
                <w:szCs w:val="18"/>
                <w:vertAlign w:val="baseline"/>
              </w:rPr>
            </w:pPr>
            <w:r>
              <w:rPr>
                <w:rFonts w:hint="eastAsia" w:ascii="宋体" w:hAnsi="宋体" w:eastAsia="宋体" w:cs="宋体"/>
                <w:b/>
                <w:bCs/>
                <w:i w:val="0"/>
                <w:iCs w:val="0"/>
                <w:caps w:val="0"/>
                <w:color w:val="0F1115"/>
                <w:spacing w:val="0"/>
                <w:kern w:val="0"/>
                <w:sz w:val="18"/>
                <w:szCs w:val="18"/>
                <w:lang w:val="en-US" w:eastAsia="zh-CN" w:bidi="ar"/>
              </w:rPr>
              <w:t>反应现象</w:t>
            </w:r>
          </w:p>
        </w:tc>
        <w:tc>
          <w:tcPr>
            <w:tcW w:w="2291" w:type="dxa"/>
            <w:noWrap w:val="0"/>
            <w:tcMar>
              <w:top w:w="-1" w:type="dxa"/>
              <w:left w:w="-1" w:type="dxa"/>
              <w:bottom w:w="-1" w:type="dxa"/>
              <w:right w:w="-1" w:type="dxa"/>
            </w:tcMar>
            <w:vAlign w:val="center"/>
          </w:tcPr>
          <w:p w14:paraId="3192EAF7">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sz w:val="18"/>
                <w:szCs w:val="18"/>
                <w:vertAlign w:val="baseline"/>
              </w:rPr>
            </w:pPr>
            <w:r>
              <w:rPr>
                <w:rFonts w:hint="eastAsia" w:ascii="宋体" w:hAnsi="宋体" w:eastAsia="宋体" w:cs="宋体"/>
                <w:b/>
                <w:bCs/>
                <w:i w:val="0"/>
                <w:iCs w:val="0"/>
                <w:caps w:val="0"/>
                <w:color w:val="0F1115"/>
                <w:spacing w:val="0"/>
                <w:kern w:val="0"/>
                <w:sz w:val="18"/>
                <w:szCs w:val="18"/>
                <w:lang w:val="en-US" w:eastAsia="zh-CN" w:bidi="ar"/>
              </w:rPr>
              <w:t>成品砷含量</w:t>
            </w:r>
            <w:r>
              <w:rPr>
                <w:rFonts w:hint="eastAsia" w:ascii="宋体" w:hAnsi="宋体" w:eastAsia="宋体" w:cs="宋体"/>
                <w:b/>
                <w:i w:val="0"/>
                <w:iCs w:val="0"/>
                <w:caps w:val="0"/>
                <w:color w:val="0F1115"/>
                <w:spacing w:val="0"/>
                <w:sz w:val="18"/>
                <w:szCs w:val="18"/>
                <w:shd w:val="clear" w:fill="FFFFFF"/>
              </w:rPr>
              <w:t>（ppm）</w:t>
            </w:r>
          </w:p>
        </w:tc>
      </w:tr>
      <w:tr w14:paraId="2CDBE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13" w:type="dxa"/>
            <w:noWrap w:val="0"/>
            <w:tcMar>
              <w:top w:w="-1" w:type="dxa"/>
              <w:left w:w="-1" w:type="dxa"/>
              <w:bottom w:w="-1" w:type="dxa"/>
              <w:right w:w="-1" w:type="dxa"/>
            </w:tcMar>
            <w:vAlign w:val="center"/>
          </w:tcPr>
          <w:p w14:paraId="67D72E85">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常温（~20）</w:t>
            </w:r>
          </w:p>
        </w:tc>
        <w:tc>
          <w:tcPr>
            <w:tcW w:w="2754" w:type="dxa"/>
            <w:noWrap w:val="0"/>
            <w:tcMar>
              <w:top w:w="-1" w:type="dxa"/>
              <w:left w:w="-1" w:type="dxa"/>
              <w:bottom w:w="-1" w:type="dxa"/>
              <w:right w:w="-1" w:type="dxa"/>
            </w:tcMar>
            <w:vAlign w:val="center"/>
          </w:tcPr>
          <w:p w14:paraId="52EF4F61">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highlight w:val="none"/>
                <w:vertAlign w:val="baseline"/>
              </w:rPr>
            </w:pPr>
            <w:r>
              <w:rPr>
                <w:rFonts w:hint="eastAsia" w:ascii="宋体" w:hAnsi="宋体" w:eastAsia="宋体" w:cs="宋体"/>
                <w:i w:val="0"/>
                <w:iCs w:val="0"/>
                <w:caps w:val="0"/>
                <w:color w:val="0F1115"/>
                <w:spacing w:val="0"/>
                <w:kern w:val="0"/>
                <w:sz w:val="18"/>
                <w:szCs w:val="18"/>
                <w:highlight w:val="none"/>
                <w:lang w:val="en-US" w:eastAsia="zh-CN" w:bidi="ar"/>
              </w:rPr>
              <w:t>少量溶解，H₂S释放不明显</w:t>
            </w:r>
          </w:p>
        </w:tc>
        <w:tc>
          <w:tcPr>
            <w:tcW w:w="2190" w:type="dxa"/>
            <w:noWrap w:val="0"/>
            <w:tcMar>
              <w:top w:w="-1" w:type="dxa"/>
              <w:left w:w="-1" w:type="dxa"/>
              <w:bottom w:w="-1" w:type="dxa"/>
              <w:right w:w="-1" w:type="dxa"/>
            </w:tcMar>
            <w:vAlign w:val="center"/>
          </w:tcPr>
          <w:p w14:paraId="16CED70D">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反应缓慢</w:t>
            </w:r>
          </w:p>
        </w:tc>
        <w:tc>
          <w:tcPr>
            <w:tcW w:w="2291" w:type="dxa"/>
            <w:noWrap w:val="0"/>
            <w:tcMar>
              <w:top w:w="-1" w:type="dxa"/>
              <w:left w:w="-1" w:type="dxa"/>
              <w:bottom w:w="-1" w:type="dxa"/>
              <w:right w:w="-1" w:type="dxa"/>
            </w:tcMar>
            <w:vAlign w:val="center"/>
          </w:tcPr>
          <w:p w14:paraId="3CE16497">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5.0</w:t>
            </w:r>
          </w:p>
        </w:tc>
      </w:tr>
      <w:tr w14:paraId="6CF4D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13" w:type="dxa"/>
            <w:noWrap w:val="0"/>
            <w:tcMar>
              <w:top w:w="-1" w:type="dxa"/>
              <w:left w:w="-1" w:type="dxa"/>
              <w:bottom w:w="-1" w:type="dxa"/>
              <w:right w:w="-1" w:type="dxa"/>
            </w:tcMar>
            <w:vAlign w:val="center"/>
          </w:tcPr>
          <w:p w14:paraId="06E38475">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40-50</w:t>
            </w:r>
          </w:p>
        </w:tc>
        <w:tc>
          <w:tcPr>
            <w:tcW w:w="2754" w:type="dxa"/>
            <w:noWrap w:val="0"/>
            <w:tcMar>
              <w:top w:w="-1" w:type="dxa"/>
              <w:left w:w="-1" w:type="dxa"/>
              <w:bottom w:w="-1" w:type="dxa"/>
              <w:right w:w="-1" w:type="dxa"/>
            </w:tcMar>
            <w:vAlign w:val="center"/>
          </w:tcPr>
          <w:p w14:paraId="6DB8D66D">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highlight w:val="none"/>
                <w:vertAlign w:val="baseline"/>
              </w:rPr>
            </w:pPr>
            <w:r>
              <w:rPr>
                <w:rFonts w:hint="eastAsia" w:ascii="宋体" w:hAnsi="宋体" w:eastAsia="宋体" w:cs="宋体"/>
                <w:i w:val="0"/>
                <w:iCs w:val="0"/>
                <w:caps w:val="0"/>
                <w:color w:val="0F1115"/>
                <w:spacing w:val="0"/>
                <w:kern w:val="0"/>
                <w:sz w:val="18"/>
                <w:szCs w:val="18"/>
                <w:highlight w:val="none"/>
                <w:lang w:val="en-US" w:eastAsia="zh-CN" w:bidi="ar"/>
              </w:rPr>
              <w:t>大部分溶解，H₂S释放适中</w:t>
            </w:r>
          </w:p>
        </w:tc>
        <w:tc>
          <w:tcPr>
            <w:tcW w:w="2190" w:type="dxa"/>
            <w:noWrap w:val="0"/>
            <w:tcMar>
              <w:top w:w="-1" w:type="dxa"/>
              <w:left w:w="-1" w:type="dxa"/>
              <w:bottom w:w="-1" w:type="dxa"/>
              <w:right w:w="-1" w:type="dxa"/>
            </w:tcMar>
            <w:vAlign w:val="center"/>
          </w:tcPr>
          <w:p w14:paraId="25427892">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反应平稳</w:t>
            </w:r>
          </w:p>
        </w:tc>
        <w:tc>
          <w:tcPr>
            <w:tcW w:w="2291" w:type="dxa"/>
            <w:noWrap w:val="0"/>
            <w:tcMar>
              <w:top w:w="-1" w:type="dxa"/>
              <w:left w:w="-1" w:type="dxa"/>
              <w:bottom w:w="-1" w:type="dxa"/>
              <w:right w:w="-1" w:type="dxa"/>
            </w:tcMar>
            <w:vAlign w:val="center"/>
          </w:tcPr>
          <w:p w14:paraId="2125C9BF">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&lt;0.5</w:t>
            </w:r>
          </w:p>
        </w:tc>
      </w:tr>
      <w:tr w14:paraId="05659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13" w:type="dxa"/>
            <w:noWrap w:val="0"/>
            <w:tcMar>
              <w:top w:w="-1" w:type="dxa"/>
              <w:left w:w="-1" w:type="dxa"/>
              <w:bottom w:w="-1" w:type="dxa"/>
              <w:right w:w="-1" w:type="dxa"/>
            </w:tcMar>
            <w:vAlign w:val="center"/>
          </w:tcPr>
          <w:p w14:paraId="25ECDA03">
            <w:pPr>
              <w:keepNext w:val="0"/>
              <w:keepLines w:val="0"/>
              <w:pageBreakBefore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sz w:val="18"/>
                <w:szCs w:val="18"/>
                <w:shd w:val="clear" w:fill="FFFFFF"/>
              </w:rPr>
              <w:t>60</w:t>
            </w:r>
          </w:p>
        </w:tc>
        <w:tc>
          <w:tcPr>
            <w:tcW w:w="2754" w:type="dxa"/>
            <w:noWrap w:val="0"/>
            <w:tcMar>
              <w:top w:w="-1" w:type="dxa"/>
              <w:left w:w="-1" w:type="dxa"/>
              <w:bottom w:w="-1" w:type="dxa"/>
              <w:right w:w="-1" w:type="dxa"/>
            </w:tcMar>
            <w:vAlign w:val="center"/>
          </w:tcPr>
          <w:p w14:paraId="6DD1EBFE">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剧烈溶解，H₂S快速逸出</w:t>
            </w:r>
          </w:p>
        </w:tc>
        <w:tc>
          <w:tcPr>
            <w:tcW w:w="2190" w:type="dxa"/>
            <w:noWrap w:val="0"/>
            <w:tcMar>
              <w:top w:w="-1" w:type="dxa"/>
              <w:left w:w="-1" w:type="dxa"/>
              <w:bottom w:w="-1" w:type="dxa"/>
              <w:right w:w="-1" w:type="dxa"/>
            </w:tcMar>
            <w:vAlign w:val="center"/>
          </w:tcPr>
          <w:p w14:paraId="3A790C6A">
            <w:pPr>
              <w:keepNext w:val="0"/>
              <w:keepLines w:val="0"/>
              <w:pageBreakBefore w:val="0"/>
              <w:widowControl/>
              <w:suppressLineNumbers w:val="0"/>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反应剧烈，H</w:t>
            </w:r>
            <w:r>
              <w:rPr>
                <w:rFonts w:hint="eastAsia" w:ascii="宋体" w:hAnsi="宋体" w:eastAsia="宋体" w:cs="宋体"/>
                <w:i w:val="0"/>
                <w:iCs w:val="0"/>
                <w:caps w:val="0"/>
                <w:color w:val="0F1115"/>
                <w:spacing w:val="0"/>
                <w:kern w:val="0"/>
                <w:sz w:val="18"/>
                <w:szCs w:val="18"/>
                <w:vertAlign w:val="subscript"/>
                <w:lang w:val="en-US" w:eastAsia="zh-CN" w:bidi="ar"/>
              </w:rPr>
              <w:t>2</w:t>
            </w:r>
            <w:r>
              <w:rPr>
                <w:rFonts w:hint="eastAsia" w:ascii="宋体" w:hAnsi="宋体" w:eastAsia="宋体" w:cs="宋体"/>
                <w:i w:val="0"/>
                <w:iCs w:val="0"/>
                <w:caps w:val="0"/>
                <w:color w:val="0F1115"/>
                <w:spacing w:val="0"/>
                <w:kern w:val="0"/>
                <w:sz w:val="18"/>
                <w:szCs w:val="18"/>
                <w:vertAlign w:val="baseline"/>
                <w:lang w:val="en-US" w:eastAsia="zh-CN" w:bidi="ar"/>
              </w:rPr>
              <w:t>S</w:t>
            </w:r>
            <w:r>
              <w:rPr>
                <w:rFonts w:hint="eastAsia" w:ascii="宋体" w:hAnsi="宋体" w:eastAsia="宋体" w:cs="宋体"/>
                <w:i w:val="0"/>
                <w:iCs w:val="0"/>
                <w:caps w:val="0"/>
                <w:color w:val="0F1115"/>
                <w:spacing w:val="0"/>
                <w:kern w:val="0"/>
                <w:sz w:val="18"/>
                <w:szCs w:val="18"/>
                <w:lang w:val="en-US" w:eastAsia="zh-CN" w:bidi="ar"/>
              </w:rPr>
              <w:t>气味浓</w:t>
            </w:r>
          </w:p>
        </w:tc>
        <w:tc>
          <w:tcPr>
            <w:tcW w:w="2291" w:type="dxa"/>
            <w:noWrap w:val="0"/>
            <w:tcMar>
              <w:top w:w="-1" w:type="dxa"/>
              <w:left w:w="-1" w:type="dxa"/>
              <w:bottom w:w="-1" w:type="dxa"/>
              <w:right w:w="-1" w:type="dxa"/>
            </w:tcMar>
            <w:vAlign w:val="center"/>
          </w:tcPr>
          <w:p w14:paraId="038FF942">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&lt;0.5（但操作环境差）</w:t>
            </w:r>
          </w:p>
        </w:tc>
      </w:tr>
    </w:tbl>
    <w:p w14:paraId="60CEDA03">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在常温的条件下，五硫化二磷（P₂S₅）的溶解度处于较低水平，导致硫化氢（H₂S）的生成数量不够充足，进而使得亚砷酸未能被充分沉淀出来；当温度过高（达到或超过60℃）的时候，硫化氢（H₂S）会以较快的速度逸出，同样也会造成有效利用率的降低，而温度处于40 - 50℃这个区间时，是最为合适的溶解温度。</w:t>
      </w:r>
    </w:p>
    <w:p w14:paraId="7CA28665">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2.4 对浓度控制存在困难</w:t>
      </w:r>
    </w:p>
    <w:p w14:paraId="1B6A7D64">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现象：商品磷酸浓度的精确控制区间处于85.0%至85.2%，不过在生产进程当中，浓度的起伏状况较为显著，时常会出现低于85.0%或者高于85.5%这样的情形。</w:t>
      </w:r>
    </w:p>
    <w:p w14:paraId="013C7AED">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原因分析：原装置的调酸槽容积为60立方米，在加入纯水之后，依靠自然扩散或者压缩空气来进行搅拌混合，达到均匀状态所需要的时间超过了40分钟，在实际的生产过程中采用的是连续操作的方式，浓度检测存在滞后情况，这就造成了调节无法及时进行，除此之外槽体的尺寸过大，局部的浓度差异≥0.3%。</w:t>
      </w:r>
    </w:p>
    <w:p w14:paraId="7406DE9E">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3 工艺优化措施</w:t>
      </w:r>
    </w:p>
    <w:p w14:paraId="4A8A8A8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3.1 解决黄酸：优化过滤系统</w:t>
      </w:r>
    </w:p>
    <w:p w14:paraId="70A79A0E">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把滤布的目数从300目提升到450目（理论上的孔径从48微米降低到32微米）能够更为有效地对砷渣颗粒实施拦截，和滤布生产厂家开展合作，共同研发出高强度的聚丙烯滤布，其抗拉强度增加了30%，耐磨性能得到了明显的增强。</w:t>
      </w:r>
    </w:p>
    <w:p w14:paraId="3325B037">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构建滤布定期更替机制：每隔20天实施一次强制性更换操作，对滤布的损耗状态予以记录，并且开展提前的警示工作。</w:t>
      </w:r>
    </w:p>
    <w:p w14:paraId="310FA4FB">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效果：更换之后，过滤所得的酸样里不存在黄点，砷渣渗漏这一问题得到了全面的解决，滤布的平均使用时长超过了20天。</w:t>
      </w:r>
    </w:p>
    <w:p w14:paraId="62ED834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3.2 解决黑点：低成本净化压缩空气</w:t>
      </w:r>
    </w:p>
    <w:p w14:paraId="49D26736">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在压缩空气流入曝气罐以及调酸槽的管口前端之处安装多层纤维过滤棉（其厚度为50毫米，精度达5微米），过滤棉配备可拆式的外置不锈钢壳体，每隔7天需进行检查与清洗，每30天就得替换新的过滤棉，所需的投资成本每套仅约3000元，远远低于增设专业空气过滤装置所需的费用（大约8万元）。</w:t>
      </w:r>
    </w:p>
    <w:p w14:paraId="11230621">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效果：原本存在的黑点实现了彻底消除，产品的外观呈现出毫无杂色的透明状态。</w:t>
      </w:r>
    </w:p>
    <w:p w14:paraId="14EA4F8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3.3 解决砷超标：严格控制P₂S₅溶解温度</w:t>
      </w:r>
    </w:p>
    <w:p w14:paraId="14CA8021">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在P₂S₅溶解槽中增设加热盘管，采用温度介于40至50摄氏度的纯净水来溶解P₂S₅，在溶解的进程里，要慢慢地添加P₂S₅，以此避免出现局部温度过高的情况。</w:t>
      </w:r>
    </w:p>
    <w:p w14:paraId="30D5C29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制定操作规范：待物质溶解之后，让其静置5分钟，保证物质得以充分溶解，之后再以缓慢的速度将其滴入反应釜中。</w:t>
      </w:r>
    </w:p>
    <w:p w14:paraId="6FF5442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highlight w:val="none"/>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效果方面：每消耗一吨磷酸所消耗的P₂</w:t>
      </w:r>
      <w:r>
        <w:rPr>
          <w:rFonts w:hint="eastAsia" w:ascii="宋体" w:hAnsi="宋体" w:eastAsia="宋体" w:cs="宋体"/>
          <w:i w:val="0"/>
          <w:iCs w:val="0"/>
          <w:caps w:val="0"/>
          <w:color w:val="0F1115"/>
          <w:spacing w:val="0"/>
          <w:kern w:val="2"/>
          <w:sz w:val="21"/>
          <w:szCs w:val="21"/>
          <w:highlight w:val="none"/>
          <w:shd w:val="clear" w:fill="FFFFFF"/>
          <w:lang w:val="en-US" w:eastAsia="zh-CN" w:bidi="ar-SA"/>
        </w:rPr>
        <w:t>S₅量从原</w:t>
      </w:r>
      <w:r>
        <w:rPr>
          <w:rFonts w:hint="eastAsia" w:ascii="宋体" w:hAnsi="宋体" w:eastAsia="宋体" w:cs="宋体"/>
          <w:i w:val="0"/>
          <w:iCs w:val="0"/>
          <w:caps w:val="0"/>
          <w:color w:val="0F1115"/>
          <w:spacing w:val="0"/>
          <w:kern w:val="2"/>
          <w:sz w:val="21"/>
          <w:szCs w:val="21"/>
          <w:shd w:val="clear" w:fill="FFFFFF"/>
          <w:lang w:val="en-US" w:eastAsia="zh-CN" w:bidi="ar-SA"/>
        </w:rPr>
        <w:t>本的0</w:t>
      </w:r>
      <w:r>
        <w:rPr>
          <w:rFonts w:hint="eastAsia" w:ascii="宋体" w:hAnsi="宋体" w:eastAsia="宋体" w:cs="宋体"/>
          <w:i w:val="0"/>
          <w:iCs w:val="0"/>
          <w:caps w:val="0"/>
          <w:color w:val="0F1115"/>
          <w:spacing w:val="0"/>
          <w:kern w:val="2"/>
          <w:sz w:val="21"/>
          <w:szCs w:val="21"/>
          <w:highlight w:val="none"/>
          <w:shd w:val="clear" w:fill="FFFFFF"/>
          <w:lang w:val="en-US" w:eastAsia="zh-CN" w:bidi="ar-SA"/>
        </w:rPr>
        <w:t>.5千克降到了设计规定的0.2千克，并且产品里的砷含量稳定地≤0.3 ppm的水平。</w:t>
      </w:r>
    </w:p>
    <w:p w14:paraId="416991D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3.4 解决浓度波动：增设小型调酸槽</w:t>
      </w:r>
    </w:p>
    <w:p w14:paraId="642F3AA6">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在原本的60立方米调酸槽旁边，以并联的方式额外增添一个10立方米规格的小型调酸槽。</w:t>
      </w:r>
    </w:p>
    <w:p w14:paraId="4CD4809B">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工艺流程的调整情况如下：首先，将磷酸置于小型槽里，往其中加入水，并且借助搅拌器进行强制性的混合操作（经过15分钟达到均匀状态），在检测结果符合相关标准之后，再通过泵将其输送到大槽之中进行存储。</w:t>
      </w:r>
    </w:p>
    <w:p w14:paraId="40B57AA3">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小型槽装配有在线密度计，能够实时地把浓度信号反馈至DCS系统。</w:t>
      </w:r>
    </w:p>
    <w:p w14:paraId="0B784851">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效果： 浓度控制的偏差范围从正负 0.5%缩小到正负 0.15%，产品不合格后的返工比率从 8%降低到 0.5%以下。</w:t>
      </w:r>
    </w:p>
    <w:p w14:paraId="433F0C6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4 改进效果与经济效益</w:t>
      </w:r>
    </w:p>
    <w:p w14:paraId="768BD8F1">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4.1 质量指标提升</w:t>
      </w:r>
    </w:p>
    <w:p w14:paraId="56B27531">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改进前后主要质量指标的对比情况如表2所示。</w:t>
      </w:r>
    </w:p>
    <w:p w14:paraId="2EBB9137">
      <w:pPr>
        <w:keepNext w:val="0"/>
        <w:keepLines w:val="0"/>
        <w:pageBreakBefore w:val="0"/>
        <w:kinsoku/>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表2 改进前后质量指标对比</w:t>
      </w:r>
    </w:p>
    <w:tbl>
      <w:tblPr>
        <w:tblStyle w:val="14"/>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1"/>
        <w:gridCol w:w="2120"/>
        <w:gridCol w:w="1893"/>
      </w:tblGrid>
      <w:tr w14:paraId="027C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0"/>
            <w:tcMar>
              <w:top w:w="-1" w:type="dxa"/>
              <w:left w:w="-1" w:type="dxa"/>
              <w:bottom w:w="-1" w:type="dxa"/>
              <w:right w:w="-1" w:type="dxa"/>
            </w:tcMar>
            <w:vAlign w:val="center"/>
          </w:tcPr>
          <w:p w14:paraId="66C93834">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sz w:val="18"/>
                <w:szCs w:val="18"/>
                <w:vertAlign w:val="baseline"/>
              </w:rPr>
            </w:pPr>
            <w:r>
              <w:rPr>
                <w:rFonts w:hint="eastAsia" w:ascii="宋体" w:hAnsi="宋体" w:eastAsia="宋体" w:cs="宋体"/>
                <w:b/>
                <w:bCs/>
                <w:i w:val="0"/>
                <w:iCs w:val="0"/>
                <w:caps w:val="0"/>
                <w:color w:val="0F1115"/>
                <w:spacing w:val="0"/>
                <w:kern w:val="0"/>
                <w:sz w:val="18"/>
                <w:szCs w:val="18"/>
                <w:lang w:val="en-US" w:eastAsia="zh-CN" w:bidi="ar"/>
              </w:rPr>
              <w:t>指标</w:t>
            </w:r>
          </w:p>
        </w:tc>
        <w:tc>
          <w:tcPr>
            <w:tcW w:w="0" w:type="auto"/>
            <w:noWrap w:val="0"/>
            <w:tcMar>
              <w:top w:w="-1" w:type="dxa"/>
              <w:left w:w="-1" w:type="dxa"/>
              <w:bottom w:w="-1" w:type="dxa"/>
              <w:right w:w="-1" w:type="dxa"/>
            </w:tcMar>
            <w:vAlign w:val="center"/>
          </w:tcPr>
          <w:p w14:paraId="1766FE4F">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sz w:val="18"/>
                <w:szCs w:val="18"/>
                <w:vertAlign w:val="baseline"/>
              </w:rPr>
            </w:pPr>
            <w:r>
              <w:rPr>
                <w:rFonts w:hint="eastAsia" w:ascii="宋体" w:hAnsi="宋体" w:eastAsia="宋体" w:cs="宋体"/>
                <w:b/>
                <w:bCs/>
                <w:i w:val="0"/>
                <w:iCs w:val="0"/>
                <w:caps w:val="0"/>
                <w:color w:val="0F1115"/>
                <w:spacing w:val="0"/>
                <w:kern w:val="0"/>
                <w:sz w:val="18"/>
                <w:szCs w:val="18"/>
                <w:lang w:val="en-US" w:eastAsia="zh-CN" w:bidi="ar"/>
              </w:rPr>
              <w:t>改进前</w:t>
            </w:r>
          </w:p>
        </w:tc>
        <w:tc>
          <w:tcPr>
            <w:tcW w:w="1893" w:type="dxa"/>
            <w:noWrap w:val="0"/>
            <w:tcMar>
              <w:top w:w="-1" w:type="dxa"/>
              <w:left w:w="-1" w:type="dxa"/>
              <w:bottom w:w="-1" w:type="dxa"/>
              <w:right w:w="-1" w:type="dxa"/>
            </w:tcMar>
            <w:vAlign w:val="center"/>
          </w:tcPr>
          <w:p w14:paraId="10E7F0AB">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sz w:val="18"/>
                <w:szCs w:val="18"/>
                <w:vertAlign w:val="baseline"/>
              </w:rPr>
            </w:pPr>
            <w:r>
              <w:rPr>
                <w:rFonts w:hint="eastAsia" w:ascii="宋体" w:hAnsi="宋体" w:eastAsia="宋体" w:cs="宋体"/>
                <w:b/>
                <w:bCs/>
                <w:i w:val="0"/>
                <w:iCs w:val="0"/>
                <w:caps w:val="0"/>
                <w:color w:val="0F1115"/>
                <w:spacing w:val="0"/>
                <w:kern w:val="0"/>
                <w:sz w:val="18"/>
                <w:szCs w:val="18"/>
                <w:lang w:val="en-US" w:eastAsia="zh-CN" w:bidi="ar"/>
              </w:rPr>
              <w:t>改进后</w:t>
            </w:r>
          </w:p>
        </w:tc>
      </w:tr>
      <w:tr w14:paraId="744C9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tcMar>
              <w:top w:w="-1" w:type="dxa"/>
              <w:left w:w="-1" w:type="dxa"/>
              <w:bottom w:w="-1" w:type="dxa"/>
              <w:right w:w="-1" w:type="dxa"/>
            </w:tcMar>
            <w:vAlign w:val="center"/>
          </w:tcPr>
          <w:p w14:paraId="518A0664">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砷含量（ppm）</w:t>
            </w:r>
          </w:p>
        </w:tc>
        <w:tc>
          <w:tcPr>
            <w:tcW w:w="0" w:type="auto"/>
            <w:noWrap w:val="0"/>
            <w:tcMar>
              <w:top w:w="-1" w:type="dxa"/>
              <w:left w:w="-1" w:type="dxa"/>
              <w:bottom w:w="-1" w:type="dxa"/>
              <w:right w:w="-1" w:type="dxa"/>
            </w:tcMar>
            <w:vAlign w:val="center"/>
          </w:tcPr>
          <w:p w14:paraId="11A91063">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0.5~5.0</w:t>
            </w:r>
          </w:p>
        </w:tc>
        <w:tc>
          <w:tcPr>
            <w:tcW w:w="1893" w:type="dxa"/>
            <w:noWrap w:val="0"/>
            <w:tcMar>
              <w:top w:w="-1" w:type="dxa"/>
              <w:left w:w="-1" w:type="dxa"/>
              <w:bottom w:w="-1" w:type="dxa"/>
              <w:right w:w="-1" w:type="dxa"/>
            </w:tcMar>
            <w:vAlign w:val="center"/>
          </w:tcPr>
          <w:p w14:paraId="3A6BFDF2">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≤0.3</w:t>
            </w:r>
          </w:p>
        </w:tc>
      </w:tr>
      <w:tr w14:paraId="4975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tcMar>
              <w:top w:w="-1" w:type="dxa"/>
              <w:left w:w="-1" w:type="dxa"/>
              <w:bottom w:w="-1" w:type="dxa"/>
              <w:right w:w="-1" w:type="dxa"/>
            </w:tcMar>
            <w:vAlign w:val="center"/>
          </w:tcPr>
          <w:p w14:paraId="62F095C2">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浓度偏差（±%）</w:t>
            </w:r>
          </w:p>
        </w:tc>
        <w:tc>
          <w:tcPr>
            <w:tcW w:w="0" w:type="auto"/>
            <w:noWrap w:val="0"/>
            <w:tcMar>
              <w:top w:w="-1" w:type="dxa"/>
              <w:left w:w="-1" w:type="dxa"/>
              <w:bottom w:w="-1" w:type="dxa"/>
              <w:right w:w="-1" w:type="dxa"/>
            </w:tcMar>
            <w:vAlign w:val="center"/>
          </w:tcPr>
          <w:p w14:paraId="5F93F588">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2"/>
                <w:sz w:val="18"/>
                <w:szCs w:val="18"/>
                <w:shd w:val="clear" w:fill="FFFFFF"/>
                <w:lang w:val="en-US" w:eastAsia="zh-CN" w:bidi="ar-SA"/>
              </w:rPr>
              <w:t>0.5</w:t>
            </w:r>
          </w:p>
        </w:tc>
        <w:tc>
          <w:tcPr>
            <w:tcW w:w="1893" w:type="dxa"/>
            <w:noWrap w:val="0"/>
            <w:tcMar>
              <w:top w:w="-1" w:type="dxa"/>
              <w:left w:w="-1" w:type="dxa"/>
              <w:bottom w:w="-1" w:type="dxa"/>
              <w:right w:w="-1" w:type="dxa"/>
            </w:tcMar>
            <w:vAlign w:val="center"/>
          </w:tcPr>
          <w:p w14:paraId="2D78D627">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0.15</w:t>
            </w:r>
          </w:p>
        </w:tc>
      </w:tr>
      <w:tr w14:paraId="2EA0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931" w:type="dxa"/>
            <w:noWrap w:val="0"/>
            <w:tcMar>
              <w:top w:w="-1" w:type="dxa"/>
              <w:left w:w="-1" w:type="dxa"/>
              <w:bottom w:w="-1" w:type="dxa"/>
              <w:right w:w="-1" w:type="dxa"/>
            </w:tcMar>
            <w:vAlign w:val="center"/>
          </w:tcPr>
          <w:p w14:paraId="5B3B5D44">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产品单项合格率（%）</w:t>
            </w:r>
          </w:p>
        </w:tc>
        <w:tc>
          <w:tcPr>
            <w:tcW w:w="2120" w:type="dxa"/>
            <w:noWrap w:val="0"/>
            <w:tcMar>
              <w:top w:w="-1" w:type="dxa"/>
              <w:left w:w="-1" w:type="dxa"/>
              <w:bottom w:w="-1" w:type="dxa"/>
              <w:right w:w="-1" w:type="dxa"/>
            </w:tcMar>
            <w:vAlign w:val="center"/>
          </w:tcPr>
          <w:p w14:paraId="7D7469CD">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86</w:t>
            </w:r>
          </w:p>
        </w:tc>
        <w:tc>
          <w:tcPr>
            <w:tcW w:w="1893" w:type="dxa"/>
            <w:noWrap w:val="0"/>
            <w:tcMar>
              <w:top w:w="-1" w:type="dxa"/>
              <w:left w:w="-1" w:type="dxa"/>
              <w:bottom w:w="-1" w:type="dxa"/>
              <w:right w:w="-1" w:type="dxa"/>
            </w:tcMar>
            <w:vAlign w:val="center"/>
          </w:tcPr>
          <w:p w14:paraId="36AF9D76">
            <w:pPr>
              <w:keepNext w:val="0"/>
              <w:keepLines w:val="0"/>
              <w:pageBreakBefore w:val="0"/>
              <w:widowControl/>
              <w:suppressLineNumbers w:val="0"/>
              <w:kinsoku/>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sz w:val="18"/>
                <w:szCs w:val="18"/>
                <w:vertAlign w:val="baseline"/>
              </w:rPr>
            </w:pPr>
            <w:r>
              <w:rPr>
                <w:rFonts w:hint="eastAsia" w:ascii="宋体" w:hAnsi="宋体" w:eastAsia="宋体" w:cs="宋体"/>
                <w:i w:val="0"/>
                <w:iCs w:val="0"/>
                <w:caps w:val="0"/>
                <w:color w:val="0F1115"/>
                <w:spacing w:val="0"/>
                <w:kern w:val="0"/>
                <w:sz w:val="18"/>
                <w:szCs w:val="18"/>
                <w:lang w:val="en-US" w:eastAsia="zh-CN" w:bidi="ar"/>
              </w:rPr>
              <w:t>100</w:t>
            </w:r>
          </w:p>
        </w:tc>
      </w:tr>
    </w:tbl>
    <w:p w14:paraId="65A8A15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4.2 产能提升</w:t>
      </w:r>
    </w:p>
    <w:p w14:paraId="36606C17">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原设计产能：30000吨每年（2500吨每月）</w:t>
      </w:r>
    </w:p>
    <w:p w14:paraId="78B3EFF4">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改进之后的实际产能为43200吨每年（也就是每月3600吨）此产能达到了设计值的144%。</w:t>
      </w:r>
    </w:p>
    <w:p w14:paraId="66C3D9C3">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装置的运行处于平稳状态，非计划停车的次数从月平均3次降低至1次。</w:t>
      </w:r>
    </w:p>
    <w:p w14:paraId="5696CE2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00" w:lineRule="exact"/>
        <w:ind w:left="0" w:right="0" w:firstLine="0"/>
        <w:textAlignment w:val="auto"/>
        <w:rPr>
          <w:rFonts w:hint="eastAsia" w:ascii="宋体" w:hAnsi="宋体" w:eastAsia="宋体" w:cs="宋体"/>
          <w:i w:val="0"/>
          <w:iCs w:val="0"/>
          <w:caps w:val="0"/>
          <w:color w:val="0F1115"/>
          <w:spacing w:val="0"/>
          <w:sz w:val="21"/>
          <w:szCs w:val="21"/>
          <w:shd w:val="clear" w:fill="FFFFFF"/>
        </w:rPr>
      </w:pPr>
      <w:r>
        <w:rPr>
          <w:rFonts w:hint="eastAsia" w:ascii="宋体" w:hAnsi="宋体" w:eastAsia="宋体" w:cs="宋体"/>
          <w:i w:val="0"/>
          <w:iCs w:val="0"/>
          <w:caps w:val="0"/>
          <w:color w:val="0F1115"/>
          <w:spacing w:val="0"/>
          <w:sz w:val="21"/>
          <w:szCs w:val="21"/>
          <w:shd w:val="clear" w:fill="FFFFFF"/>
        </w:rPr>
        <w:t>5 结论</w:t>
      </w:r>
    </w:p>
    <w:p w14:paraId="29B1AA50">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在热法食品磷酸的生产进程中，黄酸的存在、黑点的出现、砷含量超出标准以及浓度的不稳定波动，乃是对产品质量以及产能造成影响的主要难题，这些问题的根源分别对应于滤布的磨损状况、压缩空气遭受的污染情况、P₂S₅溶解时的温度不适宜状态以及调酸槽设计的不合理情形。</w:t>
      </w:r>
    </w:p>
    <w:p w14:paraId="1E1DC586">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借助提升滤布目数达到450目、增添压缩空气过滤棉、把控P₂S₅溶解温度处于40 - 50℃、增建10 m³小型调酸槽这类低成本的改良办法系统地把上述问题解决了。</w:t>
      </w:r>
    </w:p>
    <w:p w14:paraId="486A0DA3">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改进之后的产品，其砷含量始终稳定在≤0.3 ppm的水平，色度≤5⁰，产品没有黑色杂质，浓度偏差保持在正负0.15%的范围，质量合格的比例达到了100%，并且装置的生产能力提升到了设计能力的144%。</w:t>
      </w:r>
    </w:p>
    <w:p w14:paraId="7500C5A7">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0F1115"/>
          <w:spacing w:val="0"/>
          <w:kern w:val="2"/>
          <w:sz w:val="21"/>
          <w:szCs w:val="21"/>
          <w:shd w:val="clear" w:fill="FFFFFF"/>
          <w:lang w:val="en-US" w:eastAsia="zh-CN" w:bidi="ar-SA"/>
        </w:rPr>
      </w:pPr>
      <w:r>
        <w:rPr>
          <w:rFonts w:hint="eastAsia" w:ascii="宋体" w:hAnsi="宋体" w:eastAsia="宋体" w:cs="宋体"/>
          <w:i w:val="0"/>
          <w:iCs w:val="0"/>
          <w:caps w:val="0"/>
          <w:color w:val="0F1115"/>
          <w:spacing w:val="0"/>
          <w:kern w:val="2"/>
          <w:sz w:val="21"/>
          <w:szCs w:val="21"/>
          <w:shd w:val="clear" w:fill="FFFFFF"/>
          <w:lang w:val="en-US" w:eastAsia="zh-CN" w:bidi="ar-SA"/>
        </w:rPr>
        <w:t>本文所提及的改进方案具备投资规模较小、成效显现迅速、操作便捷可行等特点能够为处于相同行业的企业应对相似的质量问题给予直接的参考借鉴。</w:t>
      </w:r>
    </w:p>
    <w:p w14:paraId="20EFC082">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Style w:val="16"/>
          <w:rFonts w:hint="eastAsia" w:ascii="宋体" w:hAnsi="宋体" w:eastAsia="宋体" w:cs="宋体"/>
          <w:b/>
          <w:bCs/>
          <w:i w:val="0"/>
          <w:iCs w:val="0"/>
          <w:caps w:val="0"/>
          <w:color w:val="0F1115"/>
          <w:spacing w:val="0"/>
          <w:sz w:val="21"/>
          <w:szCs w:val="21"/>
          <w:shd w:val="clear" w:fill="FFFFFF"/>
        </w:rPr>
      </w:pPr>
    </w:p>
    <w:p w14:paraId="12ACC613">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Style w:val="16"/>
          <w:rFonts w:hint="eastAsia" w:ascii="宋体" w:hAnsi="宋体" w:eastAsia="宋体" w:cs="宋体"/>
          <w:b/>
          <w:bCs/>
          <w:i w:val="0"/>
          <w:iCs w:val="0"/>
          <w:caps w:val="0"/>
          <w:color w:val="0F1115"/>
          <w:spacing w:val="0"/>
          <w:sz w:val="21"/>
          <w:szCs w:val="21"/>
          <w:shd w:val="clear" w:fill="FFFFFF"/>
        </w:rPr>
        <w:t>参考文献</w:t>
      </w:r>
    </w:p>
    <w:p w14:paraId="1B89EC13">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Fonts w:hint="eastAsia" w:ascii="宋体" w:hAnsi="宋体" w:eastAsia="宋体" w:cs="宋体"/>
          <w:i w:val="0"/>
          <w:iCs w:val="0"/>
          <w:caps w:val="0"/>
          <w:color w:val="0F1115"/>
          <w:spacing w:val="0"/>
          <w:sz w:val="21"/>
          <w:szCs w:val="21"/>
          <w:shd w:val="clear" w:fill="FFFFFF"/>
        </w:rPr>
        <w:t>[1] 任新林、梅毅、冯梦黎等人. 关于SK静态混合器对工业磷酸脱砷这一过程强化的研究[J]. 化工学报, 2018(S2).</w:t>
      </w:r>
    </w:p>
    <w:p w14:paraId="4E575765">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Fonts w:hint="eastAsia" w:ascii="宋体" w:hAnsi="宋体" w:eastAsia="宋体" w:cs="宋体"/>
          <w:i w:val="0"/>
          <w:iCs w:val="0"/>
          <w:caps w:val="0"/>
          <w:color w:val="0F1115"/>
          <w:spacing w:val="0"/>
          <w:sz w:val="21"/>
          <w:szCs w:val="21"/>
          <w:shd w:val="clear" w:fill="FFFFFF"/>
        </w:rPr>
        <w:t>[2] 饶轶晟、杨晓健、张红等人关于湿法磷酸净化脱砷研究状况的探讨[J]，化工进展，2020（S01）：219 - 224</w:t>
      </w:r>
    </w:p>
    <w:p w14:paraId="468F8248">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Fonts w:hint="eastAsia" w:ascii="宋体" w:hAnsi="宋体" w:eastAsia="宋体" w:cs="宋体"/>
          <w:i w:val="0"/>
          <w:iCs w:val="0"/>
          <w:caps w:val="0"/>
          <w:color w:val="0F1115"/>
          <w:spacing w:val="0"/>
          <w:sz w:val="21"/>
          <w:szCs w:val="21"/>
          <w:shd w:val="clear" w:fill="FFFFFF"/>
        </w:rPr>
        <w:t>[</w:t>
      </w:r>
      <w:r>
        <w:rPr>
          <w:rFonts w:hint="eastAsia" w:ascii="宋体" w:hAnsi="宋体" w:eastAsia="宋体" w:cs="宋体"/>
          <w:i w:val="0"/>
          <w:iCs w:val="0"/>
          <w:caps w:val="0"/>
          <w:color w:val="0F1115"/>
          <w:spacing w:val="0"/>
          <w:sz w:val="21"/>
          <w:szCs w:val="21"/>
          <w:shd w:val="clear" w:fill="FFFFFF"/>
          <w:lang w:val="en-US" w:eastAsia="zh-CN"/>
        </w:rPr>
        <w:t>3</w:t>
      </w:r>
      <w:r>
        <w:rPr>
          <w:rFonts w:hint="eastAsia" w:ascii="宋体" w:hAnsi="宋体" w:eastAsia="宋体" w:cs="宋体"/>
          <w:i w:val="0"/>
          <w:iCs w:val="0"/>
          <w:caps w:val="0"/>
          <w:color w:val="0F1115"/>
          <w:spacing w:val="0"/>
          <w:sz w:val="21"/>
          <w:szCs w:val="21"/>
          <w:shd w:val="clear" w:fill="FFFFFF"/>
        </w:rPr>
        <w:t>] 徐咏军. 关于板框压滤机疑难故障的研究及其解决方案[J]. 内燃机与配件, 2020年第12期.</w:t>
      </w:r>
    </w:p>
    <w:p w14:paraId="794170D7">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Fonts w:hint="eastAsia" w:ascii="宋体" w:hAnsi="宋体" w:eastAsia="宋体" w:cs="宋体"/>
          <w:i w:val="0"/>
          <w:iCs w:val="0"/>
          <w:caps w:val="0"/>
          <w:color w:val="0F1115"/>
          <w:spacing w:val="0"/>
          <w:sz w:val="21"/>
          <w:szCs w:val="21"/>
          <w:shd w:val="clear" w:fill="FFFFFF"/>
        </w:rPr>
        <w:t>[</w:t>
      </w:r>
      <w:r>
        <w:rPr>
          <w:rFonts w:hint="eastAsia" w:ascii="宋体" w:hAnsi="宋体" w:eastAsia="宋体" w:cs="宋体"/>
          <w:i w:val="0"/>
          <w:iCs w:val="0"/>
          <w:caps w:val="0"/>
          <w:color w:val="0F1115"/>
          <w:spacing w:val="0"/>
          <w:sz w:val="21"/>
          <w:szCs w:val="21"/>
          <w:shd w:val="clear" w:fill="FFFFFF"/>
          <w:lang w:val="en-US" w:eastAsia="zh-CN"/>
        </w:rPr>
        <w:t>4</w:t>
      </w:r>
      <w:r>
        <w:rPr>
          <w:rFonts w:hint="eastAsia" w:ascii="宋体" w:hAnsi="宋体" w:eastAsia="宋体" w:cs="宋体"/>
          <w:i w:val="0"/>
          <w:iCs w:val="0"/>
          <w:caps w:val="0"/>
          <w:color w:val="0F1115"/>
          <w:spacing w:val="0"/>
          <w:sz w:val="21"/>
          <w:szCs w:val="21"/>
          <w:shd w:val="clear" w:fill="FFFFFF"/>
        </w:rPr>
        <w:t>] 段立荣. 运用电感耦合等离子体发射光谱法对湿法净化磷酸里的砷进行测定[J]. 磷肥与复肥, 2023, 38(3).</w:t>
      </w:r>
    </w:p>
    <w:p w14:paraId="3594DD4A">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Fonts w:hint="eastAsia" w:ascii="宋体" w:hAnsi="宋体" w:eastAsia="宋体" w:cs="宋体"/>
          <w:i w:val="0"/>
          <w:iCs w:val="0"/>
          <w:caps w:val="0"/>
          <w:color w:val="0F1115"/>
          <w:spacing w:val="0"/>
          <w:sz w:val="21"/>
          <w:szCs w:val="21"/>
          <w:shd w:val="clear" w:fill="FFFFFF"/>
        </w:rPr>
        <w:t>[</w:t>
      </w:r>
      <w:r>
        <w:rPr>
          <w:rFonts w:hint="eastAsia" w:ascii="宋体" w:hAnsi="宋体" w:eastAsia="宋体" w:cs="宋体"/>
          <w:i w:val="0"/>
          <w:iCs w:val="0"/>
          <w:caps w:val="0"/>
          <w:color w:val="0F1115"/>
          <w:spacing w:val="0"/>
          <w:sz w:val="21"/>
          <w:szCs w:val="21"/>
          <w:shd w:val="clear" w:fill="FFFFFF"/>
          <w:lang w:val="en-US" w:eastAsia="zh-CN"/>
        </w:rPr>
        <w:t>5</w:t>
      </w:r>
      <w:r>
        <w:rPr>
          <w:rFonts w:hint="eastAsia" w:ascii="宋体" w:hAnsi="宋体" w:eastAsia="宋体" w:cs="宋体"/>
          <w:i w:val="0"/>
          <w:iCs w:val="0"/>
          <w:caps w:val="0"/>
          <w:color w:val="0F1115"/>
          <w:spacing w:val="0"/>
          <w:sz w:val="21"/>
          <w:szCs w:val="21"/>
          <w:shd w:val="clear" w:fill="FFFFFF"/>
        </w:rPr>
        <w:t>] 张金菊、张坤、吕祖艳等. 运用原子荧光法测定湿法净化磷酸里低砷浓度的方法[J]. 硫磷设计与粉体工程, 2021, 26(6): 28 - 32.</w:t>
      </w:r>
    </w:p>
    <w:p w14:paraId="42B3244E">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rPr>
      </w:pPr>
      <w:r>
        <w:rPr>
          <w:rFonts w:hint="eastAsia" w:ascii="宋体" w:hAnsi="宋体" w:eastAsia="宋体" w:cs="宋体"/>
          <w:i w:val="0"/>
          <w:iCs w:val="0"/>
          <w:caps w:val="0"/>
          <w:color w:val="0F1115"/>
          <w:spacing w:val="0"/>
          <w:sz w:val="21"/>
          <w:szCs w:val="21"/>
          <w:shd w:val="clear" w:fill="FFFFFF"/>
        </w:rPr>
        <w:t>[</w:t>
      </w:r>
      <w:r>
        <w:rPr>
          <w:rFonts w:hint="eastAsia" w:ascii="宋体" w:hAnsi="宋体" w:eastAsia="宋体" w:cs="宋体"/>
          <w:i w:val="0"/>
          <w:iCs w:val="0"/>
          <w:caps w:val="0"/>
          <w:color w:val="0F1115"/>
          <w:spacing w:val="0"/>
          <w:sz w:val="21"/>
          <w:szCs w:val="21"/>
          <w:shd w:val="clear" w:fill="FFFFFF"/>
          <w:lang w:val="en-US" w:eastAsia="zh-CN"/>
        </w:rPr>
        <w:t>6</w:t>
      </w:r>
      <w:r>
        <w:rPr>
          <w:rFonts w:hint="eastAsia" w:ascii="宋体" w:hAnsi="宋体" w:eastAsia="宋体" w:cs="宋体"/>
          <w:i w:val="0"/>
          <w:iCs w:val="0"/>
          <w:caps w:val="0"/>
          <w:color w:val="0F1115"/>
          <w:spacing w:val="0"/>
          <w:sz w:val="21"/>
          <w:szCs w:val="21"/>
          <w:shd w:val="clear" w:fill="FFFFFF"/>
        </w:rPr>
        <w:t>] 中华人民共和国国家卫生和计划生育委员会. GB1886.15-2015 食品安全国家标准 食品添加剂 磷酸[S]. 北京: 中国标准出版社, 2016.</w:t>
      </w:r>
    </w:p>
    <w:p w14:paraId="33DAC1E3">
      <w:pPr>
        <w:pStyle w:val="1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eastAsia" w:ascii="宋体" w:hAnsi="宋体" w:eastAsia="宋体" w:cs="宋体"/>
          <w:i w:val="0"/>
          <w:iCs w:val="0"/>
          <w:caps w:val="0"/>
          <w:color w:val="0F1115"/>
          <w:spacing w:val="0"/>
          <w:sz w:val="21"/>
          <w:szCs w:val="21"/>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610DE"/>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B3EEC"/>
    <w:rsid w:val="00FD2258"/>
    <w:rsid w:val="01520363"/>
    <w:rsid w:val="01C963F3"/>
    <w:rsid w:val="01DE1C5C"/>
    <w:rsid w:val="020411DA"/>
    <w:rsid w:val="02203B3A"/>
    <w:rsid w:val="02AE0AB5"/>
    <w:rsid w:val="02B86B51"/>
    <w:rsid w:val="03304250"/>
    <w:rsid w:val="0374238F"/>
    <w:rsid w:val="03A5079A"/>
    <w:rsid w:val="03C527A5"/>
    <w:rsid w:val="04545D1C"/>
    <w:rsid w:val="04CC1D57"/>
    <w:rsid w:val="04DC643E"/>
    <w:rsid w:val="056106F1"/>
    <w:rsid w:val="05AE130F"/>
    <w:rsid w:val="062077BC"/>
    <w:rsid w:val="065F10D4"/>
    <w:rsid w:val="06EE2458"/>
    <w:rsid w:val="0730481F"/>
    <w:rsid w:val="076E5F7E"/>
    <w:rsid w:val="07B471FE"/>
    <w:rsid w:val="07C05BA3"/>
    <w:rsid w:val="07E3246F"/>
    <w:rsid w:val="07F7358F"/>
    <w:rsid w:val="08564759"/>
    <w:rsid w:val="08BA0844"/>
    <w:rsid w:val="08FF6B9F"/>
    <w:rsid w:val="090C7CD1"/>
    <w:rsid w:val="091A7E4E"/>
    <w:rsid w:val="09931095"/>
    <w:rsid w:val="09F00295"/>
    <w:rsid w:val="0A4B20AA"/>
    <w:rsid w:val="0AEA7C89"/>
    <w:rsid w:val="0B664CB3"/>
    <w:rsid w:val="0C0E77A3"/>
    <w:rsid w:val="0C2B45A8"/>
    <w:rsid w:val="0C4C3EA9"/>
    <w:rsid w:val="0C580AA0"/>
    <w:rsid w:val="0C8E44C1"/>
    <w:rsid w:val="0C9B098C"/>
    <w:rsid w:val="0CDE6ACB"/>
    <w:rsid w:val="0CE82491"/>
    <w:rsid w:val="0CF56428"/>
    <w:rsid w:val="0D525F6F"/>
    <w:rsid w:val="0D660F9A"/>
    <w:rsid w:val="0DA11FD2"/>
    <w:rsid w:val="0E470192"/>
    <w:rsid w:val="0E792F4F"/>
    <w:rsid w:val="0EC8358F"/>
    <w:rsid w:val="0F2C7FC2"/>
    <w:rsid w:val="0F543075"/>
    <w:rsid w:val="0FF00FEF"/>
    <w:rsid w:val="0FF705D0"/>
    <w:rsid w:val="102313C5"/>
    <w:rsid w:val="103C5A23"/>
    <w:rsid w:val="10523A58"/>
    <w:rsid w:val="10667503"/>
    <w:rsid w:val="108035FE"/>
    <w:rsid w:val="10BB15FD"/>
    <w:rsid w:val="10D34B99"/>
    <w:rsid w:val="111156C1"/>
    <w:rsid w:val="111B6540"/>
    <w:rsid w:val="11407D54"/>
    <w:rsid w:val="123F1DBA"/>
    <w:rsid w:val="12CF1390"/>
    <w:rsid w:val="12DB7D35"/>
    <w:rsid w:val="12E60488"/>
    <w:rsid w:val="13001868"/>
    <w:rsid w:val="132A2A6A"/>
    <w:rsid w:val="13CB5FFB"/>
    <w:rsid w:val="13F015BE"/>
    <w:rsid w:val="14261483"/>
    <w:rsid w:val="145D3907"/>
    <w:rsid w:val="148A7C64"/>
    <w:rsid w:val="14B4083D"/>
    <w:rsid w:val="156C2EC6"/>
    <w:rsid w:val="15802E15"/>
    <w:rsid w:val="15C56B00"/>
    <w:rsid w:val="15EE4223"/>
    <w:rsid w:val="16132CB9"/>
    <w:rsid w:val="16B20DAC"/>
    <w:rsid w:val="16B25250"/>
    <w:rsid w:val="16B8213B"/>
    <w:rsid w:val="16D2144F"/>
    <w:rsid w:val="17536A81"/>
    <w:rsid w:val="17836BED"/>
    <w:rsid w:val="178C5AA1"/>
    <w:rsid w:val="17AD77C6"/>
    <w:rsid w:val="180933FC"/>
    <w:rsid w:val="18616F2E"/>
    <w:rsid w:val="191221DB"/>
    <w:rsid w:val="19800B64"/>
    <w:rsid w:val="19836A30"/>
    <w:rsid w:val="199944A6"/>
    <w:rsid w:val="19D21766"/>
    <w:rsid w:val="19FD4A34"/>
    <w:rsid w:val="1A533F79"/>
    <w:rsid w:val="1A5A1E87"/>
    <w:rsid w:val="1B6F3710"/>
    <w:rsid w:val="1C1F5136"/>
    <w:rsid w:val="1C250273"/>
    <w:rsid w:val="1D01483C"/>
    <w:rsid w:val="1D0E0D07"/>
    <w:rsid w:val="1D5D57EA"/>
    <w:rsid w:val="1DE42792"/>
    <w:rsid w:val="1E171E3D"/>
    <w:rsid w:val="1EBA2EF4"/>
    <w:rsid w:val="1EF5217E"/>
    <w:rsid w:val="1F1620F4"/>
    <w:rsid w:val="1F78690B"/>
    <w:rsid w:val="1FA40E26"/>
    <w:rsid w:val="1FE741BD"/>
    <w:rsid w:val="20181E55"/>
    <w:rsid w:val="20200F8C"/>
    <w:rsid w:val="204B20BB"/>
    <w:rsid w:val="204F1D62"/>
    <w:rsid w:val="205C7FDB"/>
    <w:rsid w:val="20CA763A"/>
    <w:rsid w:val="21294361"/>
    <w:rsid w:val="214D1A6A"/>
    <w:rsid w:val="21661758"/>
    <w:rsid w:val="227635D6"/>
    <w:rsid w:val="22BA5BB9"/>
    <w:rsid w:val="22EA5D72"/>
    <w:rsid w:val="230D784D"/>
    <w:rsid w:val="23172040"/>
    <w:rsid w:val="23B95F13"/>
    <w:rsid w:val="24174945"/>
    <w:rsid w:val="24212C83"/>
    <w:rsid w:val="244020ED"/>
    <w:rsid w:val="24431BDE"/>
    <w:rsid w:val="24B17D3C"/>
    <w:rsid w:val="24EE1B49"/>
    <w:rsid w:val="25867FD4"/>
    <w:rsid w:val="258C3110"/>
    <w:rsid w:val="259C77F7"/>
    <w:rsid w:val="262A3A04"/>
    <w:rsid w:val="269C7383"/>
    <w:rsid w:val="26B66697"/>
    <w:rsid w:val="273D46C2"/>
    <w:rsid w:val="27435A51"/>
    <w:rsid w:val="27466F3A"/>
    <w:rsid w:val="276F4A98"/>
    <w:rsid w:val="280671AA"/>
    <w:rsid w:val="28237D5C"/>
    <w:rsid w:val="283B6E9A"/>
    <w:rsid w:val="28414686"/>
    <w:rsid w:val="285F68BA"/>
    <w:rsid w:val="287C746C"/>
    <w:rsid w:val="288D3427"/>
    <w:rsid w:val="28D44D60"/>
    <w:rsid w:val="29F55569"/>
    <w:rsid w:val="2A14198E"/>
    <w:rsid w:val="2AF37C49"/>
    <w:rsid w:val="2B612949"/>
    <w:rsid w:val="2C1A3224"/>
    <w:rsid w:val="2C5F332D"/>
    <w:rsid w:val="2CDC497D"/>
    <w:rsid w:val="2DA03BFD"/>
    <w:rsid w:val="2DAB5E91"/>
    <w:rsid w:val="2DD45655"/>
    <w:rsid w:val="2EC67693"/>
    <w:rsid w:val="2EE30245"/>
    <w:rsid w:val="2F087CAC"/>
    <w:rsid w:val="2F0E4B96"/>
    <w:rsid w:val="2F1A353B"/>
    <w:rsid w:val="2F1F6DA3"/>
    <w:rsid w:val="2F633134"/>
    <w:rsid w:val="2F882B9B"/>
    <w:rsid w:val="2FA86D99"/>
    <w:rsid w:val="30297EDA"/>
    <w:rsid w:val="312F3756"/>
    <w:rsid w:val="31496359"/>
    <w:rsid w:val="315E0057"/>
    <w:rsid w:val="318D4498"/>
    <w:rsid w:val="31975317"/>
    <w:rsid w:val="3199108F"/>
    <w:rsid w:val="319F16AA"/>
    <w:rsid w:val="31F167D5"/>
    <w:rsid w:val="3216448E"/>
    <w:rsid w:val="321D581C"/>
    <w:rsid w:val="323963CE"/>
    <w:rsid w:val="3273368E"/>
    <w:rsid w:val="32963820"/>
    <w:rsid w:val="32E20814"/>
    <w:rsid w:val="33150BE9"/>
    <w:rsid w:val="337771AE"/>
    <w:rsid w:val="33F94067"/>
    <w:rsid w:val="340728DF"/>
    <w:rsid w:val="34480B4A"/>
    <w:rsid w:val="34821AD6"/>
    <w:rsid w:val="348E47AF"/>
    <w:rsid w:val="34943D90"/>
    <w:rsid w:val="34A23D01"/>
    <w:rsid w:val="35A52FD0"/>
    <w:rsid w:val="35D501BC"/>
    <w:rsid w:val="36407D2B"/>
    <w:rsid w:val="36BE3BE8"/>
    <w:rsid w:val="36DA26A7"/>
    <w:rsid w:val="36DB5CA6"/>
    <w:rsid w:val="36F079A3"/>
    <w:rsid w:val="37227431"/>
    <w:rsid w:val="3756532C"/>
    <w:rsid w:val="37B01725"/>
    <w:rsid w:val="38061044"/>
    <w:rsid w:val="381C3783"/>
    <w:rsid w:val="38997BC6"/>
    <w:rsid w:val="389E342F"/>
    <w:rsid w:val="38B16CBE"/>
    <w:rsid w:val="38C5276A"/>
    <w:rsid w:val="399551B1"/>
    <w:rsid w:val="39D619B3"/>
    <w:rsid w:val="3A445910"/>
    <w:rsid w:val="3A557B1D"/>
    <w:rsid w:val="3A583AA0"/>
    <w:rsid w:val="3A726921"/>
    <w:rsid w:val="3A765FE2"/>
    <w:rsid w:val="3A804B9A"/>
    <w:rsid w:val="3AE50EA1"/>
    <w:rsid w:val="3B2C6AD0"/>
    <w:rsid w:val="3B36697E"/>
    <w:rsid w:val="3B653D90"/>
    <w:rsid w:val="3B7D732B"/>
    <w:rsid w:val="3BAE3989"/>
    <w:rsid w:val="3BCC3E0F"/>
    <w:rsid w:val="3BD66A3C"/>
    <w:rsid w:val="3C424796"/>
    <w:rsid w:val="3CC044ED"/>
    <w:rsid w:val="3CC25530"/>
    <w:rsid w:val="3CC52D38"/>
    <w:rsid w:val="3CD13DD3"/>
    <w:rsid w:val="3D0715A3"/>
    <w:rsid w:val="3D4C16AB"/>
    <w:rsid w:val="3DBB238D"/>
    <w:rsid w:val="3DBD6105"/>
    <w:rsid w:val="3E4405D4"/>
    <w:rsid w:val="3E9A6446"/>
    <w:rsid w:val="3E9C5D1B"/>
    <w:rsid w:val="3EBC63BD"/>
    <w:rsid w:val="3F375A43"/>
    <w:rsid w:val="3FA4757D"/>
    <w:rsid w:val="3FB6105E"/>
    <w:rsid w:val="3FCF3ECE"/>
    <w:rsid w:val="3FE444E6"/>
    <w:rsid w:val="40583EC3"/>
    <w:rsid w:val="40642868"/>
    <w:rsid w:val="407A652F"/>
    <w:rsid w:val="407F58F4"/>
    <w:rsid w:val="40923879"/>
    <w:rsid w:val="410F592B"/>
    <w:rsid w:val="411424E0"/>
    <w:rsid w:val="41641264"/>
    <w:rsid w:val="41700BEB"/>
    <w:rsid w:val="41911D83"/>
    <w:rsid w:val="425863FC"/>
    <w:rsid w:val="426C3C56"/>
    <w:rsid w:val="42786A9F"/>
    <w:rsid w:val="42EE53FF"/>
    <w:rsid w:val="43E4263E"/>
    <w:rsid w:val="44FD328B"/>
    <w:rsid w:val="45554E75"/>
    <w:rsid w:val="459D60E3"/>
    <w:rsid w:val="45E5444B"/>
    <w:rsid w:val="46362EF9"/>
    <w:rsid w:val="465515D1"/>
    <w:rsid w:val="468E4AE3"/>
    <w:rsid w:val="46955E71"/>
    <w:rsid w:val="46F54E2D"/>
    <w:rsid w:val="46FD57C4"/>
    <w:rsid w:val="47925F0D"/>
    <w:rsid w:val="47A143DA"/>
    <w:rsid w:val="480706A9"/>
    <w:rsid w:val="48B545A9"/>
    <w:rsid w:val="48F272A6"/>
    <w:rsid w:val="495C0DBE"/>
    <w:rsid w:val="496D75ED"/>
    <w:rsid w:val="49CB1BAA"/>
    <w:rsid w:val="49DE5E98"/>
    <w:rsid w:val="4A4F4589"/>
    <w:rsid w:val="4AB60164"/>
    <w:rsid w:val="4B014896"/>
    <w:rsid w:val="4B1F03FF"/>
    <w:rsid w:val="4B8E06C7"/>
    <w:rsid w:val="4BEB208F"/>
    <w:rsid w:val="4C5365B2"/>
    <w:rsid w:val="4C934BC0"/>
    <w:rsid w:val="4CFB09F8"/>
    <w:rsid w:val="4D057181"/>
    <w:rsid w:val="4D1D44CA"/>
    <w:rsid w:val="4D5123C6"/>
    <w:rsid w:val="4D6B792C"/>
    <w:rsid w:val="4DA16EA9"/>
    <w:rsid w:val="4DED1912"/>
    <w:rsid w:val="4E257ADB"/>
    <w:rsid w:val="4E353A96"/>
    <w:rsid w:val="4EAD187E"/>
    <w:rsid w:val="4EB175C0"/>
    <w:rsid w:val="4EB62E28"/>
    <w:rsid w:val="4F78309C"/>
    <w:rsid w:val="50A20D13"/>
    <w:rsid w:val="50AF7B2F"/>
    <w:rsid w:val="50B02F71"/>
    <w:rsid w:val="50C26CF2"/>
    <w:rsid w:val="50EC0D83"/>
    <w:rsid w:val="50FE0CB7"/>
    <w:rsid w:val="512D188F"/>
    <w:rsid w:val="51363DAD"/>
    <w:rsid w:val="513B5867"/>
    <w:rsid w:val="51EC090F"/>
    <w:rsid w:val="51FB00AC"/>
    <w:rsid w:val="52E57838"/>
    <w:rsid w:val="53146370"/>
    <w:rsid w:val="53A45945"/>
    <w:rsid w:val="5415414D"/>
    <w:rsid w:val="542B3971"/>
    <w:rsid w:val="54335EE7"/>
    <w:rsid w:val="5463310B"/>
    <w:rsid w:val="54C142D5"/>
    <w:rsid w:val="55254864"/>
    <w:rsid w:val="553C395C"/>
    <w:rsid w:val="55BA1450"/>
    <w:rsid w:val="55E71B19"/>
    <w:rsid w:val="56135E24"/>
    <w:rsid w:val="563C3B2B"/>
    <w:rsid w:val="564017AC"/>
    <w:rsid w:val="567B0721"/>
    <w:rsid w:val="567B117E"/>
    <w:rsid w:val="56F97D56"/>
    <w:rsid w:val="57081D47"/>
    <w:rsid w:val="57E97DCB"/>
    <w:rsid w:val="57F56770"/>
    <w:rsid w:val="582A5A6F"/>
    <w:rsid w:val="5847689F"/>
    <w:rsid w:val="58C47EF0"/>
    <w:rsid w:val="59345076"/>
    <w:rsid w:val="596F60AE"/>
    <w:rsid w:val="5A2A0227"/>
    <w:rsid w:val="5A7B0A82"/>
    <w:rsid w:val="5A915069"/>
    <w:rsid w:val="5B0311A3"/>
    <w:rsid w:val="5BFE5E0F"/>
    <w:rsid w:val="5C950521"/>
    <w:rsid w:val="5CA73DB1"/>
    <w:rsid w:val="5CAA564F"/>
    <w:rsid w:val="5DCA0779"/>
    <w:rsid w:val="5E015742"/>
    <w:rsid w:val="5E361890"/>
    <w:rsid w:val="5EAE2389"/>
    <w:rsid w:val="5EDA046D"/>
    <w:rsid w:val="5EE237C6"/>
    <w:rsid w:val="5EFF7ED4"/>
    <w:rsid w:val="5F7679C4"/>
    <w:rsid w:val="5F7F2DC3"/>
    <w:rsid w:val="5FBF1411"/>
    <w:rsid w:val="60395667"/>
    <w:rsid w:val="610D33E8"/>
    <w:rsid w:val="615E35D8"/>
    <w:rsid w:val="619568CD"/>
    <w:rsid w:val="61E67129"/>
    <w:rsid w:val="62CC27C3"/>
    <w:rsid w:val="635A7DCF"/>
    <w:rsid w:val="637D586B"/>
    <w:rsid w:val="63872EA4"/>
    <w:rsid w:val="63F26259"/>
    <w:rsid w:val="63FA3360"/>
    <w:rsid w:val="640A365A"/>
    <w:rsid w:val="640E2967"/>
    <w:rsid w:val="64754794"/>
    <w:rsid w:val="64FD7B2B"/>
    <w:rsid w:val="65141505"/>
    <w:rsid w:val="657B402C"/>
    <w:rsid w:val="65C07C91"/>
    <w:rsid w:val="66CA526B"/>
    <w:rsid w:val="67580AC9"/>
    <w:rsid w:val="67DD0FCE"/>
    <w:rsid w:val="68774F7F"/>
    <w:rsid w:val="687A681D"/>
    <w:rsid w:val="68D73C6F"/>
    <w:rsid w:val="690B56C7"/>
    <w:rsid w:val="696A4D66"/>
    <w:rsid w:val="699456BD"/>
    <w:rsid w:val="69E14575"/>
    <w:rsid w:val="6A4E3ABD"/>
    <w:rsid w:val="6A9A31A7"/>
    <w:rsid w:val="6AD06BC8"/>
    <w:rsid w:val="6B3929BF"/>
    <w:rsid w:val="6B3D425E"/>
    <w:rsid w:val="6B431148"/>
    <w:rsid w:val="6B56531F"/>
    <w:rsid w:val="6BB8040C"/>
    <w:rsid w:val="6C1F5711"/>
    <w:rsid w:val="6C5C6966"/>
    <w:rsid w:val="6C6E5E1A"/>
    <w:rsid w:val="6C8E2897"/>
    <w:rsid w:val="6CDF30F3"/>
    <w:rsid w:val="6D921E65"/>
    <w:rsid w:val="6DA46816"/>
    <w:rsid w:val="6DF606F4"/>
    <w:rsid w:val="6E267136"/>
    <w:rsid w:val="6E2D67FA"/>
    <w:rsid w:val="6E6E0BD2"/>
    <w:rsid w:val="6E91041D"/>
    <w:rsid w:val="6ECB392F"/>
    <w:rsid w:val="6EF56BFD"/>
    <w:rsid w:val="6F3678A8"/>
    <w:rsid w:val="6F562B93"/>
    <w:rsid w:val="6FA348AB"/>
    <w:rsid w:val="6FBB39A3"/>
    <w:rsid w:val="6FD23894"/>
    <w:rsid w:val="6FE23626"/>
    <w:rsid w:val="702C2AF3"/>
    <w:rsid w:val="70383246"/>
    <w:rsid w:val="703D260A"/>
    <w:rsid w:val="7060279C"/>
    <w:rsid w:val="70626FA0"/>
    <w:rsid w:val="70756EB2"/>
    <w:rsid w:val="71BE777B"/>
    <w:rsid w:val="7258197D"/>
    <w:rsid w:val="72B8241C"/>
    <w:rsid w:val="730241B0"/>
    <w:rsid w:val="73587D13"/>
    <w:rsid w:val="73CB617F"/>
    <w:rsid w:val="743B50B2"/>
    <w:rsid w:val="74BF5CE3"/>
    <w:rsid w:val="750977D2"/>
    <w:rsid w:val="75693EA1"/>
    <w:rsid w:val="75B25848"/>
    <w:rsid w:val="76424E1E"/>
    <w:rsid w:val="76C92E49"/>
    <w:rsid w:val="77617526"/>
    <w:rsid w:val="777A05E8"/>
    <w:rsid w:val="781A1483"/>
    <w:rsid w:val="781F0851"/>
    <w:rsid w:val="7820118F"/>
    <w:rsid w:val="782A7918"/>
    <w:rsid w:val="78B00E0E"/>
    <w:rsid w:val="78C94F9D"/>
    <w:rsid w:val="78E51A91"/>
    <w:rsid w:val="78FD502C"/>
    <w:rsid w:val="795D5ACB"/>
    <w:rsid w:val="796450AB"/>
    <w:rsid w:val="79A92E6E"/>
    <w:rsid w:val="79EB30D7"/>
    <w:rsid w:val="7A293F0A"/>
    <w:rsid w:val="7A5E24AA"/>
    <w:rsid w:val="7ACB4CB6"/>
    <w:rsid w:val="7B02692A"/>
    <w:rsid w:val="7B486307"/>
    <w:rsid w:val="7B5B603A"/>
    <w:rsid w:val="7B5C744A"/>
    <w:rsid w:val="7BA55C3B"/>
    <w:rsid w:val="7BD858DD"/>
    <w:rsid w:val="7BE9361F"/>
    <w:rsid w:val="7C765821"/>
    <w:rsid w:val="7C856E44"/>
    <w:rsid w:val="7CD24A22"/>
    <w:rsid w:val="7D366D5F"/>
    <w:rsid w:val="7DD722F0"/>
    <w:rsid w:val="7E32210A"/>
    <w:rsid w:val="7EC87E8B"/>
    <w:rsid w:val="7EF70770"/>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0"/>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1"/>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2"/>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5">
    <w:name w:val="Default Paragraph Font"/>
    <w:autoRedefine/>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Body Text"/>
    <w:basedOn w:val="1"/>
    <w:autoRedefine/>
    <w:qFormat/>
    <w:uiPriority w:val="0"/>
    <w:pPr>
      <w:spacing w:after="120" w:afterLines="0" w:afterAutospacing="0"/>
    </w:pPr>
  </w:style>
  <w:style w:type="paragraph" w:styleId="7">
    <w:name w:val="footer"/>
    <w:basedOn w:val="1"/>
    <w:link w:val="25"/>
    <w:autoRedefine/>
    <w:unhideWhenUsed/>
    <w:qFormat/>
    <w:uiPriority w:val="99"/>
    <w:pPr>
      <w:tabs>
        <w:tab w:val="center" w:pos="4153"/>
        <w:tab w:val="right" w:pos="8306"/>
      </w:tabs>
      <w:snapToGrid w:val="0"/>
      <w:jc w:val="left"/>
    </w:pPr>
    <w:rPr>
      <w:sz w:val="18"/>
      <w:szCs w:val="18"/>
    </w:rPr>
  </w:style>
  <w:style w:type="paragraph" w:styleId="8">
    <w:name w:val="header"/>
    <w:basedOn w:val="1"/>
    <w:link w:val="2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27"/>
    <w:autoRedefine/>
    <w:qFormat/>
    <w:uiPriority w:val="0"/>
    <w:pPr>
      <w:spacing w:line="400" w:lineRule="exact"/>
      <w:jc w:val="center"/>
    </w:pPr>
    <w:rPr>
      <w:rFonts w:ascii="Calibri" w:hAnsi="Calibri" w:eastAsia="楷体" w:cs="Times New Roman"/>
      <w:b/>
      <w:bCs/>
      <w:kern w:val="28"/>
      <w:szCs w:val="32"/>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Title"/>
    <w:basedOn w:val="5"/>
    <w:next w:val="1"/>
    <w:link w:val="23"/>
    <w:qFormat/>
    <w:uiPriority w:val="10"/>
    <w:pPr>
      <w:adjustRightInd w:val="0"/>
      <w:snapToGrid w:val="0"/>
      <w:spacing w:before="0" w:after="0" w:line="360" w:lineRule="auto"/>
      <w:jc w:val="center"/>
    </w:pPr>
    <w:rPr>
      <w:rFonts w:ascii="黑体" w:hAnsi="黑体" w:eastAsia="黑体" w:cs="黑体"/>
      <w:sz w:val="24"/>
      <w:szCs w:val="24"/>
    </w:rPr>
  </w:style>
  <w:style w:type="paragraph" w:styleId="12">
    <w:name w:val="Body Text First Indent"/>
    <w:basedOn w:val="6"/>
    <w:autoRedefine/>
    <w:qFormat/>
    <w:uiPriority w:val="0"/>
    <w:pPr>
      <w:ind w:firstLine="420" w:firstLineChars="100"/>
    </w:pPr>
  </w:style>
  <w:style w:type="table" w:styleId="14">
    <w:name w:val="Table Grid"/>
    <w:basedOn w:val="13"/>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0正文"/>
    <w:basedOn w:val="1"/>
    <w:qFormat/>
    <w:uiPriority w:val="0"/>
    <w:pPr>
      <w:ind w:firstLine="480" w:firstLineChars="200"/>
    </w:pPr>
  </w:style>
  <w:style w:type="character" w:customStyle="1" w:styleId="19">
    <w:name w:val="标题 2 字符"/>
    <w:basedOn w:val="15"/>
    <w:autoRedefine/>
    <w:semiHidden/>
    <w:qFormat/>
    <w:uiPriority w:val="9"/>
    <w:rPr>
      <w:rFonts w:asciiTheme="majorHAnsi" w:hAnsiTheme="majorHAnsi" w:eastAsiaTheme="majorEastAsia" w:cstheme="majorBidi"/>
      <w:b/>
      <w:bCs/>
      <w:sz w:val="32"/>
      <w:szCs w:val="32"/>
    </w:rPr>
  </w:style>
  <w:style w:type="character" w:customStyle="1" w:styleId="20">
    <w:name w:val="标题 2 字符1"/>
    <w:link w:val="3"/>
    <w:autoRedefine/>
    <w:qFormat/>
    <w:uiPriority w:val="9"/>
    <w:rPr>
      <w:rFonts w:ascii="宋体" w:hAnsi="宋体" w:eastAsia="宋体" w:cs="宋体"/>
      <w:b/>
      <w:bCs/>
      <w:kern w:val="0"/>
      <w:sz w:val="28"/>
      <w:szCs w:val="28"/>
    </w:rPr>
  </w:style>
  <w:style w:type="character" w:customStyle="1" w:styleId="21">
    <w:name w:val="标题 3 字符"/>
    <w:basedOn w:val="15"/>
    <w:link w:val="4"/>
    <w:autoRedefine/>
    <w:semiHidden/>
    <w:qFormat/>
    <w:uiPriority w:val="9"/>
    <w:rPr>
      <w:b/>
      <w:bCs/>
      <w:sz w:val="32"/>
      <w:szCs w:val="32"/>
    </w:rPr>
  </w:style>
  <w:style w:type="character" w:customStyle="1" w:styleId="22">
    <w:name w:val="标题 4 字符"/>
    <w:basedOn w:val="15"/>
    <w:link w:val="5"/>
    <w:autoRedefine/>
    <w:semiHidden/>
    <w:qFormat/>
    <w:uiPriority w:val="9"/>
    <w:rPr>
      <w:rFonts w:asciiTheme="majorHAnsi" w:hAnsiTheme="majorHAnsi" w:eastAsiaTheme="majorEastAsia" w:cstheme="majorBidi"/>
      <w:b/>
      <w:bCs/>
      <w:sz w:val="28"/>
      <w:szCs w:val="28"/>
    </w:rPr>
  </w:style>
  <w:style w:type="character" w:customStyle="1" w:styleId="23">
    <w:name w:val="标题 字符"/>
    <w:basedOn w:val="15"/>
    <w:link w:val="11"/>
    <w:autoRedefine/>
    <w:qFormat/>
    <w:uiPriority w:val="10"/>
    <w:rPr>
      <w:rFonts w:ascii="黑体" w:hAnsi="黑体" w:eastAsia="黑体" w:cs="黑体"/>
      <w:b/>
      <w:bCs/>
      <w:sz w:val="24"/>
      <w:szCs w:val="24"/>
    </w:rPr>
  </w:style>
  <w:style w:type="character" w:customStyle="1" w:styleId="24">
    <w:name w:val="页眉 字符"/>
    <w:basedOn w:val="15"/>
    <w:link w:val="8"/>
    <w:autoRedefine/>
    <w:qFormat/>
    <w:uiPriority w:val="99"/>
    <w:rPr>
      <w:sz w:val="18"/>
      <w:szCs w:val="18"/>
    </w:rPr>
  </w:style>
  <w:style w:type="character" w:customStyle="1" w:styleId="25">
    <w:name w:val="页脚 字符"/>
    <w:basedOn w:val="15"/>
    <w:link w:val="7"/>
    <w:autoRedefine/>
    <w:qFormat/>
    <w:uiPriority w:val="99"/>
    <w:rPr>
      <w:sz w:val="18"/>
      <w:szCs w:val="18"/>
    </w:rPr>
  </w:style>
  <w:style w:type="character" w:customStyle="1" w:styleId="26">
    <w:name w:val="标题 1 字符"/>
    <w:basedOn w:val="15"/>
    <w:link w:val="2"/>
    <w:autoRedefine/>
    <w:qFormat/>
    <w:uiPriority w:val="0"/>
    <w:rPr>
      <w:rFonts w:ascii="Calibri" w:hAnsi="Calibri" w:eastAsia="宋体" w:cs="Times New Roman"/>
      <w:b/>
      <w:bCs/>
      <w:kern w:val="44"/>
      <w:sz w:val="44"/>
      <w:szCs w:val="44"/>
    </w:rPr>
  </w:style>
  <w:style w:type="character" w:customStyle="1" w:styleId="27">
    <w:name w:val="副标题 字符"/>
    <w:basedOn w:val="15"/>
    <w:link w:val="9"/>
    <w:autoRedefine/>
    <w:qFormat/>
    <w:uiPriority w:val="0"/>
    <w:rPr>
      <w:rFonts w:ascii="Calibri" w:hAnsi="Calibri" w:eastAsia="楷体" w:cs="Times New Roman"/>
      <w:b/>
      <w:bCs/>
      <w:kern w:val="28"/>
      <w:szCs w:val="32"/>
    </w:rPr>
  </w:style>
  <w:style w:type="paragraph" w:styleId="28">
    <w:name w:val="List Paragraph"/>
    <w:basedOn w:val="1"/>
    <w:autoRedefine/>
    <w:qFormat/>
    <w:uiPriority w:val="34"/>
    <w:pPr>
      <w:ind w:firstLine="420" w:firstLineChars="200"/>
    </w:pPr>
  </w:style>
  <w:style w:type="paragraph" w:customStyle="1" w:styleId="29">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0">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1">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2">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3">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4">
    <w:name w:val="font31"/>
    <w:basedOn w:val="15"/>
    <w:qFormat/>
    <w:uiPriority w:val="0"/>
    <w:rPr>
      <w:rFonts w:hint="eastAsia" w:ascii="华文楷体" w:hAnsi="华文楷体" w:eastAsia="华文楷体" w:cs="华文楷体"/>
      <w:color w:val="000000"/>
      <w:sz w:val="22"/>
      <w:szCs w:val="22"/>
      <w:u w:val="none"/>
      <w:vertAlign w:val="subscript"/>
    </w:rPr>
  </w:style>
  <w:style w:type="character" w:customStyle="1" w:styleId="35">
    <w:name w:val="font21"/>
    <w:basedOn w:val="15"/>
    <w:qFormat/>
    <w:uiPriority w:val="0"/>
    <w:rPr>
      <w:rFonts w:hint="eastAsia" w:ascii="华文楷体" w:hAnsi="华文楷体" w:eastAsia="华文楷体" w:cs="华文楷体"/>
      <w:color w:val="000000"/>
      <w:sz w:val="22"/>
      <w:szCs w:val="22"/>
      <w:u w:val="none"/>
    </w:rPr>
  </w:style>
  <w:style w:type="character" w:customStyle="1" w:styleId="36">
    <w:name w:val="font41"/>
    <w:basedOn w:val="15"/>
    <w:qFormat/>
    <w:uiPriority w:val="0"/>
    <w:rPr>
      <w:rFonts w:hint="eastAsia" w:ascii="华文楷体" w:hAnsi="华文楷体" w:eastAsia="华文楷体" w:cs="华文楷体"/>
      <w:color w:val="000000"/>
      <w:sz w:val="22"/>
      <w:szCs w:val="22"/>
      <w:u w:val="none"/>
      <w:vertAlign w:val="superscript"/>
    </w:rPr>
  </w:style>
  <w:style w:type="character" w:customStyle="1" w:styleId="37">
    <w:name w:val="font11"/>
    <w:basedOn w:val="15"/>
    <w:qFormat/>
    <w:uiPriority w:val="0"/>
    <w:rPr>
      <w:rFonts w:hint="eastAsia" w:ascii="华文楷体" w:hAnsi="华文楷体" w:eastAsia="华文楷体" w:cs="华文楷体"/>
      <w:color w:val="000000"/>
      <w:sz w:val="22"/>
      <w:szCs w:val="22"/>
      <w:u w:val="none"/>
    </w:rPr>
  </w:style>
  <w:style w:type="paragraph" w:customStyle="1" w:styleId="38">
    <w:name w:val="EndNote Bibliography"/>
    <w:basedOn w:val="1"/>
    <w:autoRedefine/>
    <w:qFormat/>
    <w:uiPriority w:val="0"/>
    <w:pPr>
      <w:ind w:firstLine="200" w:firstLineChars="200"/>
      <w:jc w:val="left"/>
    </w:pPr>
    <w:rPr>
      <w:sz w:val="20"/>
    </w:rPr>
  </w:style>
  <w:style w:type="paragraph" w:customStyle="1" w:styleId="39">
    <w:name w:val="列出段落1"/>
    <w:basedOn w:val="1"/>
    <w:qFormat/>
    <w:uiPriority w:val="34"/>
    <w:pPr>
      <w:ind w:firstLine="420" w:firstLineChars="200"/>
    </w:pPr>
  </w:style>
  <w:style w:type="paragraph" w:customStyle="1" w:styleId="40">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4900</Words>
  <Characters>5468</Characters>
  <Lines>35</Lines>
  <Paragraphs>9</Paragraphs>
  <TotalTime>0</TotalTime>
  <ScaleCrop>false</ScaleCrop>
  <LinksUpToDate>false</LinksUpToDate>
  <CharactersWithSpaces>5560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2026-05-07T07:37:00Z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