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2E83519E">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浓硫酸输送管道泄漏监测技术</w:t>
      </w:r>
    </w:p>
    <w:p w14:paraId="7A9F4B57">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常贵宁 常桂林</w:t>
      </w:r>
    </w:p>
    <w:p w14:paraId="3A3EC8AC">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东营五色石测漏技术有限公司</w:t>
      </w:r>
    </w:p>
    <w:p w14:paraId="45BE845D">
      <w:pPr>
        <w:keepNext w:val="0"/>
        <w:keepLines w:val="0"/>
        <w:pageBreakBefore w:val="0"/>
        <w:widowControl w:val="0"/>
        <w:kinsoku/>
        <w:wordWrap/>
        <w:overflowPunct/>
        <w:topLinePunct w:val="0"/>
        <w:autoSpaceDE/>
        <w:autoSpaceDN/>
        <w:bidi w:val="0"/>
        <w:adjustRightInd/>
        <w:snapToGrid w:val="0"/>
        <w:spacing w:line="400" w:lineRule="exact"/>
        <w:ind w:firstLine="566" w:firstLineChars="236"/>
        <w:textAlignment w:val="auto"/>
        <w:rPr>
          <w:rFonts w:hint="eastAsia" w:ascii="宋体" w:hAnsi="宋体"/>
          <w:sz w:val="24"/>
          <w:szCs w:val="20"/>
        </w:rPr>
      </w:pPr>
    </w:p>
    <w:p w14:paraId="01C2ABE5">
      <w:pPr>
        <w:keepNext w:val="0"/>
        <w:keepLines w:val="0"/>
        <w:pageBreakBefore w:val="0"/>
        <w:widowControl w:val="0"/>
        <w:kinsoku/>
        <w:wordWrap/>
        <w:overflowPunct/>
        <w:topLinePunct w:val="0"/>
        <w:autoSpaceDE/>
        <w:autoSpaceDN/>
        <w:bidi w:val="0"/>
        <w:adjustRightInd/>
        <w:snapToGrid w:val="0"/>
        <w:spacing w:line="400" w:lineRule="exact"/>
        <w:ind w:firstLine="495" w:firstLineChars="236"/>
        <w:textAlignment w:val="auto"/>
        <w:rPr>
          <w:rFonts w:hint="eastAsia" w:ascii="宋体" w:hAnsi="宋体" w:eastAsia="宋体" w:cs="宋体"/>
          <w:sz w:val="21"/>
          <w:szCs w:val="21"/>
        </w:rPr>
      </w:pPr>
      <w:r>
        <w:rPr>
          <w:rFonts w:hint="eastAsia" w:ascii="宋体" w:hAnsi="宋体" w:eastAsia="宋体" w:cs="宋体"/>
          <w:sz w:val="21"/>
          <w:szCs w:val="21"/>
        </w:rPr>
        <w:t>众所周知，硫酸特别是浓硫酸是极其危险的化工介质。硫酸输送管道即使发生渗漏也极有可能造成严重的后果，轻则造成物料的损失，影响正常生产，重则造成人身伤亡事故，危害社会安全稳定。为了确保输酸管道的安全可靠运行，实现对其泄漏乃至渗漏的在线监测非常必要。通过在线的泄漏监测，可以及时发现泄漏事件，及早采取措施制止泄漏，减少泄漏量及其造成的损失和人身伤亡事故，保障安全，保护环境。</w:t>
      </w:r>
    </w:p>
    <w:p w14:paraId="2B1CD198">
      <w:pPr>
        <w:pStyle w:val="7"/>
        <w:keepNext w:val="0"/>
        <w:keepLines w:val="0"/>
        <w:pageBreakBefore w:val="0"/>
        <w:widowControl w:val="0"/>
        <w:kinsoku/>
        <w:wordWrap/>
        <w:overflowPunct/>
        <w:topLinePunct w:val="0"/>
        <w:autoSpaceDE/>
        <w:autoSpaceDN/>
        <w:bidi w:val="0"/>
        <w:adjustRightIn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对于输酸管道泄漏及渗漏的监测，目前有两种方法，一种是基于管道内部介质工艺参数如压力、流量的变化判断泄漏发生的测漏系统，常用技术原理是“负压波＋输差分析”两种方法；另一种是敷设在管道外部的感酸电缆以及采用传感器监测某些重要监控点的方式。</w:t>
      </w:r>
    </w:p>
    <w:p w14:paraId="4849D21F">
      <w:pPr>
        <w:pStyle w:val="7"/>
        <w:keepNext w:val="0"/>
        <w:keepLines w:val="0"/>
        <w:pageBreakBefore w:val="0"/>
        <w:widowControl w:val="0"/>
        <w:kinsoku/>
        <w:wordWrap/>
        <w:overflowPunct/>
        <w:topLinePunct w:val="0"/>
        <w:autoSpaceDE/>
        <w:autoSpaceDN/>
        <w:bidi w:val="0"/>
        <w:adjustRightInd/>
        <w:spacing w:line="400" w:lineRule="exact"/>
        <w:ind w:firstLine="498" w:firstLineChars="236"/>
        <w:textAlignment w:val="auto"/>
        <w:rPr>
          <w:rFonts w:hint="eastAsia" w:ascii="宋体" w:hAnsi="宋体" w:eastAsia="宋体" w:cs="宋体"/>
          <w:b/>
          <w:bCs/>
          <w:color w:val="000000"/>
          <w:sz w:val="21"/>
          <w:szCs w:val="21"/>
        </w:rPr>
      </w:pPr>
      <w:r>
        <w:rPr>
          <w:rFonts w:hint="eastAsia" w:ascii="宋体" w:hAnsi="宋体" w:eastAsia="宋体" w:cs="宋体"/>
          <w:b/>
          <w:bCs/>
          <w:color w:val="000000"/>
          <w:sz w:val="21"/>
          <w:szCs w:val="21"/>
        </w:rPr>
        <w:t>1 内监测方法</w:t>
      </w:r>
    </w:p>
    <w:p w14:paraId="77E7B258">
      <w:pPr>
        <w:pStyle w:val="7"/>
        <w:keepNext w:val="0"/>
        <w:keepLines w:val="0"/>
        <w:pageBreakBefore w:val="0"/>
        <w:widowControl w:val="0"/>
        <w:kinsoku/>
        <w:wordWrap/>
        <w:overflowPunct/>
        <w:topLinePunct w:val="0"/>
        <w:autoSpaceDE/>
        <w:autoSpaceDN/>
        <w:bidi w:val="0"/>
        <w:adjustRightIn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drawing>
          <wp:inline distT="0" distB="0" distL="114300" distR="114300">
            <wp:extent cx="4689475" cy="2479040"/>
            <wp:effectExtent l="0" t="0" r="0" b="0"/>
            <wp:docPr id="1" name="图片 1" descr="系统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系统示意图"/>
                    <pic:cNvPicPr>
                      <a:picLocks noChangeAspect="1"/>
                    </pic:cNvPicPr>
                  </pic:nvPicPr>
                  <pic:blipFill>
                    <a:blip r:embed="rId4"/>
                    <a:stretch>
                      <a:fillRect/>
                    </a:stretch>
                  </pic:blipFill>
                  <pic:spPr>
                    <a:xfrm>
                      <a:off x="0" y="0"/>
                      <a:ext cx="4689475" cy="2479040"/>
                    </a:xfrm>
                    <a:prstGeom prst="rect">
                      <a:avLst/>
                    </a:prstGeom>
                    <a:noFill/>
                    <a:ln>
                      <a:noFill/>
                    </a:ln>
                  </pic:spPr>
                </pic:pic>
              </a:graphicData>
            </a:graphic>
          </wp:inline>
        </w:drawing>
      </w:r>
    </w:p>
    <w:p w14:paraId="52F76BE0">
      <w:pPr>
        <w:pStyle w:val="7"/>
        <w:keepNext w:val="0"/>
        <w:keepLines w:val="0"/>
        <w:pageBreakBefore w:val="0"/>
        <w:widowControl w:val="0"/>
        <w:kinsoku/>
        <w:wordWrap/>
        <w:overflowPunct/>
        <w:topLinePunct w:val="0"/>
        <w:autoSpaceDE/>
        <w:autoSpaceDN/>
        <w:bidi w:val="0"/>
        <w:adjustRightInd/>
        <w:spacing w:line="400" w:lineRule="exact"/>
        <w:ind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图1 硫酸管道泄漏监测系统构成示意图</w:t>
      </w:r>
    </w:p>
    <w:p w14:paraId="0D747C17">
      <w:pPr>
        <w:pStyle w:val="7"/>
        <w:keepNext w:val="0"/>
        <w:keepLines w:val="0"/>
        <w:pageBreakBefore w:val="0"/>
        <w:widowControl w:val="0"/>
        <w:kinsoku/>
        <w:wordWrap/>
        <w:overflowPunct/>
        <w:topLinePunct w:val="0"/>
        <w:autoSpaceDE/>
        <w:autoSpaceDN/>
        <w:bidi w:val="0"/>
        <w:adjustRightIn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负压波法是指，当长输管道发生泄漏时，由于管道内外的压差，使泄漏处的压力突降，泄漏处周围的液体由于压差的存在向泄漏处补充，在管道内产生负压波动，从泄漏点向上、下游传播。管道两端的压力传感器接收管道的瞬变压力信息，而判断泄漏的发生，通过测量泄漏时产生的瞬时压力波到达上游、下游两端的时间差和管道内的压力波的传播速度计算出泄漏点的位置。</w:t>
      </w:r>
    </w:p>
    <w:p w14:paraId="6520EF31">
      <w:pPr>
        <w:pStyle w:val="7"/>
        <w:keepNext w:val="0"/>
        <w:keepLines w:val="0"/>
        <w:pageBreakBefore w:val="0"/>
        <w:widowControl w:val="0"/>
        <w:kinsoku/>
        <w:wordWrap/>
        <w:overflowPunct/>
        <w:topLinePunct w:val="0"/>
        <w:autoSpaceDE/>
        <w:autoSpaceDN/>
        <w:bidi w:val="0"/>
        <w:adjustRightIn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所谓输差分析法，管道在正常运行状态下，管道输入和输出流量应该相等，泄漏发生时必然产生流量差，上游泵站的流量增大，下游泵站的流量减少。</w:t>
      </w:r>
    </w:p>
    <w:p w14:paraId="52335DE7">
      <w:pPr>
        <w:pStyle w:val="7"/>
        <w:keepNext w:val="0"/>
        <w:keepLines w:val="0"/>
        <w:pageBreakBefore w:val="0"/>
        <w:widowControl w:val="0"/>
        <w:kinsoku/>
        <w:wordWrap/>
        <w:overflowPunct/>
        <w:topLinePunct w:val="0"/>
        <w:autoSpaceDE/>
        <w:autoSpaceDN/>
        <w:bidi w:val="0"/>
        <w:adjustRightIn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“负压波+输差分析法”适用于监测突发性泄漏，缺点是对于渗漏不敏感。</w:t>
      </w:r>
    </w:p>
    <w:p w14:paraId="19CCD8E1">
      <w:pPr>
        <w:pStyle w:val="7"/>
        <w:keepNext w:val="0"/>
        <w:keepLines w:val="0"/>
        <w:pageBreakBefore w:val="0"/>
        <w:widowControl w:val="0"/>
        <w:kinsoku/>
        <w:wordWrap/>
        <w:overflowPunct/>
        <w:topLinePunct w:val="0"/>
        <w:autoSpaceDE/>
        <w:autoSpaceDN/>
        <w:bidi w:val="0"/>
        <w:adjustRightInd/>
        <w:spacing w:line="400" w:lineRule="exact"/>
        <w:ind w:firstLine="498" w:firstLineChars="236"/>
        <w:textAlignment w:val="auto"/>
        <w:rPr>
          <w:rFonts w:hint="eastAsia" w:ascii="宋体" w:hAnsi="宋体" w:eastAsia="宋体" w:cs="宋体"/>
          <w:b/>
          <w:bCs/>
          <w:color w:val="000000"/>
          <w:sz w:val="21"/>
          <w:szCs w:val="21"/>
        </w:rPr>
      </w:pPr>
      <w:r>
        <w:rPr>
          <w:rFonts w:hint="eastAsia" w:ascii="宋体" w:hAnsi="宋体" w:eastAsia="宋体" w:cs="宋体"/>
          <w:b/>
          <w:bCs/>
          <w:color w:val="000000"/>
          <w:sz w:val="21"/>
          <w:szCs w:val="21"/>
        </w:rPr>
        <w:t>2 外监测方法</w:t>
      </w:r>
    </w:p>
    <w:p w14:paraId="2BA01F14">
      <w:pPr>
        <w:pStyle w:val="7"/>
        <w:keepNext w:val="0"/>
        <w:keepLines w:val="0"/>
        <w:pageBreakBefore w:val="0"/>
        <w:widowControl w:val="0"/>
        <w:kinsoku/>
        <w:wordWrap/>
        <w:overflowPunct/>
        <w:topLinePunct w:val="0"/>
        <w:autoSpaceDE/>
        <w:autoSpaceDN/>
        <w:bidi w:val="0"/>
        <w:adjustRightInd/>
        <w:spacing w:line="400" w:lineRule="exact"/>
        <w:ind w:firstLine="498" w:firstLineChars="236"/>
        <w:textAlignment w:val="auto"/>
        <w:rPr>
          <w:rFonts w:hint="eastAsia" w:ascii="宋体" w:hAnsi="宋体" w:eastAsia="宋体" w:cs="宋体"/>
          <w:b/>
          <w:bCs/>
          <w:color w:val="000000"/>
          <w:sz w:val="21"/>
          <w:szCs w:val="21"/>
        </w:rPr>
      </w:pPr>
      <w:r>
        <w:rPr>
          <w:rFonts w:hint="eastAsia" w:ascii="宋体" w:hAnsi="宋体" w:eastAsia="宋体" w:cs="宋体"/>
          <w:b/>
          <w:bCs/>
          <w:color w:val="000000"/>
          <w:sz w:val="21"/>
          <w:szCs w:val="21"/>
        </w:rPr>
        <w:t>2.1  线监测</w:t>
      </w:r>
    </w:p>
    <w:p w14:paraId="01D4FC7C">
      <w:pPr>
        <w:pStyle w:val="7"/>
        <w:keepNext w:val="0"/>
        <w:keepLines w:val="0"/>
        <w:pageBreakBefore w:val="0"/>
        <w:widowControl w:val="0"/>
        <w:kinsoku/>
        <w:wordWrap/>
        <w:overflowPunct/>
        <w:topLinePunct w:val="0"/>
        <w:autoSpaceDE/>
        <w:autoSpaceDN/>
        <w:bidi w:val="0"/>
        <w:adjustRightInd/>
        <w:spacing w:line="400" w:lineRule="exact"/>
        <w:ind w:firstLine="495" w:firstLineChars="236"/>
        <w:textAlignment w:val="auto"/>
        <w:rPr>
          <w:rFonts w:hint="eastAsia" w:ascii="宋体" w:hAnsi="宋体" w:eastAsia="宋体" w:cs="宋体"/>
          <w:sz w:val="21"/>
          <w:szCs w:val="21"/>
        </w:rPr>
      </w:pPr>
      <w:r>
        <w:rPr>
          <w:rFonts w:hint="eastAsia" w:ascii="宋体" w:hAnsi="宋体" w:eastAsia="宋体" w:cs="宋体"/>
          <w:sz w:val="21"/>
          <w:szCs w:val="21"/>
        </w:rPr>
        <w:t>美国瑞侃TT7000感酸线缆专门用于浓硫酸的泄漏监测，感酸电缆在电极导线外覆盖了特殊的聚合物涂层，正常情况下为绝缘，它沿管道外部敷设，一旦硫酸泄漏，当有强酸接触到电缆后，该涂层将会溶解，从而导致两根导线短路。但是其监测长度最长仅300米，价格昂贵，达到上千元每米，且只能用于浓硫酸，实践中应用很少。</w:t>
      </w:r>
    </w:p>
    <w:p w14:paraId="0644BFD7">
      <w:pPr>
        <w:pStyle w:val="7"/>
        <w:keepNext w:val="0"/>
        <w:keepLines w:val="0"/>
        <w:pageBreakBefore w:val="0"/>
        <w:widowControl w:val="0"/>
        <w:kinsoku/>
        <w:wordWrap/>
        <w:overflowPunct/>
        <w:topLinePunct w:val="0"/>
        <w:autoSpaceDE/>
        <w:autoSpaceDN/>
        <w:bidi w:val="0"/>
        <w:adjustRightInd/>
        <w:spacing w:line="400" w:lineRule="exact"/>
        <w:ind w:firstLine="498" w:firstLineChars="236"/>
        <w:textAlignment w:val="auto"/>
        <w:rPr>
          <w:rFonts w:hint="eastAsia" w:ascii="宋体" w:hAnsi="宋体" w:eastAsia="宋体" w:cs="宋体"/>
          <w:b/>
          <w:bCs/>
          <w:color w:val="000000"/>
          <w:sz w:val="21"/>
          <w:szCs w:val="21"/>
        </w:rPr>
      </w:pPr>
      <w:r>
        <w:rPr>
          <w:rFonts w:hint="eastAsia" w:ascii="宋体" w:hAnsi="宋体" w:eastAsia="宋体" w:cs="宋体"/>
          <w:b/>
          <w:bCs/>
          <w:color w:val="000000"/>
          <w:sz w:val="21"/>
          <w:szCs w:val="21"/>
        </w:rPr>
        <w:t>2.2 点监测</w:t>
      </w:r>
    </w:p>
    <w:p w14:paraId="3BA5F5E5">
      <w:pPr>
        <w:pStyle w:val="7"/>
        <w:keepNext w:val="0"/>
        <w:keepLines w:val="0"/>
        <w:pageBreakBefore w:val="0"/>
        <w:widowControl w:val="0"/>
        <w:kinsoku/>
        <w:wordWrap/>
        <w:overflowPunct/>
        <w:topLinePunct w:val="0"/>
        <w:autoSpaceDE/>
        <w:autoSpaceDN/>
        <w:bidi w:val="0"/>
        <w:adjustRightInd/>
        <w:spacing w:line="400" w:lineRule="exact"/>
        <w:ind w:firstLine="495" w:firstLineChars="236"/>
        <w:textAlignment w:val="auto"/>
        <w:rPr>
          <w:rFonts w:hint="eastAsia" w:ascii="宋体" w:hAnsi="宋体" w:eastAsia="宋体" w:cs="宋体"/>
          <w:sz w:val="21"/>
          <w:szCs w:val="21"/>
        </w:rPr>
      </w:pPr>
      <w:r>
        <w:rPr>
          <w:rFonts w:hint="eastAsia" w:ascii="宋体" w:hAnsi="宋体" w:eastAsia="宋体" w:cs="宋体"/>
          <w:sz w:val="21"/>
          <w:szCs w:val="21"/>
        </w:rPr>
        <w:t>在硫酸管道沿线重点部位分布液体传感器的方法，通过现场布置于硫酸管道多点位的传感器，通过数据传输将监测数据传输至云监控平台，有点是可以监测管道液体微量渗漏，缺点是非连续性，只能监测法兰、阀门等重要监控点的部分管道，难以全程监测。</w:t>
      </w:r>
    </w:p>
    <w:p w14:paraId="0EA56448">
      <w:pPr>
        <w:pStyle w:val="7"/>
        <w:keepNext w:val="0"/>
        <w:keepLines w:val="0"/>
        <w:pageBreakBefore w:val="0"/>
        <w:widowControl w:val="0"/>
        <w:kinsoku/>
        <w:wordWrap/>
        <w:overflowPunct/>
        <w:topLinePunct w:val="0"/>
        <w:autoSpaceDE/>
        <w:autoSpaceDN/>
        <w:bidi w:val="0"/>
        <w:adjustRightInd/>
        <w:spacing w:line="400" w:lineRule="exact"/>
        <w:ind w:firstLine="498" w:firstLineChars="236"/>
        <w:textAlignment w:val="auto"/>
        <w:rPr>
          <w:rFonts w:hint="eastAsia" w:ascii="宋体" w:hAnsi="宋体" w:eastAsia="宋体" w:cs="宋体"/>
          <w:b/>
          <w:bCs/>
          <w:color w:val="000000"/>
          <w:sz w:val="21"/>
          <w:szCs w:val="21"/>
        </w:rPr>
      </w:pPr>
      <w:r>
        <w:rPr>
          <w:rFonts w:hint="eastAsia" w:ascii="宋体" w:hAnsi="宋体" w:eastAsia="宋体" w:cs="宋体"/>
          <w:b/>
          <w:bCs/>
          <w:color w:val="000000"/>
          <w:sz w:val="21"/>
          <w:szCs w:val="21"/>
        </w:rPr>
        <w:t>3 应用案例</w:t>
      </w:r>
    </w:p>
    <w:p w14:paraId="12461DC3">
      <w:pPr>
        <w:pStyle w:val="7"/>
        <w:keepNext w:val="0"/>
        <w:keepLines w:val="0"/>
        <w:pageBreakBefore w:val="0"/>
        <w:widowControl w:val="0"/>
        <w:kinsoku/>
        <w:wordWrap/>
        <w:overflowPunct/>
        <w:topLinePunct w:val="0"/>
        <w:autoSpaceDE/>
        <w:autoSpaceDN/>
        <w:bidi w:val="0"/>
        <w:adjustRightInd/>
        <w:spacing w:line="400" w:lineRule="exact"/>
        <w:ind w:firstLine="495" w:firstLineChars="236"/>
        <w:textAlignment w:val="auto"/>
        <w:rPr>
          <w:rFonts w:hint="eastAsia" w:ascii="宋体" w:hAnsi="宋体" w:eastAsia="宋体" w:cs="宋体"/>
          <w:sz w:val="21"/>
          <w:szCs w:val="21"/>
        </w:rPr>
      </w:pPr>
      <w:r>
        <w:rPr>
          <w:rFonts w:hint="eastAsia" w:ascii="宋体" w:hAnsi="宋体" w:eastAsia="宋体" w:cs="宋体"/>
          <w:sz w:val="21"/>
          <w:szCs w:val="21"/>
        </w:rPr>
        <w:t>印尼默迪卡青山有限责任公司（MIT）AIM项目有4条管线，介质分别是浓硫酸、稀硫酸、盐酸，管径分别为DN200、DN125mm，管线长度是1.5km。管道材质为HDPE复合管，全程架空敷设。为了保障输酸管道安全运行，业主经过认真调研，选用了五色石提供的长输管道泄漏监测系统，采用在液体管道上成熟、可靠的“负压波+输差分析”两种测漏技术原理，实现对浓硫酸管道泄漏的实时监测，管道一旦发生泄漏或渗漏，系统会自动报警，并给出泄漏点位置。该项目泄漏监测系统运抵烟台港发货，完成设备交付，进入现场安装阶段。</w:t>
      </w:r>
    </w:p>
    <w:p w14:paraId="788B7C46">
      <w:pPr>
        <w:pStyle w:val="7"/>
        <w:keepNext w:val="0"/>
        <w:keepLines w:val="0"/>
        <w:pageBreakBefore w:val="0"/>
        <w:widowControl w:val="0"/>
        <w:kinsoku/>
        <w:wordWrap/>
        <w:overflowPunct/>
        <w:topLinePunct w:val="0"/>
        <w:autoSpaceDE/>
        <w:autoSpaceDN/>
        <w:bidi w:val="0"/>
        <w:adjustRightInd/>
        <w:spacing w:line="400" w:lineRule="exact"/>
        <w:ind w:firstLine="495" w:firstLineChars="236"/>
        <w:textAlignment w:val="auto"/>
        <w:rPr>
          <w:rFonts w:hint="eastAsia" w:ascii="宋体" w:hAnsi="宋体" w:eastAsia="宋体" w:cs="宋体"/>
          <w:sz w:val="21"/>
          <w:szCs w:val="21"/>
        </w:rPr>
      </w:pPr>
      <w:r>
        <w:rPr>
          <w:rFonts w:hint="eastAsia" w:ascii="宋体" w:hAnsi="宋体" w:eastAsia="宋体" w:cs="宋体"/>
          <w:sz w:val="21"/>
          <w:szCs w:val="21"/>
        </w:rPr>
        <w:t>赤峰某硫酸管道安装了一种基于液体传感器的系统，系统由监测软件、测漏传感器带和配件组成，一旦出现硫酸泄漏情况，泄漏监测系统会联动控制外接设备以声光报警、短信及监测软件平台发出报警等方式，及时告知值班人员及时发现漏液并处理。</w:t>
      </w:r>
    </w:p>
    <w:p w14:paraId="3787B490">
      <w:pPr>
        <w:pStyle w:val="7"/>
        <w:keepNext w:val="0"/>
        <w:keepLines w:val="0"/>
        <w:pageBreakBefore w:val="0"/>
        <w:widowControl w:val="0"/>
        <w:kinsoku/>
        <w:wordWrap/>
        <w:overflowPunct/>
        <w:topLinePunct w:val="0"/>
        <w:autoSpaceDE/>
        <w:autoSpaceDN/>
        <w:bidi w:val="0"/>
        <w:adjustRightInd/>
        <w:spacing w:line="400" w:lineRule="exact"/>
        <w:ind w:firstLine="498" w:firstLineChars="236"/>
        <w:textAlignment w:val="auto"/>
        <w:rPr>
          <w:rFonts w:hint="eastAsia" w:ascii="宋体" w:hAnsi="宋体" w:eastAsia="宋体" w:cs="宋体"/>
          <w:b/>
          <w:bCs/>
          <w:color w:val="000000"/>
          <w:sz w:val="21"/>
          <w:szCs w:val="21"/>
        </w:rPr>
      </w:pPr>
      <w:r>
        <w:rPr>
          <w:rFonts w:hint="eastAsia" w:ascii="宋体" w:hAnsi="宋体" w:eastAsia="宋体" w:cs="宋体"/>
          <w:b/>
          <w:bCs/>
          <w:color w:val="000000"/>
          <w:sz w:val="21"/>
          <w:szCs w:val="21"/>
        </w:rPr>
        <w:t>4 发展方向</w:t>
      </w:r>
    </w:p>
    <w:p w14:paraId="216EC5DA">
      <w:pPr>
        <w:pStyle w:val="7"/>
        <w:keepNext w:val="0"/>
        <w:keepLines w:val="0"/>
        <w:pageBreakBefore w:val="0"/>
        <w:widowControl w:val="0"/>
        <w:kinsoku/>
        <w:wordWrap/>
        <w:overflowPunct/>
        <w:topLinePunct w:val="0"/>
        <w:autoSpaceDE/>
        <w:autoSpaceDN/>
        <w:bidi w:val="0"/>
        <w:adjustRightInd/>
        <w:spacing w:line="400" w:lineRule="exact"/>
        <w:ind w:firstLine="495" w:firstLineChars="236"/>
        <w:textAlignment w:val="auto"/>
        <w:rPr>
          <w:rFonts w:hint="eastAsia" w:ascii="宋体" w:hAnsi="宋体" w:eastAsia="宋体" w:cs="宋体"/>
          <w:sz w:val="21"/>
          <w:szCs w:val="21"/>
        </w:rPr>
      </w:pPr>
      <w:r>
        <w:rPr>
          <w:rFonts w:hint="eastAsia" w:ascii="宋体" w:hAnsi="宋体" w:eastAsia="宋体" w:cs="宋体"/>
          <w:sz w:val="21"/>
          <w:szCs w:val="21"/>
        </w:rPr>
        <w:t>硫酸管道的泄漏监测技术的研究与应用刚刚开始，尚处于方兴未艾的初始阶段，在用输酸管道基本上都没有安装在线的泄漏监测，存在巨大的安全隐患和发展空间。完善的泄漏监测方案需要内外监测，既有监测内部参数的内监测技术，也要有监测管道外部渗漏的外监测技术，内外结合，才能确保即使发现泄漏与渗漏，避免发生人身伤亡事故，确保管道长期安全运行。</w:t>
      </w:r>
    </w:p>
    <w:p w14:paraId="0B69878D">
      <w:pPr>
        <w:pStyle w:val="7"/>
        <w:keepNext w:val="0"/>
        <w:keepLines w:val="0"/>
        <w:pageBreakBefore w:val="0"/>
        <w:widowControl w:val="0"/>
        <w:kinsoku/>
        <w:wordWrap/>
        <w:overflowPunct/>
        <w:topLinePunct w:val="0"/>
        <w:autoSpaceDE/>
        <w:autoSpaceDN/>
        <w:bidi w:val="0"/>
        <w:adjustRightInd/>
        <w:spacing w:line="400" w:lineRule="exact"/>
        <w:textAlignment w:val="auto"/>
        <w:rPr>
          <w:rFonts w:hint="eastAsia" w:ascii="宋体" w:hAnsi="宋体" w:eastAsia="宋体" w:cs="宋体"/>
          <w:sz w:val="21"/>
          <w:szCs w:val="21"/>
        </w:rPr>
      </w:pPr>
    </w:p>
    <w:p w14:paraId="44D61CFE">
      <w:pPr>
        <w:pStyle w:val="7"/>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eastAsia" w:ascii="宋体" w:hAnsi="宋体" w:eastAsia="宋体" w:cs="宋体"/>
          <w:b/>
          <w:sz w:val="21"/>
          <w:szCs w:val="21"/>
        </w:rPr>
      </w:pPr>
      <w:r>
        <w:rPr>
          <w:rFonts w:hint="eastAsia" w:ascii="宋体" w:hAnsi="宋体" w:eastAsia="宋体" w:cs="宋体"/>
          <w:b/>
          <w:sz w:val="21"/>
          <w:szCs w:val="21"/>
        </w:rPr>
        <w:t>参考文献</w:t>
      </w:r>
    </w:p>
    <w:p w14:paraId="23B0DEAA">
      <w:pPr>
        <w:pStyle w:val="7"/>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eastAsia" w:ascii="宋体" w:hAnsi="宋体" w:eastAsia="宋体" w:cs="宋体"/>
          <w:sz w:val="21"/>
          <w:szCs w:val="21"/>
        </w:rPr>
      </w:pPr>
      <w:r>
        <w:rPr>
          <w:rFonts w:hint="eastAsia" w:eastAsia="宋体" w:cs="宋体"/>
          <w:sz w:val="21"/>
          <w:szCs w:val="21"/>
          <w:lang w:val="en-US" w:eastAsia="zh-CN"/>
        </w:rPr>
        <w:t>[1]</w:t>
      </w:r>
      <w:r>
        <w:rPr>
          <w:rFonts w:hint="eastAsia" w:ascii="宋体" w:hAnsi="宋体" w:eastAsia="宋体" w:cs="宋体"/>
          <w:sz w:val="21"/>
          <w:szCs w:val="21"/>
        </w:rPr>
        <w:t>浓硫酸管道泄漏监测系统的设计与应用  王永胜 硫酸工业 2013年第3期</w:t>
      </w:r>
    </w:p>
    <w:p w14:paraId="68DCD035">
      <w:pPr>
        <w:pStyle w:val="7"/>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eastAsia" w:ascii="宋体" w:hAnsi="宋体" w:eastAsia="宋体" w:cs="宋体"/>
          <w:sz w:val="21"/>
          <w:szCs w:val="21"/>
        </w:rPr>
      </w:pPr>
      <w:r>
        <w:rPr>
          <w:rFonts w:hint="eastAsia" w:eastAsia="宋体" w:cs="宋体"/>
          <w:sz w:val="21"/>
          <w:szCs w:val="21"/>
          <w:lang w:val="en-US" w:eastAsia="zh-CN"/>
        </w:rPr>
        <w:t>[2]</w:t>
      </w:r>
      <w:r>
        <w:rPr>
          <w:rFonts w:hint="eastAsia" w:ascii="宋体" w:hAnsi="宋体" w:eastAsia="宋体" w:cs="宋体"/>
          <w:sz w:val="21"/>
          <w:szCs w:val="21"/>
        </w:rPr>
        <w:t>短距离浓硫酸输送管道泄漏监控技术探讨 常贵宁 硫酸工业 2014年第3期</w:t>
      </w:r>
    </w:p>
    <w:p w14:paraId="5698E06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bookmarkStart w:id="0" w:name="_GoBack"/>
      <w:bookmarkEnd w:id="0"/>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C963F3"/>
    <w:rsid w:val="01DE1C5C"/>
    <w:rsid w:val="02203B3A"/>
    <w:rsid w:val="02B86B51"/>
    <w:rsid w:val="03304250"/>
    <w:rsid w:val="0374238F"/>
    <w:rsid w:val="03A5079A"/>
    <w:rsid w:val="03C50E3C"/>
    <w:rsid w:val="03C527A5"/>
    <w:rsid w:val="03D42E2E"/>
    <w:rsid w:val="048748A1"/>
    <w:rsid w:val="04CC1D57"/>
    <w:rsid w:val="04DC643E"/>
    <w:rsid w:val="056106F1"/>
    <w:rsid w:val="05AE130F"/>
    <w:rsid w:val="05FB3670"/>
    <w:rsid w:val="06112117"/>
    <w:rsid w:val="062077BC"/>
    <w:rsid w:val="065F10D4"/>
    <w:rsid w:val="0730481F"/>
    <w:rsid w:val="076E5F7E"/>
    <w:rsid w:val="07B471FE"/>
    <w:rsid w:val="07C05BA3"/>
    <w:rsid w:val="07E3246F"/>
    <w:rsid w:val="07F7358F"/>
    <w:rsid w:val="08564759"/>
    <w:rsid w:val="08BA0844"/>
    <w:rsid w:val="091A7E4E"/>
    <w:rsid w:val="09931095"/>
    <w:rsid w:val="099834FE"/>
    <w:rsid w:val="09F00295"/>
    <w:rsid w:val="0A4B20AA"/>
    <w:rsid w:val="0AEE6ECB"/>
    <w:rsid w:val="0AFF2E86"/>
    <w:rsid w:val="0B664CB3"/>
    <w:rsid w:val="0C0E77A3"/>
    <w:rsid w:val="0C2B45A8"/>
    <w:rsid w:val="0C580AA0"/>
    <w:rsid w:val="0C8E44C1"/>
    <w:rsid w:val="0CDE6ACB"/>
    <w:rsid w:val="0CE82491"/>
    <w:rsid w:val="0CF56428"/>
    <w:rsid w:val="0D525F6F"/>
    <w:rsid w:val="0D731909"/>
    <w:rsid w:val="0DA11FD2"/>
    <w:rsid w:val="0E470192"/>
    <w:rsid w:val="0E5352AC"/>
    <w:rsid w:val="0E792F4F"/>
    <w:rsid w:val="0EC8358F"/>
    <w:rsid w:val="0F3F1AA3"/>
    <w:rsid w:val="0F543075"/>
    <w:rsid w:val="0FEE51C5"/>
    <w:rsid w:val="0FEF171B"/>
    <w:rsid w:val="0FF00FEF"/>
    <w:rsid w:val="0FF705D0"/>
    <w:rsid w:val="102313C5"/>
    <w:rsid w:val="103C5A23"/>
    <w:rsid w:val="10523A58"/>
    <w:rsid w:val="10667503"/>
    <w:rsid w:val="108035FE"/>
    <w:rsid w:val="108F6A5A"/>
    <w:rsid w:val="10B85FB1"/>
    <w:rsid w:val="10BB15FD"/>
    <w:rsid w:val="10D34B99"/>
    <w:rsid w:val="111156C1"/>
    <w:rsid w:val="111B6540"/>
    <w:rsid w:val="11407D54"/>
    <w:rsid w:val="123F1DBA"/>
    <w:rsid w:val="12CF1390"/>
    <w:rsid w:val="12DB7D35"/>
    <w:rsid w:val="12E60488"/>
    <w:rsid w:val="13001868"/>
    <w:rsid w:val="132A2A6A"/>
    <w:rsid w:val="13CB5FFB"/>
    <w:rsid w:val="145D3907"/>
    <w:rsid w:val="148A7C64"/>
    <w:rsid w:val="14B4083D"/>
    <w:rsid w:val="14DC6AD9"/>
    <w:rsid w:val="156C2EC6"/>
    <w:rsid w:val="15C56B00"/>
    <w:rsid w:val="16132CB9"/>
    <w:rsid w:val="16B20DAC"/>
    <w:rsid w:val="16B25250"/>
    <w:rsid w:val="16B8213B"/>
    <w:rsid w:val="16D2144F"/>
    <w:rsid w:val="17836BED"/>
    <w:rsid w:val="178C5AA1"/>
    <w:rsid w:val="17AD77C6"/>
    <w:rsid w:val="180933FC"/>
    <w:rsid w:val="185C6006"/>
    <w:rsid w:val="18616F2E"/>
    <w:rsid w:val="191221DB"/>
    <w:rsid w:val="19235F91"/>
    <w:rsid w:val="19800B64"/>
    <w:rsid w:val="19836A30"/>
    <w:rsid w:val="199944A6"/>
    <w:rsid w:val="19FD4A34"/>
    <w:rsid w:val="1A533F79"/>
    <w:rsid w:val="1A5A1E87"/>
    <w:rsid w:val="1B2F179A"/>
    <w:rsid w:val="1B6F3710"/>
    <w:rsid w:val="1C250273"/>
    <w:rsid w:val="1D01483C"/>
    <w:rsid w:val="1D5D57EA"/>
    <w:rsid w:val="1E171E3D"/>
    <w:rsid w:val="1EBA2EF4"/>
    <w:rsid w:val="1EC41FC5"/>
    <w:rsid w:val="1EFE3E02"/>
    <w:rsid w:val="1F576995"/>
    <w:rsid w:val="1F78690B"/>
    <w:rsid w:val="1FA40E26"/>
    <w:rsid w:val="20181E55"/>
    <w:rsid w:val="20200F8C"/>
    <w:rsid w:val="204B20BB"/>
    <w:rsid w:val="204F1D62"/>
    <w:rsid w:val="205C7FDB"/>
    <w:rsid w:val="20CA763A"/>
    <w:rsid w:val="21294361"/>
    <w:rsid w:val="21661758"/>
    <w:rsid w:val="227635D6"/>
    <w:rsid w:val="228F4698"/>
    <w:rsid w:val="22BA5BB9"/>
    <w:rsid w:val="230D784D"/>
    <w:rsid w:val="23B95F13"/>
    <w:rsid w:val="24174945"/>
    <w:rsid w:val="24212C83"/>
    <w:rsid w:val="244020ED"/>
    <w:rsid w:val="248B32E5"/>
    <w:rsid w:val="24B17D3C"/>
    <w:rsid w:val="24EE1B49"/>
    <w:rsid w:val="24FB6014"/>
    <w:rsid w:val="25867FD4"/>
    <w:rsid w:val="259C77F7"/>
    <w:rsid w:val="262A3A04"/>
    <w:rsid w:val="269C7383"/>
    <w:rsid w:val="26B66697"/>
    <w:rsid w:val="272A2BE1"/>
    <w:rsid w:val="273D46C2"/>
    <w:rsid w:val="27435A51"/>
    <w:rsid w:val="27466F3A"/>
    <w:rsid w:val="276F4A98"/>
    <w:rsid w:val="283B6E9A"/>
    <w:rsid w:val="28414686"/>
    <w:rsid w:val="287C746C"/>
    <w:rsid w:val="288D3427"/>
    <w:rsid w:val="28C3509B"/>
    <w:rsid w:val="28D44D60"/>
    <w:rsid w:val="29F55569"/>
    <w:rsid w:val="2A6D1762"/>
    <w:rsid w:val="2A9C2048"/>
    <w:rsid w:val="2AF37C49"/>
    <w:rsid w:val="2C1A3224"/>
    <w:rsid w:val="2C5F332D"/>
    <w:rsid w:val="2CA46F92"/>
    <w:rsid w:val="2CDC497D"/>
    <w:rsid w:val="2DA03BFD"/>
    <w:rsid w:val="2DA336ED"/>
    <w:rsid w:val="2DD45655"/>
    <w:rsid w:val="2E7221A8"/>
    <w:rsid w:val="2EC67693"/>
    <w:rsid w:val="2EE30245"/>
    <w:rsid w:val="2F087CAC"/>
    <w:rsid w:val="2F0E4B96"/>
    <w:rsid w:val="2F1A353B"/>
    <w:rsid w:val="2F1F6DA3"/>
    <w:rsid w:val="2F397E65"/>
    <w:rsid w:val="2F620882"/>
    <w:rsid w:val="2F633134"/>
    <w:rsid w:val="2F882B9B"/>
    <w:rsid w:val="2FA86D99"/>
    <w:rsid w:val="312F3756"/>
    <w:rsid w:val="31496359"/>
    <w:rsid w:val="315E0057"/>
    <w:rsid w:val="318D4498"/>
    <w:rsid w:val="3199108F"/>
    <w:rsid w:val="319F16AA"/>
    <w:rsid w:val="31CC4FC0"/>
    <w:rsid w:val="31F167D5"/>
    <w:rsid w:val="3216448E"/>
    <w:rsid w:val="321D581C"/>
    <w:rsid w:val="323963CE"/>
    <w:rsid w:val="3273368E"/>
    <w:rsid w:val="32963820"/>
    <w:rsid w:val="32E20814"/>
    <w:rsid w:val="337771AE"/>
    <w:rsid w:val="33C87A09"/>
    <w:rsid w:val="33F94067"/>
    <w:rsid w:val="34480B4A"/>
    <w:rsid w:val="34821AD6"/>
    <w:rsid w:val="35A52FD0"/>
    <w:rsid w:val="35D501BC"/>
    <w:rsid w:val="36407D2B"/>
    <w:rsid w:val="36BE3BE8"/>
    <w:rsid w:val="36DA26A7"/>
    <w:rsid w:val="36DB5CA6"/>
    <w:rsid w:val="37227431"/>
    <w:rsid w:val="3756532C"/>
    <w:rsid w:val="37B01725"/>
    <w:rsid w:val="38061044"/>
    <w:rsid w:val="381C3783"/>
    <w:rsid w:val="389E342F"/>
    <w:rsid w:val="38C5276A"/>
    <w:rsid w:val="39783C80"/>
    <w:rsid w:val="399551B1"/>
    <w:rsid w:val="39D619B3"/>
    <w:rsid w:val="3A445910"/>
    <w:rsid w:val="3A557B1D"/>
    <w:rsid w:val="3A726921"/>
    <w:rsid w:val="3A765FE2"/>
    <w:rsid w:val="3B653D90"/>
    <w:rsid w:val="3B7D732B"/>
    <w:rsid w:val="3BAE3989"/>
    <w:rsid w:val="3BCC3E0F"/>
    <w:rsid w:val="3BD66A3C"/>
    <w:rsid w:val="3C424796"/>
    <w:rsid w:val="3CC044ED"/>
    <w:rsid w:val="3CC25530"/>
    <w:rsid w:val="3CC52D38"/>
    <w:rsid w:val="3CD13DD3"/>
    <w:rsid w:val="3D0715A3"/>
    <w:rsid w:val="3DA212CB"/>
    <w:rsid w:val="3DBB238D"/>
    <w:rsid w:val="3DBD6105"/>
    <w:rsid w:val="3E4405D4"/>
    <w:rsid w:val="3E9C5D1B"/>
    <w:rsid w:val="3F375A43"/>
    <w:rsid w:val="3FA4757D"/>
    <w:rsid w:val="3FB6105E"/>
    <w:rsid w:val="3FE444E6"/>
    <w:rsid w:val="40583EC3"/>
    <w:rsid w:val="40642868"/>
    <w:rsid w:val="407A652F"/>
    <w:rsid w:val="40923879"/>
    <w:rsid w:val="410F592B"/>
    <w:rsid w:val="411424E0"/>
    <w:rsid w:val="41641264"/>
    <w:rsid w:val="41700BEB"/>
    <w:rsid w:val="41BD0EB2"/>
    <w:rsid w:val="426C3C56"/>
    <w:rsid w:val="42786A9F"/>
    <w:rsid w:val="42BC1743"/>
    <w:rsid w:val="42EE53FF"/>
    <w:rsid w:val="43E4263E"/>
    <w:rsid w:val="45554E75"/>
    <w:rsid w:val="459D60E3"/>
    <w:rsid w:val="45B70627"/>
    <w:rsid w:val="45C65665"/>
    <w:rsid w:val="45CA5863"/>
    <w:rsid w:val="45E5444B"/>
    <w:rsid w:val="46362EF9"/>
    <w:rsid w:val="465515D1"/>
    <w:rsid w:val="468E4AE3"/>
    <w:rsid w:val="46F54E2D"/>
    <w:rsid w:val="46FD57C4"/>
    <w:rsid w:val="47925F0D"/>
    <w:rsid w:val="47A143DA"/>
    <w:rsid w:val="47E81E53"/>
    <w:rsid w:val="48A028AB"/>
    <w:rsid w:val="48B545A9"/>
    <w:rsid w:val="495C0DBE"/>
    <w:rsid w:val="49CB1BAA"/>
    <w:rsid w:val="4A070E34"/>
    <w:rsid w:val="4A4F4589"/>
    <w:rsid w:val="4AB60164"/>
    <w:rsid w:val="4B8E06C7"/>
    <w:rsid w:val="4C934BC0"/>
    <w:rsid w:val="4CFB09F8"/>
    <w:rsid w:val="4D057181"/>
    <w:rsid w:val="4D447CA9"/>
    <w:rsid w:val="4D5123C6"/>
    <w:rsid w:val="4D6B792C"/>
    <w:rsid w:val="4DA16EA9"/>
    <w:rsid w:val="4DDA060D"/>
    <w:rsid w:val="4DED1912"/>
    <w:rsid w:val="4E257ADB"/>
    <w:rsid w:val="4E353A96"/>
    <w:rsid w:val="4EAD187E"/>
    <w:rsid w:val="4EB175C0"/>
    <w:rsid w:val="4EB62E28"/>
    <w:rsid w:val="4F0911AA"/>
    <w:rsid w:val="4F78309C"/>
    <w:rsid w:val="4F7E394E"/>
    <w:rsid w:val="50A20D13"/>
    <w:rsid w:val="50AD3DB7"/>
    <w:rsid w:val="50AF7B2F"/>
    <w:rsid w:val="50B02F71"/>
    <w:rsid w:val="50C26CF2"/>
    <w:rsid w:val="50EC0D83"/>
    <w:rsid w:val="50FE0CB7"/>
    <w:rsid w:val="512D188F"/>
    <w:rsid w:val="51363DAD"/>
    <w:rsid w:val="513B5867"/>
    <w:rsid w:val="5144673C"/>
    <w:rsid w:val="519D207E"/>
    <w:rsid w:val="51EC090F"/>
    <w:rsid w:val="51FB00AC"/>
    <w:rsid w:val="52E57838"/>
    <w:rsid w:val="542B3971"/>
    <w:rsid w:val="54335EE7"/>
    <w:rsid w:val="5463310B"/>
    <w:rsid w:val="54AF45A2"/>
    <w:rsid w:val="54C142D5"/>
    <w:rsid w:val="55254864"/>
    <w:rsid w:val="553C395C"/>
    <w:rsid w:val="55BA1450"/>
    <w:rsid w:val="56037691"/>
    <w:rsid w:val="56083D8A"/>
    <w:rsid w:val="56135E24"/>
    <w:rsid w:val="564017AC"/>
    <w:rsid w:val="567B0721"/>
    <w:rsid w:val="56F97D56"/>
    <w:rsid w:val="57081D47"/>
    <w:rsid w:val="57E97DCB"/>
    <w:rsid w:val="57EF1159"/>
    <w:rsid w:val="583059FA"/>
    <w:rsid w:val="5847689F"/>
    <w:rsid w:val="58532B2C"/>
    <w:rsid w:val="58984204"/>
    <w:rsid w:val="58C47EF0"/>
    <w:rsid w:val="59285798"/>
    <w:rsid w:val="596F60AE"/>
    <w:rsid w:val="5A2A0227"/>
    <w:rsid w:val="5A7B0A82"/>
    <w:rsid w:val="5B0311A3"/>
    <w:rsid w:val="5BB5218E"/>
    <w:rsid w:val="5BFE5E0F"/>
    <w:rsid w:val="5CAA564F"/>
    <w:rsid w:val="5DDE1A54"/>
    <w:rsid w:val="5E361890"/>
    <w:rsid w:val="5EDA046D"/>
    <w:rsid w:val="5EE237C6"/>
    <w:rsid w:val="5EFF7ED4"/>
    <w:rsid w:val="5F7679C4"/>
    <w:rsid w:val="5F7F2DC3"/>
    <w:rsid w:val="5FBF1411"/>
    <w:rsid w:val="601A09BC"/>
    <w:rsid w:val="60395667"/>
    <w:rsid w:val="60AA0313"/>
    <w:rsid w:val="610D33E8"/>
    <w:rsid w:val="615E35D8"/>
    <w:rsid w:val="619568CD"/>
    <w:rsid w:val="61E67129"/>
    <w:rsid w:val="621A5025"/>
    <w:rsid w:val="62CC27C3"/>
    <w:rsid w:val="635A7DCF"/>
    <w:rsid w:val="637D586B"/>
    <w:rsid w:val="63872EA4"/>
    <w:rsid w:val="63950E07"/>
    <w:rsid w:val="63F26259"/>
    <w:rsid w:val="64061D04"/>
    <w:rsid w:val="640A365A"/>
    <w:rsid w:val="640E2967"/>
    <w:rsid w:val="64754794"/>
    <w:rsid w:val="64FD7B2B"/>
    <w:rsid w:val="657B402C"/>
    <w:rsid w:val="65C07C91"/>
    <w:rsid w:val="66CA526B"/>
    <w:rsid w:val="67C12792"/>
    <w:rsid w:val="67DD0FCE"/>
    <w:rsid w:val="687436E1"/>
    <w:rsid w:val="687A681D"/>
    <w:rsid w:val="68D73C6F"/>
    <w:rsid w:val="690B56C7"/>
    <w:rsid w:val="696A4D66"/>
    <w:rsid w:val="69867965"/>
    <w:rsid w:val="699456BD"/>
    <w:rsid w:val="6A4E3ABD"/>
    <w:rsid w:val="6A9A31A7"/>
    <w:rsid w:val="6AD06BC8"/>
    <w:rsid w:val="6B3929BF"/>
    <w:rsid w:val="6B3D425E"/>
    <w:rsid w:val="6B431148"/>
    <w:rsid w:val="6B56531F"/>
    <w:rsid w:val="6B575C91"/>
    <w:rsid w:val="6BB8040C"/>
    <w:rsid w:val="6C5C6966"/>
    <w:rsid w:val="6C6E5E1A"/>
    <w:rsid w:val="6C8E2897"/>
    <w:rsid w:val="6CDF30F3"/>
    <w:rsid w:val="6D282CEC"/>
    <w:rsid w:val="6D921E65"/>
    <w:rsid w:val="6DF606F4"/>
    <w:rsid w:val="6E267136"/>
    <w:rsid w:val="6E2D67FA"/>
    <w:rsid w:val="6E6E0BD2"/>
    <w:rsid w:val="6E91041D"/>
    <w:rsid w:val="6ECB392F"/>
    <w:rsid w:val="6F562B93"/>
    <w:rsid w:val="6FA348AB"/>
    <w:rsid w:val="6FBB39A3"/>
    <w:rsid w:val="6FD23894"/>
    <w:rsid w:val="6FE23626"/>
    <w:rsid w:val="70383246"/>
    <w:rsid w:val="703D260A"/>
    <w:rsid w:val="7060279C"/>
    <w:rsid w:val="70626FA0"/>
    <w:rsid w:val="70756EB2"/>
    <w:rsid w:val="71E73078"/>
    <w:rsid w:val="7258197D"/>
    <w:rsid w:val="72C60FDD"/>
    <w:rsid w:val="72EB27F1"/>
    <w:rsid w:val="730241B0"/>
    <w:rsid w:val="731A1328"/>
    <w:rsid w:val="73587D13"/>
    <w:rsid w:val="740D6797"/>
    <w:rsid w:val="743B50B2"/>
    <w:rsid w:val="74BF5CE3"/>
    <w:rsid w:val="750977D2"/>
    <w:rsid w:val="75263FB5"/>
    <w:rsid w:val="75693EA1"/>
    <w:rsid w:val="75B25848"/>
    <w:rsid w:val="766528BB"/>
    <w:rsid w:val="768F268A"/>
    <w:rsid w:val="76C92E49"/>
    <w:rsid w:val="77617526"/>
    <w:rsid w:val="777A05E8"/>
    <w:rsid w:val="781A1483"/>
    <w:rsid w:val="781F0851"/>
    <w:rsid w:val="7820118F"/>
    <w:rsid w:val="782A7918"/>
    <w:rsid w:val="78B00E0E"/>
    <w:rsid w:val="78C94F9D"/>
    <w:rsid w:val="78FD502C"/>
    <w:rsid w:val="796450AB"/>
    <w:rsid w:val="79EB30D7"/>
    <w:rsid w:val="7A293F0A"/>
    <w:rsid w:val="7A5E24AA"/>
    <w:rsid w:val="7ACB4CB6"/>
    <w:rsid w:val="7B02692A"/>
    <w:rsid w:val="7B486307"/>
    <w:rsid w:val="7B5B603A"/>
    <w:rsid w:val="7B5C744A"/>
    <w:rsid w:val="7BA55C3B"/>
    <w:rsid w:val="7BD858DD"/>
    <w:rsid w:val="7BE9361F"/>
    <w:rsid w:val="7C6B49A3"/>
    <w:rsid w:val="7C765821"/>
    <w:rsid w:val="7C856E44"/>
    <w:rsid w:val="7CD24A22"/>
    <w:rsid w:val="7D366D5F"/>
    <w:rsid w:val="7DD722F0"/>
    <w:rsid w:val="7E32210A"/>
    <w:rsid w:val="7EB10D93"/>
    <w:rsid w:val="7EC87E8B"/>
    <w:rsid w:val="7EF70770"/>
    <w:rsid w:val="7F052E8D"/>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1"/>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5"/>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6"/>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7"/>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20">
    <w:name w:val="Default Paragraph Font"/>
    <w:autoRedefine/>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tabs>
        <w:tab w:val="left" w:pos="5400"/>
      </w:tabs>
      <w:spacing w:line="360" w:lineRule="auto"/>
      <w:ind w:firstLine="480" w:firstLineChars="200"/>
    </w:pPr>
    <w:rPr>
      <w:rFonts w:ascii="宋体" w:hAnsi="宋体"/>
      <w:sz w:val="24"/>
      <w:szCs w:val="20"/>
    </w:rPr>
  </w:style>
  <w:style w:type="paragraph" w:styleId="8">
    <w:name w:val="Body Text"/>
    <w:basedOn w:val="1"/>
    <w:autoRedefine/>
    <w:qFormat/>
    <w:uiPriority w:val="0"/>
    <w:pPr>
      <w:spacing w:after="120" w:afterLines="0" w:afterAutospacing="0"/>
    </w:pPr>
  </w:style>
  <w:style w:type="paragraph" w:styleId="9">
    <w:name w:val="Body Text Indent"/>
    <w:basedOn w:val="1"/>
    <w:next w:val="10"/>
    <w:qFormat/>
    <w:uiPriority w:val="0"/>
    <w:pPr>
      <w:spacing w:after="120" w:afterLines="0" w:afterAutospacing="0"/>
      <w:ind w:left="420" w:leftChars="200"/>
    </w:pPr>
  </w:style>
  <w:style w:type="paragraph" w:customStyle="1" w:styleId="10">
    <w:name w:val="样式 正文文本缩进 + 行距: 1.5 倍行距"/>
    <w:basedOn w:val="1"/>
    <w:qFormat/>
    <w:uiPriority w:val="0"/>
    <w:pPr>
      <w:spacing w:after="120"/>
      <w:ind w:left="90" w:leftChars="32" w:firstLine="560"/>
    </w:pPr>
    <w:rPr>
      <w:rFonts w:cs="宋体"/>
    </w:rPr>
  </w:style>
  <w:style w:type="paragraph" w:styleId="11">
    <w:name w:val="footer"/>
    <w:basedOn w:val="1"/>
    <w:link w:val="30"/>
    <w:autoRedefine/>
    <w:unhideWhenUsed/>
    <w:qFormat/>
    <w:uiPriority w:val="99"/>
    <w:pPr>
      <w:tabs>
        <w:tab w:val="center" w:pos="4153"/>
        <w:tab w:val="right" w:pos="8306"/>
      </w:tabs>
      <w:snapToGrid w:val="0"/>
      <w:jc w:val="left"/>
    </w:pPr>
    <w:rPr>
      <w:sz w:val="18"/>
      <w:szCs w:val="18"/>
    </w:rPr>
  </w:style>
  <w:style w:type="paragraph" w:styleId="12">
    <w:name w:val="header"/>
    <w:basedOn w:val="1"/>
    <w:link w:val="2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2"/>
    <w:autoRedefine/>
    <w:qFormat/>
    <w:uiPriority w:val="0"/>
    <w:pPr>
      <w:spacing w:line="400" w:lineRule="exact"/>
      <w:jc w:val="center"/>
    </w:pPr>
    <w:rPr>
      <w:rFonts w:ascii="Calibri" w:hAnsi="Calibri" w:eastAsia="楷体" w:cs="Times New Roman"/>
      <w:b/>
      <w:bCs/>
      <w:kern w:val="28"/>
      <w:szCs w:val="32"/>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5"/>
    <w:next w:val="1"/>
    <w:link w:val="28"/>
    <w:qFormat/>
    <w:uiPriority w:val="10"/>
    <w:pPr>
      <w:adjustRightInd w:val="0"/>
      <w:snapToGrid w:val="0"/>
      <w:spacing w:before="0" w:after="0" w:line="360" w:lineRule="auto"/>
      <w:jc w:val="center"/>
    </w:pPr>
    <w:rPr>
      <w:rFonts w:ascii="黑体" w:hAnsi="黑体" w:eastAsia="黑体" w:cs="黑体"/>
      <w:sz w:val="24"/>
      <w:szCs w:val="24"/>
    </w:rPr>
  </w:style>
  <w:style w:type="paragraph" w:styleId="16">
    <w:name w:val="Body Text First Indent"/>
    <w:basedOn w:val="8"/>
    <w:autoRedefine/>
    <w:qFormat/>
    <w:uiPriority w:val="0"/>
    <w:pPr>
      <w:ind w:firstLine="420" w:firstLineChars="100"/>
    </w:pPr>
  </w:style>
  <w:style w:type="paragraph" w:styleId="17">
    <w:name w:val="Body Text First Indent 2"/>
    <w:basedOn w:val="9"/>
    <w:next w:val="1"/>
    <w:qFormat/>
    <w:uiPriority w:val="0"/>
    <w:pPr>
      <w:ind w:firstLine="420" w:firstLineChars="200"/>
    </w:pPr>
  </w:style>
  <w:style w:type="table" w:styleId="19">
    <w:name w:val="Table Grid"/>
    <w:basedOn w:val="18"/>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1">
    <w:name w:val="Strong"/>
    <w:basedOn w:val="20"/>
    <w:qFormat/>
    <w:uiPriority w:val="0"/>
    <w:rPr>
      <w:b/>
    </w:rPr>
  </w:style>
  <w:style w:type="character" w:styleId="22">
    <w:name w:val="Hyperlink"/>
    <w:basedOn w:val="20"/>
    <w:qFormat/>
    <w:uiPriority w:val="0"/>
    <w:rPr>
      <w:color w:val="0000FF"/>
      <w:u w:val="single"/>
    </w:rPr>
  </w:style>
  <w:style w:type="paragraph" w:customStyle="1" w:styleId="23">
    <w:name w:val="0正文"/>
    <w:basedOn w:val="1"/>
    <w:qFormat/>
    <w:uiPriority w:val="0"/>
    <w:pPr>
      <w:ind w:firstLine="480" w:firstLineChars="200"/>
    </w:pPr>
  </w:style>
  <w:style w:type="character" w:customStyle="1" w:styleId="24">
    <w:name w:val="标题 2 字符"/>
    <w:basedOn w:val="20"/>
    <w:autoRedefine/>
    <w:semiHidden/>
    <w:qFormat/>
    <w:uiPriority w:val="9"/>
    <w:rPr>
      <w:rFonts w:asciiTheme="majorHAnsi" w:hAnsiTheme="majorHAnsi" w:eastAsiaTheme="majorEastAsia" w:cstheme="majorBidi"/>
      <w:b/>
      <w:bCs/>
      <w:sz w:val="32"/>
      <w:szCs w:val="32"/>
    </w:rPr>
  </w:style>
  <w:style w:type="character" w:customStyle="1" w:styleId="25">
    <w:name w:val="标题 2 字符1"/>
    <w:link w:val="3"/>
    <w:autoRedefine/>
    <w:qFormat/>
    <w:uiPriority w:val="9"/>
    <w:rPr>
      <w:rFonts w:ascii="宋体" w:hAnsi="宋体" w:eastAsia="宋体" w:cs="宋体"/>
      <w:b/>
      <w:bCs/>
      <w:kern w:val="0"/>
      <w:sz w:val="28"/>
      <w:szCs w:val="28"/>
    </w:rPr>
  </w:style>
  <w:style w:type="character" w:customStyle="1" w:styleId="26">
    <w:name w:val="标题 3 字符"/>
    <w:basedOn w:val="20"/>
    <w:link w:val="4"/>
    <w:autoRedefine/>
    <w:semiHidden/>
    <w:qFormat/>
    <w:uiPriority w:val="9"/>
    <w:rPr>
      <w:b/>
      <w:bCs/>
      <w:sz w:val="32"/>
      <w:szCs w:val="32"/>
    </w:rPr>
  </w:style>
  <w:style w:type="character" w:customStyle="1" w:styleId="27">
    <w:name w:val="标题 4 字符"/>
    <w:basedOn w:val="20"/>
    <w:link w:val="5"/>
    <w:autoRedefine/>
    <w:semiHidden/>
    <w:qFormat/>
    <w:uiPriority w:val="9"/>
    <w:rPr>
      <w:rFonts w:asciiTheme="majorHAnsi" w:hAnsiTheme="majorHAnsi" w:eastAsiaTheme="majorEastAsia" w:cstheme="majorBidi"/>
      <w:b/>
      <w:bCs/>
      <w:sz w:val="28"/>
      <w:szCs w:val="28"/>
    </w:rPr>
  </w:style>
  <w:style w:type="character" w:customStyle="1" w:styleId="28">
    <w:name w:val="标题 字符"/>
    <w:basedOn w:val="20"/>
    <w:link w:val="15"/>
    <w:autoRedefine/>
    <w:qFormat/>
    <w:uiPriority w:val="10"/>
    <w:rPr>
      <w:rFonts w:ascii="黑体" w:hAnsi="黑体" w:eastAsia="黑体" w:cs="黑体"/>
      <w:b/>
      <w:bCs/>
      <w:sz w:val="24"/>
      <w:szCs w:val="24"/>
    </w:rPr>
  </w:style>
  <w:style w:type="character" w:customStyle="1" w:styleId="29">
    <w:name w:val="页眉 字符"/>
    <w:basedOn w:val="20"/>
    <w:link w:val="12"/>
    <w:autoRedefine/>
    <w:qFormat/>
    <w:uiPriority w:val="99"/>
    <w:rPr>
      <w:sz w:val="18"/>
      <w:szCs w:val="18"/>
    </w:rPr>
  </w:style>
  <w:style w:type="character" w:customStyle="1" w:styleId="30">
    <w:name w:val="页脚 字符"/>
    <w:basedOn w:val="20"/>
    <w:link w:val="11"/>
    <w:autoRedefine/>
    <w:qFormat/>
    <w:uiPriority w:val="99"/>
    <w:rPr>
      <w:sz w:val="18"/>
      <w:szCs w:val="18"/>
    </w:rPr>
  </w:style>
  <w:style w:type="character" w:customStyle="1" w:styleId="31">
    <w:name w:val="标题 1 字符"/>
    <w:basedOn w:val="20"/>
    <w:link w:val="2"/>
    <w:autoRedefine/>
    <w:qFormat/>
    <w:uiPriority w:val="0"/>
    <w:rPr>
      <w:rFonts w:ascii="Calibri" w:hAnsi="Calibri" w:eastAsia="宋体" w:cs="Times New Roman"/>
      <w:b/>
      <w:bCs/>
      <w:kern w:val="44"/>
      <w:sz w:val="44"/>
      <w:szCs w:val="44"/>
    </w:rPr>
  </w:style>
  <w:style w:type="character" w:customStyle="1" w:styleId="32">
    <w:name w:val="副标题 字符"/>
    <w:basedOn w:val="20"/>
    <w:link w:val="13"/>
    <w:autoRedefine/>
    <w:qFormat/>
    <w:uiPriority w:val="0"/>
    <w:rPr>
      <w:rFonts w:ascii="Calibri" w:hAnsi="Calibri" w:eastAsia="楷体" w:cs="Times New Roman"/>
      <w:b/>
      <w:bCs/>
      <w:kern w:val="28"/>
      <w:szCs w:val="32"/>
    </w:rPr>
  </w:style>
  <w:style w:type="paragraph" w:styleId="33">
    <w:name w:val="List Paragraph"/>
    <w:basedOn w:val="1"/>
    <w:autoRedefine/>
    <w:qFormat/>
    <w:uiPriority w:val="34"/>
    <w:pPr>
      <w:ind w:firstLine="420" w:firstLineChars="200"/>
    </w:pPr>
  </w:style>
  <w:style w:type="paragraph" w:customStyle="1" w:styleId="34">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6">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7">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8">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9">
    <w:name w:val="font31"/>
    <w:basedOn w:val="20"/>
    <w:qFormat/>
    <w:uiPriority w:val="0"/>
    <w:rPr>
      <w:rFonts w:hint="eastAsia" w:ascii="华文楷体" w:hAnsi="华文楷体" w:eastAsia="华文楷体" w:cs="华文楷体"/>
      <w:color w:val="000000"/>
      <w:sz w:val="22"/>
      <w:szCs w:val="22"/>
      <w:u w:val="none"/>
      <w:vertAlign w:val="subscript"/>
    </w:rPr>
  </w:style>
  <w:style w:type="character" w:customStyle="1" w:styleId="40">
    <w:name w:val="font21"/>
    <w:basedOn w:val="20"/>
    <w:qFormat/>
    <w:uiPriority w:val="0"/>
    <w:rPr>
      <w:rFonts w:hint="eastAsia" w:ascii="华文楷体" w:hAnsi="华文楷体" w:eastAsia="华文楷体" w:cs="华文楷体"/>
      <w:color w:val="000000"/>
      <w:sz w:val="22"/>
      <w:szCs w:val="22"/>
      <w:u w:val="none"/>
    </w:rPr>
  </w:style>
  <w:style w:type="character" w:customStyle="1" w:styleId="41">
    <w:name w:val="font41"/>
    <w:basedOn w:val="20"/>
    <w:qFormat/>
    <w:uiPriority w:val="0"/>
    <w:rPr>
      <w:rFonts w:hint="eastAsia" w:ascii="华文楷体" w:hAnsi="华文楷体" w:eastAsia="华文楷体" w:cs="华文楷体"/>
      <w:color w:val="000000"/>
      <w:sz w:val="22"/>
      <w:szCs w:val="22"/>
      <w:u w:val="none"/>
      <w:vertAlign w:val="superscript"/>
    </w:rPr>
  </w:style>
  <w:style w:type="character" w:customStyle="1" w:styleId="42">
    <w:name w:val="font11"/>
    <w:basedOn w:val="20"/>
    <w:qFormat/>
    <w:uiPriority w:val="0"/>
    <w:rPr>
      <w:rFonts w:hint="eastAsia" w:ascii="华文楷体" w:hAnsi="华文楷体" w:eastAsia="华文楷体" w:cs="华文楷体"/>
      <w:color w:val="000000"/>
      <w:sz w:val="22"/>
      <w:szCs w:val="22"/>
      <w:u w:val="none"/>
    </w:rPr>
  </w:style>
  <w:style w:type="paragraph" w:customStyle="1" w:styleId="43">
    <w:name w:val="EndNote Bibliography"/>
    <w:basedOn w:val="1"/>
    <w:autoRedefine/>
    <w:qFormat/>
    <w:uiPriority w:val="0"/>
    <w:pPr>
      <w:ind w:firstLine="200" w:firstLineChars="200"/>
      <w:jc w:val="left"/>
    </w:pPr>
    <w:rPr>
      <w:sz w:val="20"/>
    </w:rPr>
  </w:style>
  <w:style w:type="paragraph" w:customStyle="1" w:styleId="44">
    <w:name w:val="列出段落1"/>
    <w:basedOn w:val="1"/>
    <w:qFormat/>
    <w:uiPriority w:val="34"/>
    <w:pPr>
      <w:ind w:firstLine="420" w:firstLineChars="200"/>
    </w:pPr>
  </w:style>
  <w:style w:type="paragraph" w:customStyle="1" w:styleId="45">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w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339</Words>
  <Characters>352</Characters>
  <Lines>35</Lines>
  <Paragraphs>9</Paragraphs>
  <TotalTime>1</TotalTime>
  <ScaleCrop>false</ScaleCrop>
  <LinksUpToDate>false</LinksUpToDate>
  <CharactersWithSpaces>358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2026-06-09T03:53:55Z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012170A0420347A89154D3512890171D_12</vt:lpwstr>
  </property>
  <property fmtid="{D5CDD505-2E9C-101B-9397-08002B2CF9AE}" pid="4" name="KSOTemplateDocerSaveRecord">
    <vt:lpwstr>eyJoZGlkIjoiYjVlOTE0MGRkN2E0MWU0MDEyNjJkNTdlYmU3ZGQ5YzUiLCJ1c2VySWQiOiI0NDQ3MDkxMjgifQ==</vt:lpwstr>
  </property>
</Properties>
</file>