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2FA9C6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在大型水池建设中研究应用一种抗浮锚杆</w:t>
      </w:r>
    </w:p>
    <w:p w14:paraId="4431C7D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建造技术的探索</w:t>
      </w:r>
    </w:p>
    <w:p w14:paraId="4C370D3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bookmarkStart w:id="0" w:name="_GoBack"/>
      <w:r>
        <w:rPr>
          <w:rFonts w:hint="eastAsia" w:ascii="楷体" w:hAnsi="楷体" w:eastAsia="楷体" w:cs="楷体"/>
          <w:color w:val="auto"/>
          <w:sz w:val="21"/>
          <w:szCs w:val="21"/>
          <w:lang w:val="en-US" w:eastAsia="zh-CN"/>
        </w:rPr>
        <w:t>蔡礼斌 余顺龙</w:t>
      </w:r>
    </w:p>
    <w:p w14:paraId="5FC6374B">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bookmarkEnd w:id="0"/>
    <w:p w14:paraId="511D4C3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3C221F2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大型地下水池结构抗浮问题已成为工程建设中一项十分突出和重要的技术难题，这得益于化工园区不断提高的安全环保标准。为此，本文以某大型水池的建设为具体依托，针对此类工程中浮锚杆的设计应用和施工工艺，对该工程的场地水文地质条件复杂、地下水位高、工期紧等诸多特点进行了非常系统和严谨的解析。首先介绍了以“水盆效应”为基础的抗浮设计原理，然后将锚杆选型及参数确定方法自然流畅地引出，然后对施工全套工艺流程(测量定位、钻孔、清孔、注浆、安装等各个环节)进行了详细的说明，并在此基础上提出了与特殊作业环境相结合的清晰、可操作的质量控制标准，更为难得。最后，对所提施工工艺的可行性和可靠性进行客观、有力的验证，以现场基础试验和验收试验的数据为依据。因此，本文在设计和施工中对同类化工园区和高水位地区的大型水池项目具有很强的借鉴作用。</w:t>
      </w:r>
    </w:p>
    <w:p w14:paraId="4798FDC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化工园区 事故应急池 初期雨水池 抗浮锚杆 中风化灰岩 施工工艺 安全措施 抗拔试验</w:t>
      </w:r>
    </w:p>
    <w:p w14:paraId="02DA7EB9">
      <w:pPr>
        <w:pageBreakBefore w:val="0"/>
        <w:kinsoku/>
        <w:wordWrap/>
        <w:overflowPunct/>
        <w:topLinePunct w:val="0"/>
        <w:autoSpaceDE/>
        <w:autoSpaceDN/>
        <w:bidi w:val="0"/>
        <w:spacing w:line="400" w:lineRule="exact"/>
        <w:textAlignment w:val="auto"/>
        <w:rPr>
          <w:rFonts w:hint="eastAsia" w:ascii="宋体" w:hAnsi="宋体" w:eastAsia="宋体" w:cs="宋体"/>
          <w:dstrike w:val="0"/>
          <w:color w:val="auto"/>
          <w:sz w:val="21"/>
          <w:szCs w:val="21"/>
          <w:highlight w:val="none"/>
          <w:shd w:val="clear" w:color="auto" w:fill="auto"/>
          <w:lang w:eastAsia="zh-CN"/>
        </w:rPr>
      </w:pPr>
    </w:p>
    <w:p w14:paraId="66C2D9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1引言</w:t>
      </w:r>
    </w:p>
    <w:p w14:paraId="149B285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1.1研究背景与意义</w:t>
      </w:r>
    </w:p>
    <w:p w14:paraId="1BD09C43">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随着《化工园区建设标准和认定管理办法(试行)》等文件的出台，国家对化工园区安全风险防控能力的要求不断提高，园区环保基础设施建设标准日趋严格。事故应急废水收集池和初期雨水收集池作为防治环境风险的关键设施，其结构安全尤为重要。</w:t>
      </w:r>
      <w:r>
        <w:rPr>
          <w:rFonts w:hint="eastAsia" w:ascii="宋体" w:hAnsi="宋体" w:eastAsia="宋体" w:cs="宋体"/>
          <w:strike w:val="0"/>
          <w:dstrike w:val="0"/>
          <w:color w:val="auto"/>
          <w:sz w:val="21"/>
          <w:szCs w:val="21"/>
          <w:highlight w:val="none"/>
          <w:u w:val="none"/>
          <w:shd w:val="clear" w:color="auto" w:fill="auto"/>
        </w:rPr>
        <w:t>这类池子一般体积较大，埋藏较深，自成一体。</w:t>
      </w:r>
      <w:r>
        <w:rPr>
          <w:rFonts w:hint="eastAsia" w:ascii="宋体" w:hAnsi="宋体" w:eastAsia="宋体" w:cs="宋体"/>
          <w:dstrike w:val="0"/>
          <w:color w:val="auto"/>
          <w:sz w:val="21"/>
          <w:szCs w:val="21"/>
          <w:highlight w:val="none"/>
          <w:shd w:val="clear" w:color="auto" w:fill="auto"/>
        </w:rPr>
        <w:t>当基坑开挖后，若场区地下水位较高，结构自重不足以抵御地下水产生的浮力时，就会产生上浮风险，造成底板开裂，对结构造成破坏，给安全使用带来严重影响，如果在施工作业过程中，由于地下水位过高，不能保证施工质量，将会给施工作业带来严重抗浮锚杆已成为应对地下结构抗浮问题的首要技术。由于抗浮锚杆属于主动抗浮技术，它能够将锚杆固定在稳定的岩层上，凭借岩层的锚固力有效地平衡地下水的浮力，确保稳固可靠。因此，受力情况清晰、施工效率高、经济性强。</w:t>
      </w:r>
    </w:p>
    <w:p w14:paraId="527D7DB6">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勘察资料清晰可靠地表明场区抗浮水位很高，基础位于中风化灰岩层，单纯依靠自重无法满足抗浮要求，因此采用抗浮锚杆方案是保证结构安全、经济合理的最直接、最可靠的技术途径，因为本项目位于某化工园区，拟建的事故应急废水收集池(有效容积8544</w:t>
      </w:r>
      <w:r>
        <w:rPr>
          <w:rFonts w:hint="eastAsia" w:ascii="宋体" w:hAnsi="宋体" w:eastAsia="宋体" w:cs="宋体"/>
          <w:strike w:val="0"/>
          <w:dstrike w:val="0"/>
          <w:color w:val="auto"/>
          <w:sz w:val="21"/>
          <w:szCs w:val="21"/>
          <w:highlight w:val="none"/>
          <w:u w:val="none"/>
          <w:shd w:val="clear" w:color="auto" w:fill="auto"/>
          <w:lang w:eastAsia="zh-CN"/>
        </w:rPr>
        <w:t>m³</w:t>
      </w:r>
      <w:r>
        <w:rPr>
          <w:rFonts w:hint="eastAsia" w:ascii="宋体" w:hAnsi="宋体" w:eastAsia="宋体" w:cs="宋体"/>
          <w:strike w:val="0"/>
          <w:dstrike w:val="0"/>
          <w:color w:val="auto"/>
          <w:sz w:val="21"/>
          <w:szCs w:val="21"/>
          <w:highlight w:val="none"/>
          <w:u w:val="none"/>
          <w:shd w:val="clear" w:color="auto" w:fill="auto"/>
        </w:rPr>
        <w:t>)、初期雨水收集池（有效容积12194</w:t>
      </w:r>
      <w:r>
        <w:rPr>
          <w:rFonts w:hint="eastAsia" w:ascii="宋体" w:hAnsi="宋体" w:eastAsia="宋体" w:cs="宋体"/>
          <w:strike w:val="0"/>
          <w:dstrike w:val="0"/>
          <w:color w:val="auto"/>
          <w:sz w:val="21"/>
          <w:szCs w:val="21"/>
          <w:highlight w:val="none"/>
          <w:u w:val="none"/>
          <w:shd w:val="clear" w:color="auto" w:fill="auto"/>
          <w:lang w:eastAsia="zh-CN"/>
        </w:rPr>
        <w:t>m³</w:t>
      </w:r>
      <w:r>
        <w:rPr>
          <w:rFonts w:hint="eastAsia" w:ascii="宋体" w:hAnsi="宋体" w:eastAsia="宋体" w:cs="宋体"/>
          <w:strike w:val="0"/>
          <w:dstrike w:val="0"/>
          <w:color w:val="auto"/>
          <w:sz w:val="21"/>
          <w:szCs w:val="21"/>
          <w:highlight w:val="none"/>
          <w:u w:val="none"/>
          <w:shd w:val="clear" w:color="auto" w:fill="auto"/>
        </w:rPr>
        <w:t>）均为深大地下结构。因此，本文以该工程为典型背景，对复杂水文地质条件下对抗浮锚杆的施工工艺和关键控制点进行了系统、严谨的分析，对同类工程具有极好的示范意义，也自然妥帖地对其在化工园区环境中的应用进行了探讨。</w:t>
      </w:r>
    </w:p>
    <w:p w14:paraId="13EA4AF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1.2工程概况与难点</w:t>
      </w:r>
    </w:p>
    <w:p w14:paraId="4CB5F33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1.2.1工程简介</w:t>
      </w:r>
    </w:p>
    <w:p w14:paraId="02E2B77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本工程为工程总承包EPC，施工内容主要有：</w:t>
      </w:r>
    </w:p>
    <w:p w14:paraId="1EE7D40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事故废水收集池：平面尺寸为2084㎡左右，有效容积为8544</w:t>
      </w:r>
      <w:r>
        <w:rPr>
          <w:rFonts w:hint="eastAsia" w:ascii="宋体" w:hAnsi="宋体" w:eastAsia="宋体" w:cs="宋体"/>
          <w:strike w:val="0"/>
          <w:dstrike w:val="0"/>
          <w:color w:val="auto"/>
          <w:sz w:val="21"/>
          <w:szCs w:val="21"/>
          <w:highlight w:val="none"/>
          <w:u w:val="none"/>
          <w:shd w:val="clear" w:color="auto" w:fill="auto"/>
          <w:lang w:eastAsia="zh-CN"/>
        </w:rPr>
        <w:t>m³</w:t>
      </w:r>
      <w:r>
        <w:rPr>
          <w:rFonts w:hint="eastAsia" w:ascii="宋体" w:hAnsi="宋体" w:eastAsia="宋体" w:cs="宋体"/>
          <w:strike w:val="0"/>
          <w:dstrike w:val="0"/>
          <w:color w:val="auto"/>
          <w:sz w:val="21"/>
          <w:szCs w:val="21"/>
          <w:highlight w:val="none"/>
          <w:u w:val="none"/>
          <w:shd w:val="clear" w:color="auto" w:fill="auto"/>
        </w:rPr>
        <w:t>左右。</w:t>
      </w:r>
    </w:p>
    <w:p w14:paraId="599EE3AE">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初始集雨水池：平面尺寸约3209㎡，有效容积约12194</w:t>
      </w:r>
      <w:r>
        <w:rPr>
          <w:rFonts w:hint="eastAsia" w:ascii="宋体" w:hAnsi="宋体" w:eastAsia="宋体" w:cs="宋体"/>
          <w:strike w:val="0"/>
          <w:dstrike w:val="0"/>
          <w:color w:val="auto"/>
          <w:sz w:val="21"/>
          <w:szCs w:val="21"/>
          <w:highlight w:val="none"/>
          <w:u w:val="none"/>
          <w:shd w:val="clear" w:color="auto" w:fill="auto"/>
          <w:lang w:eastAsia="zh-CN"/>
        </w:rPr>
        <w:t>m³</w:t>
      </w:r>
      <w:r>
        <w:rPr>
          <w:rFonts w:hint="eastAsia" w:ascii="宋体" w:hAnsi="宋体" w:eastAsia="宋体" w:cs="宋体"/>
          <w:strike w:val="0"/>
          <w:dstrike w:val="0"/>
          <w:color w:val="auto"/>
          <w:sz w:val="21"/>
          <w:szCs w:val="21"/>
          <w:highlight w:val="none"/>
          <w:u w:val="none"/>
          <w:shd w:val="clear" w:color="auto" w:fill="auto"/>
        </w:rPr>
        <w:t>。</w:t>
      </w:r>
    </w:p>
    <w:p w14:paraId="490DDF0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两池均为底板厚</w:t>
      </w:r>
      <w:r>
        <w:rPr>
          <w:rFonts w:hint="eastAsia" w:ascii="宋体" w:hAnsi="宋体" w:eastAsia="宋体" w:cs="宋体"/>
          <w:strike w:val="0"/>
          <w:dstrike w:val="0"/>
          <w:color w:val="auto"/>
          <w:kern w:val="2"/>
          <w:sz w:val="21"/>
          <w:szCs w:val="21"/>
          <w:highlight w:val="none"/>
          <w:u w:val="none"/>
          <w:shd w:val="clear" w:color="auto" w:fill="auto"/>
          <w:lang w:eastAsia="zh-CN"/>
        </w:rPr>
        <w:t>0.5-0.6m</w:t>
      </w:r>
      <w:r>
        <w:rPr>
          <w:rFonts w:hint="eastAsia" w:ascii="宋体" w:hAnsi="宋体" w:eastAsia="宋体" w:cs="宋体"/>
          <w:strike w:val="0"/>
          <w:dstrike w:val="0"/>
          <w:color w:val="auto"/>
          <w:sz w:val="21"/>
          <w:szCs w:val="21"/>
          <w:highlight w:val="none"/>
          <w:u w:val="none"/>
          <w:shd w:val="clear" w:color="auto" w:fill="auto"/>
        </w:rPr>
        <w:t>、池壁厚</w:t>
      </w:r>
      <w:r>
        <w:rPr>
          <w:rFonts w:hint="eastAsia" w:ascii="宋体" w:hAnsi="宋体" w:eastAsia="宋体" w:cs="宋体"/>
          <w:strike w:val="0"/>
          <w:dstrike w:val="0"/>
          <w:color w:val="auto"/>
          <w:kern w:val="2"/>
          <w:sz w:val="21"/>
          <w:szCs w:val="21"/>
          <w:highlight w:val="none"/>
          <w:u w:val="none"/>
          <w:shd w:val="clear" w:color="auto" w:fill="auto"/>
          <w:lang w:eastAsia="zh-CN"/>
        </w:rPr>
        <w:t>0.5-0.6m</w:t>
      </w:r>
      <w:r>
        <w:rPr>
          <w:rFonts w:hint="eastAsia" w:ascii="宋体" w:hAnsi="宋体" w:eastAsia="宋体" w:cs="宋体"/>
          <w:strike w:val="0"/>
          <w:dstrike w:val="0"/>
          <w:color w:val="auto"/>
          <w:sz w:val="21"/>
          <w:szCs w:val="21"/>
          <w:highlight w:val="none"/>
          <w:u w:val="none"/>
          <w:shd w:val="clear" w:color="auto" w:fill="auto"/>
        </w:rPr>
        <w:t>的钢筋混凝土结构，均采用C30P8抗渗混凝土。</w:t>
      </w:r>
    </w:p>
    <w:p w14:paraId="59ED7CE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1.2.2水文地质条件</w:t>
      </w:r>
    </w:p>
    <w:p w14:paraId="3F3E59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现场地层从上到下依次为：</w:t>
      </w:r>
    </w:p>
    <w:p w14:paraId="10942DCF">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①层杂填土：松散，厚度0.4～2.1m。</w:t>
      </w:r>
    </w:p>
    <w:p w14:paraId="4211A4F6">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strike w:val="0"/>
          <w:dstrike w:val="0"/>
          <w:color w:val="auto"/>
          <w:sz w:val="21"/>
          <w:szCs w:val="21"/>
          <w:highlight w:val="none"/>
          <w:u w:val="none"/>
          <w:shd w:val="clear" w:color="auto" w:fill="auto"/>
        </w:rPr>
        <w:t>②层含砾粉黏土：可塑型，厚</w:t>
      </w:r>
      <w:r>
        <w:rPr>
          <w:rFonts w:hint="eastAsia" w:ascii="宋体" w:hAnsi="宋体" w:eastAsia="宋体" w:cs="宋体"/>
          <w:strike w:val="0"/>
          <w:dstrike w:val="0"/>
          <w:color w:val="auto"/>
          <w:kern w:val="2"/>
          <w:sz w:val="21"/>
          <w:szCs w:val="21"/>
          <w:highlight w:val="none"/>
          <w:u w:val="none"/>
          <w:shd w:val="clear" w:color="auto" w:fill="auto"/>
          <w:lang w:eastAsia="zh-CN"/>
        </w:rPr>
        <w:t>0.6～7.4m</w:t>
      </w:r>
      <w:r>
        <w:rPr>
          <w:rFonts w:hint="eastAsia" w:ascii="宋体" w:hAnsi="宋体" w:eastAsia="宋体" w:cs="宋体"/>
          <w:strike w:val="0"/>
          <w:dstrike w:val="0"/>
          <w:color w:val="auto"/>
          <w:sz w:val="21"/>
          <w:szCs w:val="21"/>
          <w:highlight w:val="none"/>
          <w:u w:val="none"/>
          <w:shd w:val="clear" w:color="auto" w:fill="auto"/>
        </w:rPr>
        <w:t>。</w:t>
      </w:r>
    </w:p>
    <w:p w14:paraId="795CAEDF">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strike w:val="0"/>
          <w:dstrike w:val="0"/>
          <w:color w:val="auto"/>
          <w:sz w:val="21"/>
          <w:szCs w:val="21"/>
          <w:highlight w:val="none"/>
          <w:u w:val="none"/>
          <w:shd w:val="clear" w:color="auto" w:fill="auto"/>
        </w:rPr>
        <w:t>③层中风化石灰岩：灰、青灰色，质硬，中厚-巨厚层状，岩芯柱状，RQD≈85%，为良好的地基持力层，岩层中的石灰岩为灰质、青灰色，岩芯</w:t>
      </w:r>
      <w:r>
        <w:rPr>
          <w:rFonts w:hint="eastAsia" w:ascii="宋体" w:hAnsi="宋体" w:eastAsia="宋体" w:cs="宋体"/>
          <w:strike w:val="0"/>
          <w:dstrike w:val="0"/>
          <w:color w:val="auto"/>
          <w:sz w:val="21"/>
          <w:szCs w:val="21"/>
          <w:highlight w:val="none"/>
          <w:u w:val="none"/>
          <w:shd w:val="clear" w:color="auto" w:fill="auto"/>
          <w:lang w:eastAsia="zh-CN"/>
        </w:rPr>
        <w:t>。</w:t>
      </w:r>
    </w:p>
    <w:p w14:paraId="53A9C75A">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场区地下水类型以孔隙型上层滞水、基岩裂隙水为主，在疏松土层中存在第4系。</w:t>
      </w:r>
      <w:r>
        <w:rPr>
          <w:rFonts w:hint="eastAsia" w:ascii="宋体" w:hAnsi="宋体" w:eastAsia="宋体" w:cs="宋体"/>
          <w:strike w:val="0"/>
          <w:dstrike w:val="0"/>
          <w:color w:val="auto"/>
          <w:sz w:val="21"/>
          <w:szCs w:val="21"/>
          <w:highlight w:val="none"/>
          <w:u w:val="none"/>
          <w:shd w:val="clear" w:color="auto" w:fill="auto"/>
        </w:rPr>
        <w:t>调查期间水位稳定埋深(枯水期)</w:t>
      </w:r>
      <w:r>
        <w:rPr>
          <w:rFonts w:hint="eastAsia" w:ascii="宋体" w:hAnsi="宋体" w:eastAsia="宋体" w:cs="宋体"/>
          <w:strike w:val="0"/>
          <w:dstrike w:val="0"/>
          <w:color w:val="auto"/>
          <w:kern w:val="2"/>
          <w:sz w:val="21"/>
          <w:szCs w:val="21"/>
          <w:highlight w:val="none"/>
          <w:u w:val="none"/>
          <w:shd w:val="clear" w:color="auto" w:fill="auto"/>
          <w:lang w:eastAsia="zh-CN"/>
        </w:rPr>
        <w:t>0.80～1.94m</w:t>
      </w:r>
      <w:r>
        <w:rPr>
          <w:rFonts w:hint="eastAsia" w:ascii="宋体" w:hAnsi="宋体" w:eastAsia="宋体" w:cs="宋体"/>
          <w:strike w:val="0"/>
          <w:dstrike w:val="0"/>
          <w:color w:val="auto"/>
          <w:sz w:val="21"/>
          <w:szCs w:val="21"/>
          <w:highlight w:val="none"/>
          <w:u w:val="none"/>
          <w:shd w:val="clear" w:color="auto" w:fill="auto"/>
        </w:rPr>
        <w:t>，标高为</w:t>
      </w:r>
      <w:r>
        <w:rPr>
          <w:rFonts w:hint="eastAsia" w:ascii="宋体" w:hAnsi="宋体" w:eastAsia="宋体" w:cs="宋体"/>
          <w:strike w:val="0"/>
          <w:dstrike w:val="0"/>
          <w:color w:val="auto"/>
          <w:kern w:val="2"/>
          <w:sz w:val="21"/>
          <w:szCs w:val="21"/>
          <w:highlight w:val="none"/>
          <w:u w:val="none"/>
          <w:shd w:val="clear" w:color="auto" w:fill="auto"/>
          <w:lang w:eastAsia="zh-CN"/>
        </w:rPr>
        <w:t>1847.63～1848.97m</w:t>
      </w:r>
      <w:r>
        <w:rPr>
          <w:rFonts w:hint="eastAsia" w:ascii="宋体" w:hAnsi="宋体" w:eastAsia="宋体" w:cs="宋体"/>
          <w:strike w:val="0"/>
          <w:dstrike w:val="0"/>
          <w:color w:val="auto"/>
          <w:sz w:val="21"/>
          <w:szCs w:val="21"/>
          <w:highlight w:val="none"/>
          <w:u w:val="none"/>
          <w:shd w:val="clear" w:color="auto" w:fill="auto"/>
        </w:rPr>
        <w:t>。设计抗浮水位标高为1850.50米，远高于水池底板标高(事故废水收集池为1843.8米，初期雨水收集池为1845.1米)，浮力巨大。</w:t>
      </w:r>
    </w:p>
    <w:p w14:paraId="207E554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1.2.3工程难点分析</w:t>
      </w:r>
    </w:p>
    <w:p w14:paraId="1C904F05">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(1)高水头抗浮问题突出：必须设置可靠的抗浮系统，才能设计出比底板高得多的抗浮水位，且结构自重不足以抗浮力。</w:t>
      </w:r>
    </w:p>
    <w:p w14:paraId="215384F2">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strike w:val="0"/>
          <w:dstrike w:val="0"/>
          <w:color w:val="auto"/>
          <w:sz w:val="21"/>
          <w:szCs w:val="21"/>
          <w:highlight w:val="none"/>
          <w:u w:val="none"/>
          <w:shd w:val="clear" w:color="auto" w:fill="auto"/>
        </w:rPr>
        <w:t>（2）复杂的地质条件：锚杆需在坚硬岩石中风化石灰岩中锚固，对钻进设备和工艺要求较高，岩石坚硬标准值为46.9MPa</w:t>
      </w:r>
      <w:r>
        <w:rPr>
          <w:rFonts w:hint="eastAsia" w:ascii="宋体" w:hAnsi="宋体" w:eastAsia="宋体" w:cs="宋体"/>
          <w:strike w:val="0"/>
          <w:dstrike w:val="0"/>
          <w:color w:val="auto"/>
          <w:sz w:val="21"/>
          <w:szCs w:val="21"/>
          <w:highlight w:val="none"/>
          <w:u w:val="none"/>
          <w:shd w:val="clear" w:color="auto" w:fill="auto"/>
          <w:lang w:eastAsia="zh-CN"/>
        </w:rPr>
        <w:t>。</w:t>
      </w:r>
    </w:p>
    <w:p w14:paraId="1B15F6A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（3）化工园区环境：施工组织安全管理十分复杂，因为施工处于生产厂区附近，而该地区对安全、环保、动火、受限空间作业等各种作业要求非常严格。</w:t>
      </w:r>
    </w:p>
    <w:p w14:paraId="1C1AD732">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（4）工期紧迫：施工进度和资源配置都面临很大困难，因为工程工期很短。</w:t>
      </w:r>
    </w:p>
    <w:p w14:paraId="39FC0E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2.设计抗浮锚杆的工艺方案</w:t>
      </w:r>
    </w:p>
    <w:p w14:paraId="1043549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2.1抗浮设计原理</w:t>
      </w:r>
    </w:p>
    <w:p w14:paraId="6F315ECF">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工程采用主动抗浮设计建造思想。</w:t>
      </w:r>
      <w:r>
        <w:rPr>
          <w:rFonts w:hint="eastAsia" w:ascii="宋体" w:hAnsi="宋体" w:eastAsia="宋体" w:cs="宋体"/>
          <w:strike w:val="0"/>
          <w:dstrike w:val="0"/>
          <w:color w:val="auto"/>
          <w:sz w:val="21"/>
          <w:szCs w:val="21"/>
          <w:highlight w:val="none"/>
          <w:u w:val="none"/>
          <w:shd w:val="clear" w:color="auto" w:fill="auto"/>
        </w:rPr>
        <w:t>由于基础位于不透水的中风化灰岩层，为防止地下水涌入底板下部形成“水盆”效应，设计采用C20混凝土回填基坑开挖面，封闭基底，使基底静水压力大大降低。但偏于安全考虑，为保证结构在极端水文条件下的绝对安全，设计仍按最不利工况设置抗浮锚杆（抗浮水位1850.50m)，提供额外的抗拔承载力。</w:t>
      </w:r>
    </w:p>
    <w:p w14:paraId="7FC192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2.2锚杆设计参数</w:t>
      </w:r>
    </w:p>
    <w:p w14:paraId="7DD792AD">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锚杆的设计参数是根据结构受力计算的需求进行以下确定的：</w:t>
      </w:r>
    </w:p>
    <w:p w14:paraId="4ED74105">
      <w:pPr>
        <w:pageBreakBefore w:val="0"/>
        <w:kinsoku/>
        <w:wordWrap/>
        <w:overflowPunct/>
        <w:topLinePunct w:val="0"/>
        <w:autoSpaceDE/>
        <w:autoSpaceDN/>
        <w:bidi w:val="0"/>
        <w:spacing w:line="400" w:lineRule="exact"/>
        <w:ind w:firstLine="480"/>
        <w:textAlignment w:val="auto"/>
        <w:rPr>
          <w:rFonts w:hint="eastAsia" w:ascii="宋体" w:hAnsi="宋体" w:eastAsia="宋体" w:cs="宋体"/>
          <w:color w:val="auto"/>
          <w:sz w:val="21"/>
          <w:szCs w:val="21"/>
          <w:highlight w:val="none"/>
          <w:lang w:eastAsia="zh-CN"/>
        </w:rPr>
      </w:pPr>
      <w:r>
        <w:rPr>
          <w:rFonts w:hint="eastAsia" w:ascii="宋体" w:hAnsi="宋体" w:eastAsia="宋体" w:cs="宋体"/>
          <w:dstrike w:val="0"/>
          <w:color w:val="auto"/>
          <w:sz w:val="21"/>
          <w:szCs w:val="21"/>
          <w:highlight w:val="none"/>
          <w:shd w:val="clear" w:color="auto" w:fill="auto"/>
        </w:rPr>
        <w:t>项目参数锚杆类型永久拉力型土层锚杆直径180mm杆体材质1φ22特性：锚杆拉力强，拉力大。</w:t>
      </w:r>
      <w:r>
        <w:rPr>
          <w:rFonts w:hint="eastAsia" w:ascii="宋体" w:hAnsi="宋体" w:eastAsia="宋体" w:cs="宋体"/>
          <w:strike w:val="0"/>
          <w:dstrike w:val="0"/>
          <w:color w:val="auto"/>
          <w:sz w:val="21"/>
          <w:szCs w:val="21"/>
          <w:highlight w:val="none"/>
          <w:u w:val="none"/>
          <w:shd w:val="clear" w:color="auto" w:fill="auto"/>
        </w:rPr>
        <w:t>HRB400级钢筋单根抗拔承载力特征值195kn设计试验荷载(1.5倍特征值)292.5kn锚固段长3.5m(</w:t>
      </w:r>
      <w:r>
        <w:rPr>
          <w:rFonts w:hint="eastAsia" w:ascii="宋体" w:hAnsi="宋体" w:eastAsia="宋体" w:cs="宋体"/>
          <w:strike w:val="0"/>
          <w:dstrike w:val="0"/>
          <w:color w:val="auto"/>
          <w:sz w:val="21"/>
          <w:szCs w:val="21"/>
          <w:highlight w:val="none"/>
          <w:u w:val="none"/>
          <w:shd w:val="clear" w:color="auto" w:fill="auto"/>
          <w:lang w:eastAsia="zh-CN"/>
        </w:rPr>
        <w:t>进入中风化石灰岩</w:t>
      </w:r>
      <w:r>
        <w:rPr>
          <w:rFonts w:hint="eastAsia" w:ascii="宋体" w:hAnsi="宋体" w:eastAsia="宋体" w:cs="宋体"/>
          <w:strike w:val="0"/>
          <w:dstrike w:val="0"/>
          <w:color w:val="auto"/>
          <w:sz w:val="21"/>
          <w:szCs w:val="21"/>
          <w:highlight w:val="none"/>
          <w:u w:val="none"/>
          <w:shd w:val="clear" w:color="auto" w:fill="auto"/>
        </w:rPr>
        <w:t>)自由段长4.0m注浆体设计强度M30水泥砂浆铺装方式在底板范围内按图纸均匀铺装。</w:t>
      </w:r>
    </w:p>
    <w:p w14:paraId="10A5006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2.3材料选择与要求</w:t>
      </w:r>
    </w:p>
    <w:p w14:paraId="40E9134B">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(1)钢筋：采用HRB400级钢筋，锚入底板部分需刷不少于两次的环氧树脂防锈漆，以加强耐久性，使用前严格除锈除油。</w:t>
      </w:r>
    </w:p>
    <w:p w14:paraId="211AA364">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(2)注浆材料：水泥采用强度不低于425MPa；沙的含泥量需要达到设计要求，</w:t>
      </w:r>
      <w:r>
        <w:rPr>
          <w:rFonts w:hint="eastAsia" w:ascii="宋体" w:hAnsi="宋体" w:eastAsia="宋体" w:cs="宋体"/>
          <w:b w:val="0"/>
          <w:i w:val="0"/>
          <w:iCs w:val="0"/>
          <w:caps w:val="0"/>
          <w:color w:val="auto"/>
          <w:spacing w:val="0"/>
          <w:kern w:val="2"/>
          <w:sz w:val="21"/>
          <w:szCs w:val="21"/>
          <w:highlight w:val="none"/>
          <w:shd w:val="clear" w:fill="FFFFFF"/>
          <w:lang w:val="en-US" w:eastAsia="zh-CN" w:bidi="ar-SA"/>
        </w:rPr>
        <w:t>水灰比</w:t>
      </w:r>
      <w:r>
        <w:rPr>
          <w:rFonts w:hint="eastAsia" w:ascii="宋体" w:hAnsi="宋体" w:eastAsia="宋体" w:cs="宋体"/>
          <w:strike w:val="0"/>
          <w:dstrike w:val="0"/>
          <w:color w:val="auto"/>
          <w:sz w:val="21"/>
          <w:szCs w:val="21"/>
          <w:highlight w:val="none"/>
          <w:u w:val="none"/>
          <w:shd w:val="clear" w:color="auto" w:fill="auto"/>
        </w:rPr>
        <w:t>为宜</w:t>
      </w:r>
      <w:r>
        <w:rPr>
          <w:rFonts w:hint="eastAsia" w:ascii="宋体" w:hAnsi="宋体" w:eastAsia="宋体" w:cs="宋体"/>
          <w:strike w:val="0"/>
          <w:dstrike w:val="0"/>
          <w:color w:val="auto"/>
          <w:sz w:val="21"/>
          <w:szCs w:val="21"/>
          <w:highlight w:val="none"/>
          <w:u w:val="none"/>
          <w:shd w:val="clear" w:color="auto" w:fill="auto"/>
          <w:lang w:eastAsia="zh-CN"/>
        </w:rPr>
        <w:t>为0.38-0.5</w:t>
      </w:r>
      <w:r>
        <w:rPr>
          <w:rFonts w:hint="eastAsia" w:ascii="宋体" w:hAnsi="宋体" w:eastAsia="宋体" w:cs="宋体"/>
          <w:strike w:val="0"/>
          <w:dstrike w:val="0"/>
          <w:color w:val="auto"/>
          <w:sz w:val="21"/>
          <w:szCs w:val="21"/>
          <w:highlight w:val="none"/>
          <w:u w:val="none"/>
          <w:shd w:val="clear" w:color="auto" w:fill="auto"/>
        </w:rPr>
        <w:t>、灰砂比以</w:t>
      </w:r>
      <w:r>
        <w:rPr>
          <w:rFonts w:hint="eastAsia" w:ascii="宋体" w:hAnsi="宋体" w:eastAsia="宋体" w:cs="宋体"/>
          <w:strike w:val="0"/>
          <w:dstrike w:val="0"/>
          <w:color w:val="auto"/>
          <w:sz w:val="21"/>
          <w:szCs w:val="21"/>
          <w:highlight w:val="none"/>
          <w:u w:val="none"/>
          <w:shd w:val="clear" w:color="auto" w:fill="auto"/>
          <w:lang w:eastAsia="zh-CN"/>
        </w:rPr>
        <w:t>0.8-1.5</w:t>
      </w:r>
      <w:r>
        <w:rPr>
          <w:rFonts w:hint="eastAsia" w:ascii="宋体" w:hAnsi="宋体" w:eastAsia="宋体" w:cs="宋体"/>
          <w:strike w:val="0"/>
          <w:dstrike w:val="0"/>
          <w:color w:val="auto"/>
          <w:sz w:val="21"/>
          <w:szCs w:val="21"/>
          <w:highlight w:val="none"/>
          <w:u w:val="none"/>
          <w:shd w:val="clear" w:color="auto" w:fill="auto"/>
        </w:rPr>
        <w:t>为宜。浆体28d抗压强度不低于30MPa。</w:t>
      </w:r>
    </w:p>
    <w:p w14:paraId="3AE91E0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3研究抗浮锚杆建设过程</w:t>
      </w:r>
    </w:p>
    <w:p w14:paraId="3086D1E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3.1施工工艺流程如下</w:t>
      </w:r>
    </w:p>
    <w:p w14:paraId="320DE2B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根据工程特点和设计要求，确定了抗浮锚杆施工工艺流程为：施工准备测量放样钻机在底板钢筋绑扎时与锚杆筋进行焊接(一次常压+二次压力)，就位钻孔成孔清孔检验孔杆体系进行注浆和安置。</w:t>
      </w:r>
    </w:p>
    <w:p w14:paraId="66C5D77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3.2主要施工方法及关键技术</w:t>
      </w:r>
    </w:p>
    <w:p w14:paraId="21807CA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3.2.1测量放样与钻机就位</w:t>
      </w:r>
    </w:p>
    <w:p w14:paraId="3CE16DA8">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每根锚杆的孔位都使用了全站仪精确测放，误差控制在50mm以内。</w:t>
      </w:r>
    </w:p>
    <w:p w14:paraId="1FD30439">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在钻机安装时做到“正、平、稳、固”，确保主轴倾角与设计锚固段角度一致，避免因偏斜影响锚固效果及相邻锚杆施工。</w:t>
      </w:r>
    </w:p>
    <w:p w14:paraId="6EA32C3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3.2.2钻孔成孔</w:t>
      </w:r>
    </w:p>
    <w:p w14:paraId="2518238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设备选型：由于③层中风化灰岩硬度较大(FRK=46.9MPa)，从该层的特性出发，选用硬质合金或金刚石钻头钻入的XY-150工程钻机进行合理选型。</w:t>
      </w:r>
    </w:p>
    <w:p w14:paraId="06FBBDD6">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钻孔工艺：由于用清水作循环液，有利于锚固物与岩层的良好粘接，同时对钻孔速度进行严格控制，所以进入岩层后，孔壁是非常完整的，因为它可以减少泥浆对孔壁的污染。钻孔深度超过设计深度20-30厘米，用于岩屑的沉淀。</w:t>
      </w:r>
    </w:p>
    <w:p w14:paraId="5C157AD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3.2.3清孔验孔</w:t>
      </w:r>
    </w:p>
    <w:p w14:paraId="2B9ED226">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在钻孔到设计深度后，将孔内的岩粉、碎屑用高压风(或水)清除干净，直到孔内回到干净的水或洁净的空气中。</w:t>
      </w:r>
    </w:p>
    <w:p w14:paraId="56600B7C">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对孔深、孔径、垂直度等使用测绳、孔径规制等工具进行检查，待验收合格后方可开展下一步工作。</w:t>
      </w:r>
    </w:p>
    <w:p w14:paraId="49DB0FA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3.2.4锚杆杆体制作与安放</w:t>
      </w:r>
    </w:p>
    <w:p w14:paraId="432B0D2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钢筋根据设计长度进行切割，每隔</w:t>
      </w:r>
      <w:r>
        <w:rPr>
          <w:rFonts w:hint="eastAsia" w:ascii="宋体" w:hAnsi="宋体" w:eastAsia="宋体" w:cs="宋体"/>
          <w:b w:val="0"/>
          <w:i w:val="0"/>
          <w:iCs w:val="0"/>
          <w:caps w:val="0"/>
          <w:color w:val="auto"/>
          <w:spacing w:val="0"/>
          <w:kern w:val="2"/>
          <w:sz w:val="21"/>
          <w:szCs w:val="21"/>
          <w:highlight w:val="none"/>
          <w:shd w:val="clear" w:fill="FFFFFF"/>
          <w:lang w:val="en-US" w:eastAsia="zh-CN" w:bidi="ar-SA"/>
        </w:rPr>
        <w:t>1.5-2.0米</w:t>
      </w:r>
      <w:r>
        <w:rPr>
          <w:rFonts w:hint="eastAsia" w:ascii="宋体" w:hAnsi="宋体" w:eastAsia="宋体" w:cs="宋体"/>
          <w:dstrike w:val="0"/>
          <w:color w:val="auto"/>
          <w:sz w:val="21"/>
          <w:szCs w:val="21"/>
          <w:highlight w:val="none"/>
          <w:shd w:val="clear" w:color="auto" w:fill="auto"/>
        </w:rPr>
        <w:t>沿杆身轴线方向安装定位支架（导向环），以确保杆身居中，并确保保护层厚度不少于20毫米。</w:t>
      </w:r>
    </w:p>
    <w:p w14:paraId="6F5AF62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注浆管与杆身同时捆绑，距离孔底约20厘米处为首次注浆管的下端；如果使用二次注浆管，其浆孔应设置在锚固段的范围内，并用胶布进行封闭。</w:t>
      </w:r>
    </w:p>
    <w:p w14:paraId="55F94936">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放置杆体时，</w:t>
      </w:r>
      <w:r>
        <w:rPr>
          <w:rFonts w:hint="eastAsia" w:ascii="宋体" w:hAnsi="宋体" w:eastAsia="宋体" w:cs="宋体"/>
          <w:strike w:val="0"/>
          <w:dstrike w:val="0"/>
          <w:color w:val="auto"/>
          <w:sz w:val="21"/>
          <w:szCs w:val="21"/>
          <w:highlight w:val="none"/>
          <w:u w:val="none"/>
          <w:shd w:val="clear" w:color="auto" w:fill="auto"/>
          <w:lang w:eastAsia="zh-CN"/>
        </w:rPr>
        <w:t>需</w:t>
      </w:r>
      <w:r>
        <w:rPr>
          <w:rFonts w:hint="eastAsia" w:ascii="宋体" w:hAnsi="宋体" w:eastAsia="宋体" w:cs="宋体"/>
          <w:strike w:val="0"/>
          <w:dstrike w:val="0"/>
          <w:color w:val="auto"/>
          <w:sz w:val="21"/>
          <w:szCs w:val="21"/>
          <w:highlight w:val="none"/>
          <w:u w:val="none"/>
          <w:shd w:val="clear" w:color="auto" w:fill="auto"/>
        </w:rPr>
        <w:t>人工顺利送入孔内</w:t>
      </w:r>
      <w:r>
        <w:rPr>
          <w:rFonts w:hint="eastAsia" w:ascii="宋体" w:hAnsi="宋体" w:eastAsia="宋体" w:cs="宋体"/>
          <w:strike w:val="0"/>
          <w:dstrike w:val="0"/>
          <w:color w:val="auto"/>
          <w:sz w:val="21"/>
          <w:szCs w:val="21"/>
          <w:highlight w:val="none"/>
          <w:u w:val="none"/>
          <w:shd w:val="clear" w:color="auto" w:fill="auto"/>
          <w:lang w:eastAsia="zh-CN"/>
        </w:rPr>
        <w:t>，</w:t>
      </w:r>
      <w:r>
        <w:rPr>
          <w:rFonts w:hint="eastAsia" w:ascii="宋体" w:hAnsi="宋体" w:eastAsia="宋体" w:cs="宋体"/>
          <w:strike w:val="0"/>
          <w:dstrike w:val="0"/>
          <w:color w:val="auto"/>
          <w:sz w:val="21"/>
          <w:szCs w:val="21"/>
          <w:highlight w:val="none"/>
          <w:u w:val="none"/>
          <w:shd w:val="clear" w:color="auto" w:fill="auto"/>
        </w:rPr>
        <w:t>保证到达孔底。</w:t>
      </w:r>
    </w:p>
    <w:p w14:paraId="25F00CA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3.2.5注浆工艺（关键技术）</w:t>
      </w:r>
    </w:p>
    <w:p w14:paraId="16F7DCF2">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该项目采用“一次常压注浆+二次压力注浆”工艺，意在可靠、充分地填满裂隙，</w:t>
      </w:r>
      <w:r>
        <w:rPr>
          <w:rFonts w:hint="eastAsia" w:ascii="宋体" w:hAnsi="宋体" w:eastAsia="宋体" w:cs="宋体"/>
          <w:strike w:val="0"/>
          <w:dstrike w:val="0"/>
          <w:color w:val="auto"/>
          <w:sz w:val="21"/>
          <w:szCs w:val="21"/>
          <w:highlight w:val="none"/>
          <w:u w:val="none"/>
          <w:shd w:val="clear" w:color="auto" w:fill="auto"/>
          <w:lang w:eastAsia="zh-CN"/>
        </w:rPr>
        <w:t>使锚杆承载力充分达到</w:t>
      </w:r>
      <w:r>
        <w:rPr>
          <w:rFonts w:hint="eastAsia" w:ascii="宋体" w:hAnsi="宋体" w:eastAsia="宋体" w:cs="宋体"/>
          <w:strike w:val="0"/>
          <w:dstrike w:val="0"/>
          <w:color w:val="auto"/>
          <w:sz w:val="21"/>
          <w:szCs w:val="21"/>
          <w:highlight w:val="none"/>
          <w:u w:val="none"/>
          <w:shd w:val="clear" w:color="auto" w:fill="auto"/>
        </w:rPr>
        <w:t>设计抗拔力。</w:t>
      </w:r>
    </w:p>
    <w:p w14:paraId="58B99724">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一次常压注浆：在杆身放置后，由一次注浆管注入M30水泥砂浆，从孔洞开始注浆，边注水边拔除，直至均匀的浓浆溢出孔洞，所以可以非常可靠地填满孔洞内的浆液。使用粘度严格控制在14-18秒以内的水泥砂浆。</w:t>
      </w:r>
    </w:p>
    <w:p w14:paraId="7E16E24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二次压力注浆：由于在初凝后适合使用二次注浆管进行压力注浆，因此应将注浆压力控制在1.0至2.0MPa之间。因此，通过一次注浆体与孔壁的弱区自然合理分离，使得注浆能够充分渗透到岩层的裂缝中，从而有效提升锚杆的抗拔承载力和可靠性。二次压力注浆：考虑到在注浆初凝后更适合使用二次注浆管进行压力注浆，因此应将注浆压力控制在1.0至2.0MPa之间。这样可以自然合理地将一次注浆体和孔壁的软弱区进行分浆，确保注浆能够充分注入岩层裂缝中，进而有效提升锚杆的抗拔承载力和可靠性。</w:t>
      </w:r>
    </w:p>
    <w:p w14:paraId="6009D06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3.3关键质量控制标准</w:t>
      </w:r>
    </w:p>
    <w:p w14:paraId="1BFE7684">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孔位偏差：水平、垂直方向≤100mm。</w:t>
      </w:r>
    </w:p>
    <w:p w14:paraId="722ED709">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孔深偏差：不小于设计长度，允许超深≤500mm。</w:t>
      </w:r>
    </w:p>
    <w:p w14:paraId="6153588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孔径偏差：不小于设计直径。</w:t>
      </w:r>
    </w:p>
    <w:p w14:paraId="66D62C23">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钻孔倾角偏差：≤3%。</w:t>
      </w:r>
    </w:p>
    <w:p w14:paraId="3C3E3994">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注浆饱满度：连续注浆工艺，满孔返浆，理论计算量不小于注浆饱满度。</w:t>
      </w:r>
    </w:p>
    <w:p w14:paraId="34CAB3CC">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抗拔力：在验收试验中，当最大试验荷载达到设计特征值的1.5倍时，锚杆未出现破坏，符合相关规范的要求。</w:t>
      </w:r>
    </w:p>
    <w:p w14:paraId="50DAFAB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4施工安全管理措施</w:t>
      </w:r>
    </w:p>
    <w:p w14:paraId="13D6C2B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4.1危险源识别与分析</w:t>
      </w:r>
    </w:p>
    <w:p w14:paraId="4963E373">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针对锚杆建设过程，</w:t>
      </w:r>
      <w:r>
        <w:rPr>
          <w:rFonts w:hint="eastAsia" w:ascii="宋体" w:hAnsi="宋体" w:eastAsia="宋体" w:cs="宋体"/>
          <w:strike w:val="0"/>
          <w:dstrike w:val="0"/>
          <w:color w:val="auto"/>
          <w:sz w:val="21"/>
          <w:szCs w:val="21"/>
          <w:highlight w:val="none"/>
          <w:u w:val="none"/>
          <w:shd w:val="clear" w:color="auto" w:fill="auto"/>
          <w:lang w:eastAsia="zh-CN"/>
        </w:rPr>
        <w:t>对主要作业风险进行了识别</w:t>
      </w:r>
      <w:r>
        <w:rPr>
          <w:rFonts w:hint="eastAsia" w:ascii="宋体" w:hAnsi="宋体" w:eastAsia="宋体" w:cs="宋体"/>
          <w:strike w:val="0"/>
          <w:dstrike w:val="0"/>
          <w:color w:val="auto"/>
          <w:sz w:val="21"/>
          <w:szCs w:val="21"/>
          <w:highlight w:val="none"/>
          <w:u w:val="none"/>
          <w:shd w:val="clear" w:color="auto" w:fill="auto"/>
        </w:rPr>
        <w:t>。</w:t>
      </w:r>
    </w:p>
    <w:p w14:paraId="0DDC5BBC">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机械伤害：钻机旋转部件、起重吊装。</w:t>
      </w:r>
    </w:p>
    <w:p w14:paraId="7E958AA7">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触电：施工用电、电缆破损、设备漏电。</w:t>
      </w:r>
    </w:p>
    <w:p w14:paraId="0FA735EF">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物体打击：钻杆、钻头等工具坠落。</w:t>
      </w:r>
    </w:p>
    <w:p w14:paraId="5944943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高空坠落：不规范的钻机平台搭设(虽然大部分是地面作业，但在钻机位置和调整的时候，钻机都存在边缘危险)。</w:t>
      </w:r>
    </w:p>
    <w:p w14:paraId="21D78516">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职业卫生：钻孔、注浆作业与化学材料接触的粉尘、噪声。</w:t>
      </w:r>
    </w:p>
    <w:p w14:paraId="2149185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4.2安全技术措施</w:t>
      </w:r>
    </w:p>
    <w:p w14:paraId="0F4F869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4.2.1通用安全措施</w:t>
      </w:r>
    </w:p>
    <w:p w14:paraId="6DEBB76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dstrike w:val="0"/>
          <w:color w:val="auto"/>
          <w:sz w:val="21"/>
          <w:szCs w:val="21"/>
          <w:highlight w:val="none"/>
          <w:shd w:val="clear" w:color="auto" w:fill="auto"/>
        </w:rPr>
        <w:t>建筑工人上岗前要经过安全教育</w:t>
      </w:r>
      <w:r>
        <w:rPr>
          <w:rFonts w:hint="eastAsia" w:ascii="宋体" w:hAnsi="宋体" w:eastAsia="宋体" w:cs="宋体"/>
          <w:dstrike w:val="0"/>
          <w:color w:val="auto"/>
          <w:sz w:val="21"/>
          <w:szCs w:val="21"/>
          <w:highlight w:val="none"/>
          <w:shd w:val="clear" w:color="auto" w:fill="auto"/>
          <w:lang w:val="en-US" w:eastAsia="zh-CN"/>
        </w:rPr>
        <w:t>并培训合格</w:t>
      </w:r>
      <w:r>
        <w:rPr>
          <w:rFonts w:hint="eastAsia" w:ascii="宋体" w:hAnsi="宋体" w:eastAsia="宋体" w:cs="宋体"/>
          <w:dstrike w:val="0"/>
          <w:color w:val="auto"/>
          <w:sz w:val="21"/>
          <w:szCs w:val="21"/>
          <w:highlight w:val="none"/>
          <w:shd w:val="clear" w:color="auto" w:fill="auto"/>
        </w:rPr>
        <w:t>。</w:t>
      </w:r>
      <w:r>
        <w:rPr>
          <w:rFonts w:hint="eastAsia" w:ascii="宋体" w:hAnsi="宋体" w:eastAsia="宋体" w:cs="宋体"/>
          <w:strike w:val="0"/>
          <w:dstrike w:val="0"/>
          <w:color w:val="auto"/>
          <w:sz w:val="21"/>
          <w:szCs w:val="21"/>
          <w:highlight w:val="none"/>
          <w:u w:val="none"/>
          <w:shd w:val="clear" w:color="auto" w:fill="auto"/>
        </w:rPr>
        <w:t>当班危险源辨识及操作规程交底将在每天开班前进行。</w:t>
      </w:r>
    </w:p>
    <w:p w14:paraId="448F6B98">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个人防护用品(PPE)的配备与检验：进入建筑工地前需严格按照要求穿戴好劳保用品；钻机操作手、焊工等特殊工种按规定配戴防护镜、绝缘手套等。</w:t>
      </w:r>
    </w:p>
    <w:p w14:paraId="7A7E096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现场警戒及提示牌：施工区域采用标准围挡封闭，并设置“谨防机械伤人”、“必须戴安全帽”等明显的安全警示牌，严禁非作业人员进场。</w:t>
      </w:r>
    </w:p>
    <w:p w14:paraId="59853D1E">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设备安全管理：钻机安装稳固，旋转部位加装防护罩，钻机等设备进场前必须验收合格。</w:t>
      </w:r>
    </w:p>
    <w:p w14:paraId="387442F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4.2.2专项作业安全措施</w:t>
      </w:r>
    </w:p>
    <w:p w14:paraId="442D2E2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钻孔作业：</w:t>
      </w:r>
    </w:p>
    <w:p w14:paraId="50A8F8F9">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用电安全：避免机械碾压，应采用架空电缆线或埋设电缆线的办法；开关箱漏电保护器按规格配置。</w:t>
      </w:r>
    </w:p>
    <w:p w14:paraId="248FFBB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防止机械损伤：严禁手或工具接触钻杆转动时钻机作业。</w:t>
      </w:r>
    </w:p>
    <w:p w14:paraId="5305C898">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dstrike w:val="0"/>
          <w:color w:val="auto"/>
          <w:sz w:val="21"/>
          <w:szCs w:val="21"/>
          <w:highlight w:val="none"/>
          <w:shd w:val="clear" w:color="auto" w:fill="auto"/>
        </w:rPr>
        <w:t>防尘措施：使用湿式钻孔工艺以降低粉尘浓度。</w:t>
      </w:r>
    </w:p>
    <w:p w14:paraId="0020ACF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注浆作业：</w:t>
      </w:r>
    </w:p>
    <w:p w14:paraId="5D6EC78F">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化学品管理：要分类存放，防止扬散，如水泥、添加剂等。</w:t>
      </w:r>
    </w:p>
    <w:p w14:paraId="0972A6C5">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设备安全：注浆泵与管路连接应牢固可靠，并定期对压力表进行校验，严禁超压作业，防止因高压管路爆裂而导致人员受伤。</w:t>
      </w:r>
    </w:p>
    <w:p w14:paraId="5D7CA3A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4.2.3化工园区（厂区）作业安全规定</w:t>
      </w:r>
    </w:p>
    <w:p w14:paraId="388E9BB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严格按照化工园区规定执行：</w:t>
      </w:r>
    </w:p>
    <w:p w14:paraId="0C0BA1C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dstrike w:val="0"/>
          <w:color w:val="auto"/>
          <w:sz w:val="21"/>
          <w:szCs w:val="21"/>
          <w:highlight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特殊作业票证制度：施工中必须事先办理相应的安全作业票证，经批准后方可实施，如遇动火、临时用电、登高、动土等危险作业。</w:t>
      </w:r>
      <w:r>
        <w:rPr>
          <w:rFonts w:hint="eastAsia" w:ascii="宋体" w:hAnsi="宋体" w:eastAsia="宋体" w:cs="宋体"/>
          <w:dstrike w:val="0"/>
          <w:color w:val="auto"/>
          <w:sz w:val="21"/>
          <w:szCs w:val="21"/>
          <w:highlight w:val="none"/>
          <w:shd w:val="clear" w:color="auto" w:fill="auto"/>
        </w:rPr>
        <w:t>地下管线和设施需要确认后才能动土作业。</w:t>
      </w:r>
    </w:p>
    <w:p w14:paraId="04B69AFF">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劳动保护升级：厂区内严禁吸烟，严禁在非作业区随意穿行，因为进入该区域除常规的PPE外，要根据风险辨识结果正确佩戴防尘口罩和护目镜。</w:t>
      </w:r>
    </w:p>
    <w:p w14:paraId="1296BBDC">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应急管理：编制切实可行的火灾等事故现场应急处置预案，在确保各类应急通道畅通无阻的同时，现场备足灭火器、急救箱等应急装备。</w:t>
      </w:r>
    </w:p>
    <w:p w14:paraId="6A7D2C6B">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文明施工：因物料堆砌非常整齐，可将物料清理完毕，故依环保要求妥善处理建筑垃圾、泥浆等，绝不随意就地排放。</w:t>
      </w:r>
    </w:p>
    <w:p w14:paraId="09D3E9E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4.3安全保证体系</w:t>
      </w:r>
    </w:p>
    <w:p w14:paraId="4BD340C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严格落实安全生产责任制、安全技术交底制、安全例会制、安全检查制，成立了由项目经理任组长，配备专职安全员、班组兼职安全员的安全生产领导小组。</w:t>
      </w:r>
    </w:p>
    <w:p w14:paraId="48AFC5B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5应用效果与验证</w:t>
      </w:r>
    </w:p>
    <w:p w14:paraId="1BF8D16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5.1锚杆基本试验</w:t>
      </w:r>
    </w:p>
    <w:p w14:paraId="6A722573">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施工前，将事故废水收集池和初期雨水收集池各6根锚杆选在非工程区内，开展基础测试工作。测试采用分级加载方式，将最大测试荷载提高到2.0倍(390KN)的设计特征值。</w:t>
      </w:r>
      <w:r>
        <w:rPr>
          <w:rFonts w:hint="eastAsia" w:ascii="宋体" w:hAnsi="宋体" w:eastAsia="宋体" w:cs="宋体"/>
          <w:dstrike w:val="0"/>
          <w:color w:val="auto"/>
          <w:sz w:val="21"/>
          <w:szCs w:val="21"/>
          <w:highlight w:val="none"/>
          <w:shd w:val="clear" w:color="auto" w:fill="auto"/>
        </w:rPr>
        <w:t>试验结果检测报告表明：所有锚杆的荷载-位移曲线平缓，锚固段注浆体与岩层粘结良好，设计参数和施工工艺可行性在规范允许的范围内位移量得到验证，无破坏或异常现象。</w:t>
      </w:r>
    </w:p>
    <w:p w14:paraId="0CF2A63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5.2锚杆验收试验</w:t>
      </w:r>
    </w:p>
    <w:p w14:paraId="54CF3027">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57根锚杆(事故废水收集池28个，初期雨水收集池29个)在工程锚杆施工结束后，按规范要求抽取锚杆进行抗拔承载力验收测试。</w:t>
      </w:r>
      <w:r>
        <w:rPr>
          <w:rFonts w:hint="eastAsia" w:ascii="宋体" w:hAnsi="宋体" w:eastAsia="宋体" w:cs="宋体"/>
          <w:strike w:val="0"/>
          <w:dstrike w:val="0"/>
          <w:color w:val="auto"/>
          <w:sz w:val="21"/>
          <w:szCs w:val="21"/>
          <w:highlight w:val="none"/>
          <w:u w:val="none"/>
          <w:shd w:val="clear" w:color="auto" w:fill="auto"/>
        </w:rPr>
        <w:t>最大测试荷载提高到1.5倍设计特征值</w:t>
      </w:r>
      <w:r>
        <w:rPr>
          <w:rFonts w:hint="eastAsia" w:ascii="宋体" w:hAnsi="宋体" w:eastAsia="宋体" w:cs="宋体"/>
          <w:strike w:val="0"/>
          <w:dstrike w:val="0"/>
          <w:color w:val="auto"/>
          <w:sz w:val="21"/>
          <w:szCs w:val="21"/>
          <w:highlight w:val="none"/>
          <w:u w:val="none"/>
          <w:shd w:val="clear" w:color="auto" w:fill="auto"/>
          <w:lang w:eastAsia="zh-CN"/>
        </w:rPr>
        <w:t>（292.5kN）</w:t>
      </w:r>
      <w:r>
        <w:rPr>
          <w:rFonts w:hint="eastAsia" w:ascii="宋体" w:hAnsi="宋体" w:eastAsia="宋体" w:cs="宋体"/>
          <w:strike w:val="0"/>
          <w:dstrike w:val="0"/>
          <w:color w:val="auto"/>
          <w:sz w:val="21"/>
          <w:szCs w:val="21"/>
          <w:highlight w:val="none"/>
          <w:u w:val="none"/>
          <w:shd w:val="clear" w:color="auto" w:fill="auto"/>
        </w:rPr>
        <w:t>。测试报告显示：各受检锚杆在测试荷载、卸载后残余变形符合规范要求的情况下，均保持稳定，无损坏现象，所有抗拉载能力均为合格。</w:t>
      </w:r>
    </w:p>
    <w:p w14:paraId="1E15982B">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与之配套的事故废水收集池和初期雨水收集池的满水测试结果表明，间接验证了抗浮锚杆系统的有效性，池体和底板没有发生渗漏，也没有发生异常变形。</w:t>
      </w:r>
    </w:p>
    <w:p w14:paraId="264E22C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6结论与建议</w:t>
      </w:r>
    </w:p>
    <w:p w14:paraId="0A883D8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6.1主要结论</w:t>
      </w:r>
    </w:p>
    <w:p w14:paraId="57ED771C">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(1)方案得力：采用“水盆效应+主动抗浮锚杆”的综合抗浮方案，由于高水位、坚硬岩层地质条件的特点，既科学、经济、可靠，又使水池抗浮问题得到自然、合理的解决。</w:t>
      </w:r>
    </w:p>
    <w:p w14:paraId="2A9E9DC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2）工艺合理：从“XY-150型钻机+硬质合金钻头”钻入中风化灰岩的钻进工艺、“定位支架+双管注浆”的杆体安放和注浆工艺，以及“一次常压+二次压力”的分段注浆技术试验分析中，可以非常清晰可靠地得出：各工艺对锚杆成孔质量、锚固力、长期耐久性都有很好的保证，因此非常适合于同类岩层。</w:t>
      </w:r>
    </w:p>
    <w:p w14:paraId="69D5B85E">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(3)质控体系：其本身是保证锚杆施工质量的可靠基础，因为所建立的全过程质量控制体系严格控制孔位，孔深，注浆压力，饱满度，抗拔力等参数。</w:t>
      </w:r>
    </w:p>
    <w:p w14:paraId="7C2026A7">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rPr>
        <w:t>(</w:t>
      </w:r>
      <w:r>
        <w:rPr>
          <w:rFonts w:hint="eastAsia" w:ascii="宋体" w:hAnsi="宋体" w:eastAsia="宋体" w:cs="宋体"/>
          <w:dstrike w:val="0"/>
          <w:color w:val="auto"/>
          <w:sz w:val="21"/>
          <w:szCs w:val="21"/>
          <w:highlight w:val="none"/>
          <w:shd w:val="clear" w:color="auto" w:fill="auto"/>
          <w:lang w:val="en-US" w:eastAsia="zh-CN"/>
        </w:rPr>
        <w:t>4</w:t>
      </w:r>
      <w:r>
        <w:rPr>
          <w:rFonts w:hint="eastAsia" w:ascii="宋体" w:hAnsi="宋体" w:eastAsia="宋体" w:cs="宋体"/>
          <w:dstrike w:val="0"/>
          <w:color w:val="auto"/>
          <w:sz w:val="21"/>
          <w:szCs w:val="21"/>
          <w:highlight w:val="none"/>
          <w:shd w:val="clear" w:color="auto" w:fill="auto"/>
        </w:rPr>
        <w:t>)安全制度得力：建立的安全管理组织体系，采取的技术措施和应急机制，对各种风险的控制，如机械损伤、触电、基坑坍塌等，由于化工园区的特点明确，可以做到十分自然、妥当，从而实现了零事故施工的目标。</w:t>
      </w:r>
    </w:p>
    <w:p w14:paraId="0B8DDC9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6.2建议</w:t>
      </w:r>
    </w:p>
    <w:p w14:paraId="389EB47D">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trike w:val="0"/>
          <w:dstrike w:val="0"/>
          <w:color w:val="auto"/>
          <w:sz w:val="21"/>
          <w:szCs w:val="21"/>
          <w:highlight w:val="none"/>
          <w:u w:val="none"/>
          <w:shd w:val="clear" w:color="auto" w:fill="auto"/>
        </w:rPr>
        <w:t>（1）宜在施工中主动掌握岩层变化，遇溶洞、破碎带等不良地质时及时与设计单位联系，合理调整锚杆长度、增注浆量或采用跟管钻进，因为动态设计、信息化施工有利于施工中对钻孔取芯结果做出及时、可靠的判别。</w:t>
      </w:r>
    </w:p>
    <w:p w14:paraId="0DC459C1">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dstrike w:val="0"/>
          <w:color w:val="auto"/>
          <w:sz w:val="21"/>
          <w:szCs w:val="21"/>
          <w:highlight w:val="none"/>
          <w:shd w:val="clear" w:color="auto" w:fill="auto"/>
          <w:lang w:eastAsia="zh-CN"/>
        </w:rPr>
        <w:t>（</w:t>
      </w:r>
      <w:r>
        <w:rPr>
          <w:rFonts w:hint="eastAsia" w:ascii="宋体" w:hAnsi="宋体" w:eastAsia="宋体" w:cs="宋体"/>
          <w:dstrike w:val="0"/>
          <w:color w:val="auto"/>
          <w:sz w:val="21"/>
          <w:szCs w:val="21"/>
          <w:highlight w:val="none"/>
          <w:shd w:val="clear" w:color="auto" w:fill="auto"/>
          <w:lang w:val="en-US" w:eastAsia="zh-CN"/>
        </w:rPr>
        <w:t>2</w:t>
      </w:r>
      <w:r>
        <w:rPr>
          <w:rFonts w:hint="eastAsia" w:ascii="宋体" w:hAnsi="宋体" w:eastAsia="宋体" w:cs="宋体"/>
          <w:dstrike w:val="0"/>
          <w:color w:val="auto"/>
          <w:sz w:val="21"/>
          <w:szCs w:val="21"/>
          <w:highlight w:val="none"/>
          <w:shd w:val="clear" w:color="auto" w:fill="auto"/>
          <w:lang w:eastAsia="zh-CN"/>
        </w:rPr>
        <w:t>）</w:t>
      </w:r>
      <w:r>
        <w:rPr>
          <w:rFonts w:hint="eastAsia" w:ascii="宋体" w:hAnsi="宋体" w:eastAsia="宋体" w:cs="宋体"/>
          <w:dstrike w:val="0"/>
          <w:color w:val="auto"/>
          <w:sz w:val="21"/>
          <w:szCs w:val="21"/>
          <w:highlight w:val="none"/>
          <w:shd w:val="clear" w:color="auto" w:fill="auto"/>
        </w:rPr>
        <w:t>注浆精细化管理：二次注浆应先做试验段，确定注浆压力及开塞时间的最佳状态。</w:t>
      </w:r>
    </w:p>
    <w:p w14:paraId="3EC3E100">
      <w:pPr>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trike w:val="0"/>
          <w:dstrike w:val="0"/>
          <w:color w:val="auto"/>
          <w:sz w:val="21"/>
          <w:szCs w:val="21"/>
          <w:highlight w:val="none"/>
          <w:u w:val="none"/>
          <w:shd w:val="clear" w:color="auto" w:fill="auto"/>
        </w:rPr>
      </w:pPr>
      <w:r>
        <w:rPr>
          <w:rFonts w:hint="eastAsia" w:ascii="宋体" w:hAnsi="宋体" w:eastAsia="宋体" w:cs="宋体"/>
          <w:strike w:val="0"/>
          <w:dstrike w:val="0"/>
          <w:color w:val="auto"/>
          <w:sz w:val="21"/>
          <w:szCs w:val="21"/>
          <w:highlight w:val="none"/>
          <w:u w:val="none"/>
          <w:shd w:val="clear" w:color="auto" w:fill="auto"/>
        </w:rPr>
        <w:t>（3）加强对成品的保护：由于锚杆施工到底板混凝土浇筑前应采取可靠的保护措施，即先裹防水胶带，再设置明显警示标志，锚杆外露部分必须注意焊接底板钢筋时环氧树脂涂层的保护或后期补涂。</w:t>
      </w:r>
    </w:p>
    <w:p w14:paraId="6D47F5C6">
      <w:pPr>
        <w:pageBreakBefore w:val="0"/>
        <w:kinsoku/>
        <w:wordWrap/>
        <w:overflowPunct/>
        <w:topLinePunct w:val="0"/>
        <w:autoSpaceDE/>
        <w:autoSpaceDN/>
        <w:bidi w:val="0"/>
        <w:spacing w:line="400" w:lineRule="exact"/>
        <w:textAlignment w:val="auto"/>
        <w:rPr>
          <w:rFonts w:hint="eastAsia" w:ascii="宋体" w:hAnsi="宋体" w:eastAsia="宋体" w:cs="宋体"/>
          <w:strike w:val="0"/>
          <w:dstrike w:val="0"/>
          <w:color w:val="auto"/>
          <w:sz w:val="21"/>
          <w:szCs w:val="21"/>
          <w:highlight w:val="none"/>
          <w:u w:val="none"/>
          <w:shd w:val="clear" w:color="auto" w:fill="auto"/>
        </w:rPr>
      </w:pPr>
    </w:p>
    <w:p w14:paraId="5C08EB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2F9D4D99">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[1]中华人民共和国住房和城乡建设部.建筑工程抗浮技术标准:JGJ476-2019[S].北京:中国建筑工业出版社，2019.</w:t>
      </w:r>
    </w:p>
    <w:p w14:paraId="00792491">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[2]中华人民共和国建设部.建筑地基基础设计规范:GB50007-2011[S].北京:中国计划出版社，2012.</w:t>
      </w:r>
    </w:p>
    <w:p w14:paraId="6EA2274C">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[3]中华人民共和国住房和城乡建设部.岩土工程勘察规范:GB50021-2001(2009年版)[S].北京:中国建筑工业出版社，2009.</w:t>
      </w:r>
    </w:p>
    <w:p w14:paraId="5F6CC900">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[4]中华人民共和国住房和城乡建设部.混凝土结构设计规范:GB50010-2010(2015年版)[S].北京:中国建筑工业出版社，2016.</w:t>
      </w:r>
    </w:p>
    <w:p w14:paraId="6D24DF80">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[5]中华人民共和国应急管理部.危险化学品企业特殊作业安全规范:GB30871-2022[S].北京:中国标准出版社，2022.</w:t>
      </w:r>
    </w:p>
    <w:p w14:paraId="57BAA6E6">
      <w:pPr>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shd w:val="clear" w:color="auto" w:fill="FFFFFF"/>
          <w:lang w:val="en-US" w:eastAsia="zh-CN" w:bidi="ar"/>
        </w:rPr>
      </w:pPr>
      <w:r>
        <w:rPr>
          <w:rFonts w:hint="eastAsia" w:ascii="宋体" w:hAnsi="宋体" w:eastAsia="宋体" w:cs="宋体"/>
          <w:strike w:val="0"/>
          <w:dstrike w:val="0"/>
          <w:color w:val="auto"/>
          <w:sz w:val="21"/>
          <w:szCs w:val="21"/>
          <w:highlight w:val="none"/>
          <w:u w:val="none"/>
          <w:shd w:val="clear" w:color="auto" w:fill="auto"/>
          <w:lang w:eastAsia="zh-CN" w:bidi="ar"/>
        </w:rPr>
        <w:t>[6]袁海军，李强.岩土锚固技术手册[M].北京:人民交通出版社，2018.</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94959"/>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81F50"/>
    <w:rsid w:val="01C963F3"/>
    <w:rsid w:val="01DE1C5C"/>
    <w:rsid w:val="02203B3A"/>
    <w:rsid w:val="02B86B51"/>
    <w:rsid w:val="03304250"/>
    <w:rsid w:val="034122DA"/>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801BA"/>
    <w:rsid w:val="0C2B45A8"/>
    <w:rsid w:val="0C580AA0"/>
    <w:rsid w:val="0C8E44C1"/>
    <w:rsid w:val="0CDE6ACB"/>
    <w:rsid w:val="0CE82491"/>
    <w:rsid w:val="0CF56428"/>
    <w:rsid w:val="0D1771C4"/>
    <w:rsid w:val="0D525F6F"/>
    <w:rsid w:val="0D731909"/>
    <w:rsid w:val="0DA11FD2"/>
    <w:rsid w:val="0E2844A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8F876E9"/>
    <w:rsid w:val="191221DB"/>
    <w:rsid w:val="19235F91"/>
    <w:rsid w:val="19800B64"/>
    <w:rsid w:val="19836A30"/>
    <w:rsid w:val="199944A6"/>
    <w:rsid w:val="19FD4A34"/>
    <w:rsid w:val="1A533F79"/>
    <w:rsid w:val="1A5A1E87"/>
    <w:rsid w:val="1B2F179A"/>
    <w:rsid w:val="1B542D7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938C2"/>
    <w:rsid w:val="20CA763A"/>
    <w:rsid w:val="21294361"/>
    <w:rsid w:val="21661758"/>
    <w:rsid w:val="219A0DBB"/>
    <w:rsid w:val="227635D6"/>
    <w:rsid w:val="22BA5BB9"/>
    <w:rsid w:val="230D784D"/>
    <w:rsid w:val="23B95F13"/>
    <w:rsid w:val="24174945"/>
    <w:rsid w:val="24212C83"/>
    <w:rsid w:val="244020ED"/>
    <w:rsid w:val="2472601F"/>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8E21E22"/>
    <w:rsid w:val="29F55569"/>
    <w:rsid w:val="2A6D1762"/>
    <w:rsid w:val="2A9C2048"/>
    <w:rsid w:val="2AF37C49"/>
    <w:rsid w:val="2C1A3224"/>
    <w:rsid w:val="2C5F332D"/>
    <w:rsid w:val="2CDC497D"/>
    <w:rsid w:val="2DA03BFD"/>
    <w:rsid w:val="2DA336ED"/>
    <w:rsid w:val="2DCE23DB"/>
    <w:rsid w:val="2DD45655"/>
    <w:rsid w:val="2E7221A8"/>
    <w:rsid w:val="2EC67693"/>
    <w:rsid w:val="2EE30245"/>
    <w:rsid w:val="2F087CAC"/>
    <w:rsid w:val="2F0E4B96"/>
    <w:rsid w:val="2F1A353B"/>
    <w:rsid w:val="2F1F6DA3"/>
    <w:rsid w:val="2F397E65"/>
    <w:rsid w:val="2F620882"/>
    <w:rsid w:val="2F633134"/>
    <w:rsid w:val="2F882B9B"/>
    <w:rsid w:val="2F8A06C1"/>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4C3C43"/>
    <w:rsid w:val="337771AE"/>
    <w:rsid w:val="33D068BE"/>
    <w:rsid w:val="33F94067"/>
    <w:rsid w:val="342509B8"/>
    <w:rsid w:val="34480B4A"/>
    <w:rsid w:val="34821AD6"/>
    <w:rsid w:val="35A52FD0"/>
    <w:rsid w:val="35D501BC"/>
    <w:rsid w:val="36407D2B"/>
    <w:rsid w:val="36BE3BE8"/>
    <w:rsid w:val="36DA26A7"/>
    <w:rsid w:val="36DB5CA6"/>
    <w:rsid w:val="3709636F"/>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448B8"/>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271071"/>
    <w:rsid w:val="41641264"/>
    <w:rsid w:val="41700BEB"/>
    <w:rsid w:val="426C3C56"/>
    <w:rsid w:val="42786A9F"/>
    <w:rsid w:val="42BC1743"/>
    <w:rsid w:val="42EE53FF"/>
    <w:rsid w:val="43B6162D"/>
    <w:rsid w:val="43E4263E"/>
    <w:rsid w:val="45554E75"/>
    <w:rsid w:val="459D60E3"/>
    <w:rsid w:val="45B70627"/>
    <w:rsid w:val="45CA5863"/>
    <w:rsid w:val="45E5444B"/>
    <w:rsid w:val="46362EF9"/>
    <w:rsid w:val="465515D1"/>
    <w:rsid w:val="468E4AE3"/>
    <w:rsid w:val="46F54E2D"/>
    <w:rsid w:val="46FD57C4"/>
    <w:rsid w:val="47925F0D"/>
    <w:rsid w:val="47A143DA"/>
    <w:rsid w:val="47A3636C"/>
    <w:rsid w:val="47E81E53"/>
    <w:rsid w:val="48A028AB"/>
    <w:rsid w:val="48B545A9"/>
    <w:rsid w:val="495C0DBE"/>
    <w:rsid w:val="49C95351"/>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973B0F"/>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4D20290"/>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8F14A59"/>
    <w:rsid w:val="59285798"/>
    <w:rsid w:val="596F60AE"/>
    <w:rsid w:val="5A2A0227"/>
    <w:rsid w:val="5A7B0A82"/>
    <w:rsid w:val="5B0311A3"/>
    <w:rsid w:val="5BB5218E"/>
    <w:rsid w:val="5BF01D90"/>
    <w:rsid w:val="5BFE5E0F"/>
    <w:rsid w:val="5CAA564F"/>
    <w:rsid w:val="5CC44962"/>
    <w:rsid w:val="5E361890"/>
    <w:rsid w:val="5EA87A80"/>
    <w:rsid w:val="5EDA046D"/>
    <w:rsid w:val="5EE237C6"/>
    <w:rsid w:val="5EF64B7B"/>
    <w:rsid w:val="5EFF7ED4"/>
    <w:rsid w:val="5F7679C4"/>
    <w:rsid w:val="5F7F2DC3"/>
    <w:rsid w:val="5FBF1411"/>
    <w:rsid w:val="601A09BC"/>
    <w:rsid w:val="60395667"/>
    <w:rsid w:val="60AA0313"/>
    <w:rsid w:val="610D33E8"/>
    <w:rsid w:val="615E35D8"/>
    <w:rsid w:val="619568CD"/>
    <w:rsid w:val="61E3588B"/>
    <w:rsid w:val="61E67129"/>
    <w:rsid w:val="621A5025"/>
    <w:rsid w:val="6252656D"/>
    <w:rsid w:val="62C5129A"/>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472BA3"/>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0CB5E68"/>
    <w:rsid w:val="712249E4"/>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153DEC"/>
    <w:rsid w:val="7A293F0A"/>
    <w:rsid w:val="7A5E24AA"/>
    <w:rsid w:val="7ACB4CB6"/>
    <w:rsid w:val="7B02692A"/>
    <w:rsid w:val="7B3960C4"/>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482D79"/>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5319</Words>
  <Characters>5807</Characters>
  <Lines>35</Lines>
  <Paragraphs>9</Paragraphs>
  <TotalTime>3</TotalTime>
  <ScaleCrop>false</ScaleCrop>
  <LinksUpToDate>false</LinksUpToDate>
  <CharactersWithSpaces>5815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2026-06-15T06:36:33Z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