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B132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7D68FE4">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bookmarkStart w:id="0" w:name="_GoBack"/>
      <w:bookmarkEnd w:id="0"/>
      <w:r>
        <w:rPr>
          <w:rFonts w:hint="eastAsia" w:ascii="隶书" w:hAnsi="隶书" w:eastAsia="隶书" w:cs="隶书"/>
          <w:lang w:val="en-US" w:eastAsia="zh-CN"/>
        </w:rPr>
        <w:t>自动电位滴定法在锅炉水中微量氯离子测定的应用</w:t>
      </w:r>
    </w:p>
    <w:p w14:paraId="4825B182">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焦德泉 李财红 毕晓云 李红</w:t>
      </w:r>
    </w:p>
    <w:p w14:paraId="5A5D74B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611987E8">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jc w:val="left"/>
        <w:rPr>
          <w:rFonts w:hint="eastAsia" w:ascii="宋体" w:hAnsi="宋体" w:eastAsia="宋体" w:cs="宋体"/>
          <w:b/>
          <w:bCs/>
          <w:dstrike w:val="0"/>
          <w:color w:val="000000" w:themeColor="text1"/>
          <w:sz w:val="21"/>
          <w:szCs w:val="21"/>
          <w:shd w:val="clear" w:color="auto" w:fill="auto"/>
          <w14:textFill>
            <w14:solidFill>
              <w14:schemeClr w14:val="tx1"/>
            </w14:solidFill>
          </w14:textFill>
        </w:rPr>
      </w:pPr>
    </w:p>
    <w:p w14:paraId="5A815289">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jc w:val="left"/>
        <w:rPr>
          <w:rFonts w:hint="eastAsia" w:ascii="宋体" w:hAnsi="宋体" w:eastAsia="宋体" w:cs="宋体"/>
          <w:dstrike w:val="0"/>
          <w:color w:val="000000" w:themeColor="text1"/>
          <w:sz w:val="21"/>
          <w:szCs w:val="21"/>
          <w:shd w:val="clear" w:color="auto" w:fill="auto"/>
          <w14:textFill>
            <w14:solidFill>
              <w14:schemeClr w14:val="tx1"/>
            </w14:solidFill>
          </w14:textFill>
        </w:rPr>
      </w:pPr>
      <w:r>
        <w:rPr>
          <w:rFonts w:hint="eastAsia" w:ascii="宋体" w:hAnsi="宋体" w:eastAsia="宋体" w:cs="宋体"/>
          <w:b/>
          <w:bCs/>
          <w:dstrike w:val="0"/>
          <w:color w:val="000000" w:themeColor="text1"/>
          <w:sz w:val="21"/>
          <w:szCs w:val="21"/>
          <w:shd w:val="clear" w:color="auto" w:fill="auto"/>
          <w14:textFill>
            <w14:solidFill>
              <w14:schemeClr w14:val="tx1"/>
            </w14:solidFill>
          </w14:textFill>
        </w:rPr>
        <w:t>摘要：</w:t>
      </w:r>
      <w:r>
        <w:rPr>
          <w:rFonts w:hint="eastAsia" w:ascii="宋体" w:hAnsi="宋体" w:eastAsia="宋体" w:cs="宋体"/>
          <w:dstrike w:val="0"/>
          <w:color w:val="000000" w:themeColor="text1"/>
          <w:sz w:val="21"/>
          <w:szCs w:val="21"/>
          <w:shd w:val="clear" w:color="auto" w:fill="auto"/>
          <w14:textFill>
            <w14:solidFill>
              <w14:schemeClr w14:val="tx1"/>
            </w14:solidFill>
          </w14:textFill>
        </w:rPr>
        <w:t>硫磺制酸工艺中炉水、给水的品质对锅炉及换热设备的安全运行有直接重大影响，而氯离子作为典型的强腐蚀性物质，即使在微量（μg/L级）水平也会引起点蚀及应力腐蚀开裂，因此要满足公司炉水氯离子含量≤ 4. 0 mg/L的严格控制要求，就必须解决传统莫尔法精度不够及离子色谱法成本极高的两大问题。为此，本文系统、严谨地介绍了所采用的梅特勒G10S自动电位滴定仪，配合DMi141 - SC电极及AgNO ₃ 滴定剂，建立了基于等当点滴定（EQP）模式的电位滴定方法。首先用系列氯标准溶液（0. 4~100 mg/L）考察了方法的精密度及准确度，继而用加标回收试验验证方法的可靠性，最后与天安实验室的实际样品做了直接对比分析。结果清楚而可靠：在氯离子浓度低于10 mg/L范围内，相对标准偏差均小于5%，加标回收率在97. 2%～102. 5% 之间，t检验结果与理论值没有统计学意义上的差异。更重要的是，通过优化滴定参数，与天安实验室对照数据的偏差进一步缩小。故而可以十分自然、合理地得出结论：本文所建立的自动电位滴定法操作简便，灵敏度高，完全适用于硫磺制酸工艺中炉水、给水等样品中微量氯离子（&lt;10 mg/L）的检测。 该方法可在化工企业现场快速完成检测，有效降低设备投入与运维成本，对保障锅炉系统长期稳定运行、减少腐蚀泄漏风险具有重要的工程应用价值，也为同行业水质氯离子监测提供了可参考的实用技术方案。</w:t>
      </w:r>
    </w:p>
    <w:p w14:paraId="1AE13A38">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color w:val="0F1115"/>
          <w:sz w:val="21"/>
          <w:szCs w:val="21"/>
          <w:highlight w:val="none"/>
          <w:shd w:val="clear" w:color="auto" w:fill="FFFFFF"/>
        </w:rPr>
      </w:pPr>
      <w:r>
        <w:rPr>
          <w:rFonts w:hint="eastAsia" w:ascii="宋体" w:hAnsi="宋体" w:eastAsia="宋体" w:cs="宋体"/>
          <w:b/>
          <w:bCs/>
          <w:dstrike w:val="0"/>
          <w:color w:val="000000" w:themeColor="text1"/>
          <w:sz w:val="21"/>
          <w:szCs w:val="21"/>
          <w:shd w:val="clear" w:color="auto" w:fill="auto"/>
          <w14:textFill>
            <w14:solidFill>
              <w14:schemeClr w14:val="tx1"/>
            </w14:solidFill>
          </w14:textFill>
        </w:rPr>
        <w:t>关键词：</w:t>
      </w:r>
      <w:r>
        <w:rPr>
          <w:rFonts w:hint="eastAsia" w:ascii="宋体" w:hAnsi="宋体" w:eastAsia="宋体" w:cs="宋体"/>
          <w:strike w:val="0"/>
          <w:dstrike w:val="0"/>
          <w:color w:val="000000"/>
          <w:sz w:val="21"/>
          <w:szCs w:val="21"/>
          <w:highlight w:val="none"/>
          <w:u w:val="none"/>
          <w:shd w:val="clear" w:color="auto" w:fill="auto"/>
        </w:rPr>
        <w:t>自动电位滴定</w:t>
      </w:r>
      <w:r>
        <w:rPr>
          <w:rFonts w:hint="eastAsia" w:ascii="宋体" w:hAnsi="宋体" w:eastAsia="宋体" w:cs="宋体"/>
          <w:strike w:val="0"/>
          <w:dstrike w:val="0"/>
          <w:color w:val="000000"/>
          <w:sz w:val="21"/>
          <w:szCs w:val="21"/>
          <w:highlight w:val="none"/>
          <w:u w:val="none"/>
          <w:shd w:val="clear" w:color="auto" w:fill="auto"/>
          <w:lang w:val="en-US" w:eastAsia="zh-CN"/>
        </w:rPr>
        <w:t xml:space="preserve"> </w:t>
      </w:r>
      <w:r>
        <w:rPr>
          <w:rFonts w:hint="eastAsia" w:ascii="宋体" w:hAnsi="宋体" w:eastAsia="宋体" w:cs="宋体"/>
          <w:strike w:val="0"/>
          <w:dstrike w:val="0"/>
          <w:color w:val="000000"/>
          <w:sz w:val="21"/>
          <w:szCs w:val="21"/>
          <w:highlight w:val="none"/>
          <w:u w:val="none"/>
          <w:shd w:val="clear" w:color="auto" w:fill="auto"/>
        </w:rPr>
        <w:t>微量氯离子</w:t>
      </w:r>
      <w:r>
        <w:rPr>
          <w:rFonts w:hint="eastAsia" w:ascii="宋体" w:hAnsi="宋体" w:eastAsia="宋体" w:cs="宋体"/>
          <w:strike w:val="0"/>
          <w:dstrike w:val="0"/>
          <w:color w:val="000000"/>
          <w:sz w:val="21"/>
          <w:szCs w:val="21"/>
          <w:highlight w:val="none"/>
          <w:u w:val="none"/>
          <w:shd w:val="clear" w:color="auto" w:fill="auto"/>
          <w:lang w:val="en-US" w:eastAsia="zh-CN"/>
        </w:rPr>
        <w:t xml:space="preserve"> </w:t>
      </w:r>
      <w:r>
        <w:rPr>
          <w:rFonts w:hint="eastAsia" w:ascii="宋体" w:hAnsi="宋体" w:eastAsia="宋体" w:cs="宋体"/>
          <w:strike w:val="0"/>
          <w:dstrike w:val="0"/>
          <w:color w:val="000000"/>
          <w:sz w:val="21"/>
          <w:szCs w:val="21"/>
          <w:highlight w:val="none"/>
          <w:u w:val="none"/>
          <w:shd w:val="clear" w:color="auto" w:fill="auto"/>
        </w:rPr>
        <w:t>锅炉水</w:t>
      </w:r>
      <w:r>
        <w:rPr>
          <w:rFonts w:hint="eastAsia" w:ascii="宋体" w:hAnsi="宋体" w:eastAsia="宋体" w:cs="宋体"/>
          <w:strike w:val="0"/>
          <w:dstrike w:val="0"/>
          <w:color w:val="000000"/>
          <w:sz w:val="21"/>
          <w:szCs w:val="21"/>
          <w:highlight w:val="none"/>
          <w:u w:val="none"/>
          <w:shd w:val="clear" w:color="auto" w:fill="auto"/>
          <w:lang w:val="en-US" w:eastAsia="zh-CN"/>
        </w:rPr>
        <w:t xml:space="preserve"> </w:t>
      </w:r>
      <w:r>
        <w:rPr>
          <w:rFonts w:hint="eastAsia" w:ascii="宋体" w:hAnsi="宋体" w:eastAsia="宋体" w:cs="宋体"/>
          <w:strike w:val="0"/>
          <w:dstrike w:val="0"/>
          <w:color w:val="000000"/>
          <w:sz w:val="21"/>
          <w:szCs w:val="21"/>
          <w:highlight w:val="none"/>
          <w:u w:val="none"/>
          <w:shd w:val="clear" w:color="auto" w:fill="auto"/>
        </w:rPr>
        <w:t>方法验证</w:t>
      </w:r>
      <w:r>
        <w:rPr>
          <w:rFonts w:hint="eastAsia" w:ascii="宋体" w:hAnsi="宋体" w:eastAsia="宋体" w:cs="宋体"/>
          <w:strike w:val="0"/>
          <w:dstrike w:val="0"/>
          <w:color w:val="000000"/>
          <w:sz w:val="21"/>
          <w:szCs w:val="21"/>
          <w:highlight w:val="none"/>
          <w:u w:val="none"/>
          <w:shd w:val="clear" w:color="auto" w:fill="auto"/>
          <w:lang w:val="en-US" w:eastAsia="zh-CN"/>
        </w:rPr>
        <w:t xml:space="preserve"> </w:t>
      </w:r>
      <w:r>
        <w:rPr>
          <w:rFonts w:hint="eastAsia" w:ascii="宋体" w:hAnsi="宋体" w:eastAsia="宋体" w:cs="宋体"/>
          <w:strike w:val="0"/>
          <w:dstrike w:val="0"/>
          <w:color w:val="000000"/>
          <w:sz w:val="21"/>
          <w:szCs w:val="21"/>
          <w:highlight w:val="none"/>
          <w:u w:val="none"/>
          <w:shd w:val="clear" w:color="auto" w:fill="auto"/>
        </w:rPr>
        <w:t>加标回收率</w:t>
      </w:r>
    </w:p>
    <w:p w14:paraId="35DA8B4A">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p>
    <w:p w14:paraId="0EEF67AB">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dstrike w:val="0"/>
          <w:color w:val="000000" w:themeColor="text1"/>
          <w:sz w:val="21"/>
          <w:szCs w:val="21"/>
          <w:shd w:val="clear" w:color="auto" w:fill="auto"/>
          <w14:textFill>
            <w14:solidFill>
              <w14:schemeClr w14:val="tx1"/>
            </w14:solidFill>
          </w14:textFill>
        </w:rPr>
        <w:t xml:space="preserve">由于硫磺制酸工艺中炉水为锅炉换热介质，给水为锅炉补水，因此炉水及给水的水质指标对锅炉、换热器等设备长期安全运行有直接、实质的重要性。氯离子是众所周知的强腐蚀性离子，哪怕在微量（μg/L级）水平也会穿透设备金属表面的钝化膜，诱发点蚀、应力腐蚀开裂等严重腐蚀问题：炉水中微量氯就会加速水冷壁的腐蚀，致使管壁减薄、泄漏，而给水中未严格控制的氯离子会随补水进入系统并在各换热设备中循环积累，最终大大增加后续换热设备腐蚀失效的风险。 </w:t>
      </w:r>
    </w:p>
    <w:p w14:paraId="5E2646D5">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rPr>
      </w:pPr>
      <w:r>
        <w:rPr>
          <w:rFonts w:hint="eastAsia" w:ascii="宋体" w:hAnsi="宋体" w:eastAsia="宋体" w:cs="宋体"/>
          <w:strike w:val="0"/>
          <w:dstrike w:val="0"/>
          <w:color w:val="000000"/>
          <w:sz w:val="21"/>
          <w:szCs w:val="21"/>
          <w:highlight w:val="none"/>
          <w:u w:val="none"/>
          <w:shd w:val="clear" w:color="auto" w:fill="auto"/>
        </w:rPr>
        <w:t>目前，硫磺制酸企业对炉水、给水中氯离子的检测，主要采用传统的莫尔法或离子色谱法。其中，莫尔法的适用范围为3-150 mg/L，滴定误差约为0.8%。根据公司标准，炉水中氯离子含量要求≤4.0 mg/L，莫尔法的精度无法满足微量级别的检测要求（标准规定≤100 mg/L时，平行测定允许偏差小于0.5 mg/L）。离子色谱法虽然灵敏度高，但设备采购与维护成本高，难以全面普及。因此，开发一种高灵敏度、操作简便、成本合理的微量氯离子检测方法，具有重要的实际应用价值。</w:t>
      </w:r>
    </w:p>
    <w:p w14:paraId="7CCBE53A">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00000" w:themeColor="text1"/>
          <w:sz w:val="21"/>
          <w:szCs w:val="21"/>
          <w:highlight w:val="none"/>
          <w:shd w:val="clear" w:color="auto" w:fill="FFFFFF"/>
          <w14:textFill>
            <w14:solidFill>
              <w14:schemeClr w14:val="tx1"/>
            </w14:solidFill>
          </w14:textFill>
        </w:rPr>
      </w:pPr>
      <w:r>
        <w:rPr>
          <w:rFonts w:hint="eastAsia" w:ascii="宋体" w:hAnsi="宋体" w:eastAsia="宋体" w:cs="宋体"/>
          <w:dstrike w:val="0"/>
          <w:color w:val="000000" w:themeColor="text1"/>
          <w:sz w:val="21"/>
          <w:szCs w:val="21"/>
          <w:shd w:val="clear" w:color="auto" w:fill="auto"/>
          <w14:textFill>
            <w14:solidFill>
              <w14:schemeClr w14:val="tx1"/>
            </w14:solidFill>
          </w14:textFill>
        </w:rPr>
        <w:t xml:space="preserve">由于自动电位滴定法以电极电位突跃来可靠、客观地确定滴定终点，故不需要指示剂，也特别适合于微量组分的分析，因此它是解决本文所论技术难题最理想的选择。由此自然引出本文目的：建立适用于硫磺制酸工艺炉水、给水中微量氯离子（≤ 10 mg/L）的自动电位滴定方法，并从精密度、准确度、加标回收、实验室间比对诸方面系统考察其适用性。 </w:t>
      </w:r>
    </w:p>
    <w:p w14:paraId="280A602A">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rPr>
      </w:pPr>
      <w:r>
        <w:rPr>
          <w:rStyle w:val="20"/>
          <w:rFonts w:hint="eastAsia" w:ascii="宋体" w:hAnsi="宋体" w:eastAsia="宋体" w:cs="宋体"/>
          <w:bCs/>
          <w:strike w:val="0"/>
          <w:dstrike w:val="0"/>
          <w:color w:val="000000"/>
          <w:sz w:val="21"/>
          <w:szCs w:val="21"/>
          <w:highlight w:val="none"/>
          <w:u w:val="none"/>
          <w:shd w:val="clear" w:color="auto" w:fill="auto"/>
        </w:rPr>
        <w:t>1. 实验部分</w:t>
      </w:r>
    </w:p>
    <w:p w14:paraId="7E4A9A89">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sz w:val="21"/>
          <w:szCs w:val="21"/>
          <w:highlight w:val="none"/>
        </w:rPr>
      </w:pPr>
      <w:r>
        <w:rPr>
          <w:rStyle w:val="20"/>
          <w:rFonts w:hint="eastAsia" w:ascii="宋体" w:hAnsi="宋体" w:eastAsia="宋体" w:cs="宋体"/>
          <w:bCs/>
          <w:strike w:val="0"/>
          <w:dstrike w:val="0"/>
          <w:color w:val="000000"/>
          <w:sz w:val="21"/>
          <w:szCs w:val="21"/>
          <w:highlight w:val="none"/>
          <w:u w:val="none"/>
          <w:shd w:val="clear" w:color="auto" w:fill="auto"/>
        </w:rPr>
        <w:t>1.1 仪器与试剂</w:t>
      </w:r>
    </w:p>
    <w:p w14:paraId="4FFCF9D7">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Style w:val="20"/>
          <w:rFonts w:hint="eastAsia" w:ascii="宋体" w:hAnsi="宋体" w:eastAsia="宋体" w:cs="宋体"/>
          <w:b w:val="0"/>
          <w:strike w:val="0"/>
          <w:dstrike w:val="0"/>
          <w:color w:val="000000"/>
          <w:sz w:val="21"/>
          <w:szCs w:val="21"/>
          <w:highlight w:val="none"/>
          <w:u w:val="none"/>
          <w:shd w:val="clear" w:color="auto" w:fill="auto"/>
        </w:rPr>
        <w:t>1.1.1 自动电位滴定仪：</w:t>
      </w:r>
      <w:r>
        <w:rPr>
          <w:rFonts w:hint="eastAsia" w:ascii="宋体" w:hAnsi="宋体" w:eastAsia="宋体" w:cs="宋体"/>
          <w:strike w:val="0"/>
          <w:dstrike w:val="0"/>
          <w:color w:val="000000"/>
          <w:sz w:val="21"/>
          <w:szCs w:val="21"/>
          <w:highlight w:val="none"/>
          <w:u w:val="none"/>
          <w:shd w:val="clear" w:color="auto" w:fill="auto"/>
        </w:rPr>
        <w:t> 梅特勒-托利多（METTLER TOLEDO）G10S型，配置20 mL滴定管、1000 mL滴定瓶、DMi141-SC复合银电极、小型搅拌器、滴定台及100 mL滴定杯。</w:t>
      </w:r>
    </w:p>
    <w:p w14:paraId="18685153">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1.1.2 硝酸银标准滴定溶液：</w:t>
      </w:r>
      <w:r>
        <w:rPr>
          <w:rFonts w:hint="eastAsia" w:ascii="宋体" w:hAnsi="宋体" w:eastAsia="宋体" w:cs="宋体"/>
          <w:strike w:val="0"/>
          <w:dstrike w:val="0"/>
          <w:color w:val="000000"/>
          <w:sz w:val="21"/>
          <w:szCs w:val="21"/>
          <w:highlight w:val="none"/>
          <w:u w:val="none"/>
          <w:shd w:val="clear" w:color="auto" w:fill="auto"/>
        </w:rPr>
        <w:t> 氯离子滴定度 T(Cl/AgNO₃) = 1.00 mg/mL。</w:t>
      </w:r>
    </w:p>
    <w:p w14:paraId="62CE0A94">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1.1.3 分析天平：</w:t>
      </w:r>
      <w:r>
        <w:rPr>
          <w:rFonts w:hint="eastAsia" w:ascii="宋体" w:hAnsi="宋体" w:eastAsia="宋体" w:cs="宋体"/>
          <w:strike w:val="0"/>
          <w:dstrike w:val="0"/>
          <w:color w:val="000000"/>
          <w:sz w:val="21"/>
          <w:szCs w:val="21"/>
          <w:highlight w:val="none"/>
          <w:u w:val="none"/>
          <w:shd w:val="clear" w:color="auto" w:fill="auto"/>
        </w:rPr>
        <w:t> 精度0.1 mg。</w:t>
      </w:r>
    </w:p>
    <w:p w14:paraId="0229D6F4">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1.1.4 实验样品：</w:t>
      </w:r>
      <w:r>
        <w:rPr>
          <w:rFonts w:hint="eastAsia" w:ascii="宋体" w:hAnsi="宋体" w:eastAsia="宋体" w:cs="宋体"/>
          <w:strike w:val="0"/>
          <w:dstrike w:val="0"/>
          <w:color w:val="000000"/>
          <w:sz w:val="21"/>
          <w:szCs w:val="21"/>
          <w:highlight w:val="none"/>
          <w:u w:val="none"/>
          <w:shd w:val="clear" w:color="auto" w:fill="auto"/>
        </w:rPr>
        <w:t> 企业生产的锅炉炉水、给水、过热蒸汽冷凝液、饱和蒸汽冷凝液。</w:t>
      </w:r>
    </w:p>
    <w:p w14:paraId="5FE08A90">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shd w:val="clear" w:color="auto" w:fill="FFFFFF"/>
        </w:rPr>
      </w:pPr>
      <w:r>
        <w:rPr>
          <w:rStyle w:val="20"/>
          <w:rFonts w:hint="eastAsia" w:ascii="宋体" w:hAnsi="宋体" w:eastAsia="宋体" w:cs="宋体"/>
          <w:b w:val="0"/>
          <w:strike w:val="0"/>
          <w:dstrike w:val="0"/>
          <w:color w:val="000000"/>
          <w:sz w:val="21"/>
          <w:szCs w:val="21"/>
          <w:highlight w:val="none"/>
          <w:u w:val="none"/>
          <w:shd w:val="clear" w:color="auto" w:fill="auto"/>
        </w:rPr>
        <w:t>1.1.5 其他试剂：</w:t>
      </w:r>
      <w:r>
        <w:rPr>
          <w:rFonts w:hint="eastAsia" w:ascii="宋体" w:hAnsi="宋体" w:eastAsia="宋体" w:cs="宋体"/>
          <w:strike w:val="0"/>
          <w:dstrike w:val="0"/>
          <w:color w:val="000000"/>
          <w:sz w:val="21"/>
          <w:szCs w:val="21"/>
          <w:highlight w:val="none"/>
          <w:u w:val="none"/>
          <w:shd w:val="clear" w:color="auto" w:fill="auto"/>
        </w:rPr>
        <w:t xml:space="preserve"> 氯标准物质 </w:t>
      </w:r>
    </w:p>
    <w:p w14:paraId="42453278">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1.1.6 氯标储备液：100mg/L</w:t>
      </w:r>
    </w:p>
    <w:p w14:paraId="0277D5EA">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strike w:val="0"/>
          <w:dstrike w:val="0"/>
          <w:color w:val="000000"/>
          <w:sz w:val="21"/>
          <w:szCs w:val="21"/>
          <w:highlight w:val="none"/>
          <w:u w:val="none"/>
          <w:shd w:val="clear" w:color="auto" w:fill="auto"/>
        </w:rPr>
      </w:pPr>
      <w:r>
        <w:rPr>
          <w:rFonts w:hint="eastAsia" w:ascii="宋体" w:hAnsi="宋体" w:eastAsia="宋体" w:cs="宋体"/>
          <w:b/>
          <w:bCs/>
          <w:strike w:val="0"/>
          <w:dstrike w:val="0"/>
          <w:color w:val="000000"/>
          <w:sz w:val="21"/>
          <w:szCs w:val="21"/>
          <w:highlight w:val="none"/>
          <w:u w:val="none"/>
          <w:shd w:val="clear" w:color="auto" w:fill="auto"/>
        </w:rPr>
        <w:t>1.2 试验方法</w:t>
      </w:r>
    </w:p>
    <w:p w14:paraId="578847D4">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1.2.1 电位滴定仪测定氯离子方法建立</w:t>
      </w:r>
    </w:p>
    <w:p w14:paraId="6DC3A36B">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630" w:firstLineChars="300"/>
        <w:rPr>
          <w:rFonts w:hint="eastAsia" w:ascii="宋体" w:hAnsi="宋体" w:eastAsia="宋体" w:cs="宋体"/>
          <w:sz w:val="21"/>
          <w:szCs w:val="21"/>
          <w:highlight w:val="none"/>
        </w:rPr>
      </w:pPr>
      <w:r>
        <w:rPr>
          <w:rFonts w:hint="eastAsia" w:ascii="宋体" w:hAnsi="宋体" w:eastAsia="宋体" w:cs="宋体"/>
          <w:strike w:val="0"/>
          <w:dstrike w:val="0"/>
          <w:color w:val="000000"/>
          <w:sz w:val="21"/>
          <w:szCs w:val="21"/>
          <w:highlight w:val="none"/>
          <w:u w:val="none"/>
          <w:shd w:val="clear" w:color="auto" w:fill="auto"/>
        </w:rPr>
        <w:t>在仪器主界面选择“方法” -&gt; “标准模板” -&gt; “等当点滴定(EQP)”。新建方法并进行如下关键参数设置：</w:t>
      </w:r>
    </w:p>
    <w:p w14:paraId="4B0697B5">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样品：</w:t>
      </w:r>
      <w:r>
        <w:rPr>
          <w:rFonts w:hint="eastAsia" w:ascii="宋体" w:hAnsi="宋体" w:eastAsia="宋体" w:cs="宋体"/>
          <w:strike w:val="0"/>
          <w:dstrike w:val="0"/>
          <w:color w:val="000000"/>
          <w:sz w:val="21"/>
          <w:szCs w:val="21"/>
          <w:highlight w:val="none"/>
          <w:u w:val="none"/>
          <w:shd w:val="clear" w:color="auto" w:fill="auto"/>
        </w:rPr>
        <w:t> 样品量选择“固定重量”，设为1 g（方法建立时，结果仅与滴定体积相关，因此样品输入量与滴定剂登录浓度无关）。</w:t>
      </w:r>
    </w:p>
    <w:p w14:paraId="005AE7F5">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滴定：</w:t>
      </w:r>
      <w:r>
        <w:rPr>
          <w:rFonts w:hint="eastAsia" w:ascii="宋体" w:hAnsi="宋体" w:eastAsia="宋体" w:cs="宋体"/>
          <w:strike w:val="0"/>
          <w:dstrike w:val="0"/>
          <w:color w:val="000000"/>
          <w:sz w:val="21"/>
          <w:szCs w:val="21"/>
          <w:highlight w:val="none"/>
          <w:u w:val="none"/>
          <w:shd w:val="clear" w:color="auto" w:fill="auto"/>
        </w:rPr>
        <w:t> 滴定剂选择“AgNO₃ (PnP 1)”，电极选择“DMi141-SC (PnP 1)”。</w:t>
      </w:r>
    </w:p>
    <w:p w14:paraId="1FE4BAEC">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控制：</w:t>
      </w:r>
      <w:r>
        <w:rPr>
          <w:rFonts w:hint="eastAsia" w:ascii="宋体" w:hAnsi="宋体" w:eastAsia="宋体" w:cs="宋体"/>
          <w:strike w:val="0"/>
          <w:dstrike w:val="0"/>
          <w:color w:val="000000"/>
          <w:sz w:val="21"/>
          <w:szCs w:val="21"/>
          <w:highlight w:val="none"/>
          <w:u w:val="none"/>
          <w:shd w:val="clear" w:color="auto" w:fill="auto"/>
        </w:rPr>
        <w:t> “预馈液”选择“无”。“控制模式”选择“自定义”，动态添加模式设置为 dE=3 mV，dV(最小)=0.0005 mL，dV(最大)=0.5 mL。接收测量值选择“平衡控制模式”，参数为 dE=0.5 mV，dt=1 s，最小测量时间5 s，最大测量时间15 s。</w:t>
      </w:r>
    </w:p>
    <w:p w14:paraId="629FDD9B">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Style w:val="20"/>
          <w:rFonts w:hint="eastAsia" w:ascii="宋体" w:hAnsi="宋体" w:eastAsia="宋体" w:cs="宋体"/>
          <w:b w:val="0"/>
          <w:strike w:val="0"/>
          <w:dstrike w:val="0"/>
          <w:color w:val="000000"/>
          <w:sz w:val="21"/>
          <w:szCs w:val="21"/>
          <w:highlight w:val="none"/>
          <w:u w:val="none"/>
          <w:shd w:val="clear" w:color="auto" w:fill="auto"/>
        </w:rPr>
        <w:t>评估与终止：</w:t>
      </w:r>
      <w:r>
        <w:rPr>
          <w:rFonts w:hint="eastAsia" w:ascii="宋体" w:hAnsi="宋体" w:eastAsia="宋体" w:cs="宋体"/>
          <w:strike w:val="0"/>
          <w:dstrike w:val="0"/>
          <w:color w:val="000000"/>
          <w:sz w:val="21"/>
          <w:szCs w:val="21"/>
          <w:highlight w:val="none"/>
          <w:u w:val="none"/>
          <w:shd w:val="clear" w:color="auto" w:fill="auto"/>
        </w:rPr>
        <w:t> “评估和识别”中“阈值”设定为80～100。“终止”条件中，最大体积设定为20 mL，并勾选“达到识别的EQP数后...”选项，数值设为“1”。设置完成后保存该方法。</w:t>
      </w:r>
    </w:p>
    <w:p w14:paraId="0881694D">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1.2.2 标准溶液测定</w:t>
      </w:r>
    </w:p>
    <w:p w14:paraId="77E3A368">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trike w:val="0"/>
          <w:dstrike w:val="0"/>
          <w:color w:val="000000"/>
          <w:sz w:val="21"/>
          <w:szCs w:val="21"/>
          <w:highlight w:val="none"/>
          <w:u w:val="none"/>
          <w:shd w:val="clear" w:color="auto" w:fill="auto"/>
        </w:rPr>
        <w:t>吸取不同体积的氯标储备液，用纯水定容至100mL，配制0.40, 1.0, 5.0, 10.0, 20.0, 50.0, 100.0 mg/L系列标准溶液，按1.2.1节建立的方法测定，每个浓度点平行测定6次。</w:t>
      </w:r>
    </w:p>
    <w:p w14:paraId="0BF6FC23">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Style w:val="20"/>
          <w:rFonts w:hint="eastAsia" w:ascii="宋体" w:hAnsi="宋体" w:eastAsia="宋体" w:cs="宋体"/>
          <w:b w:val="0"/>
          <w:color w:val="0F1115"/>
          <w:sz w:val="21"/>
          <w:szCs w:val="21"/>
          <w:highlight w:val="none"/>
          <w:shd w:val="clear" w:color="auto" w:fill="FFFFFF"/>
        </w:rPr>
      </w:pPr>
      <w:r>
        <w:rPr>
          <w:rStyle w:val="20"/>
          <w:rFonts w:hint="eastAsia" w:ascii="宋体" w:hAnsi="宋体" w:eastAsia="宋体" w:cs="宋体"/>
          <w:b w:val="0"/>
          <w:strike w:val="0"/>
          <w:dstrike w:val="0"/>
          <w:color w:val="000000"/>
          <w:sz w:val="21"/>
          <w:szCs w:val="21"/>
          <w:highlight w:val="none"/>
          <w:u w:val="none"/>
          <w:shd w:val="clear" w:color="auto" w:fill="auto"/>
        </w:rPr>
        <w:t>1.2.3 加标回收试验</w:t>
      </w:r>
    </w:p>
    <w:p w14:paraId="3A029FCD">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rPr>
          <w:rFonts w:hint="eastAsia" w:ascii="宋体" w:hAnsi="宋体" w:eastAsia="宋体" w:cs="宋体"/>
          <w:strike w:val="0"/>
          <w:dstrike w:val="0"/>
          <w:color w:val="000000"/>
          <w:sz w:val="21"/>
          <w:szCs w:val="21"/>
          <w:highlight w:val="none"/>
          <w:u w:val="none"/>
          <w:shd w:val="clear" w:color="auto" w:fill="auto"/>
        </w:rPr>
      </w:pPr>
      <w:r>
        <w:rPr>
          <w:rFonts w:hint="eastAsia" w:ascii="宋体" w:hAnsi="宋体" w:eastAsia="宋体" w:cs="宋体"/>
          <w:strike w:val="0"/>
          <w:dstrike w:val="0"/>
          <w:color w:val="000000"/>
          <w:sz w:val="21"/>
          <w:szCs w:val="21"/>
          <w:highlight w:val="none"/>
          <w:u w:val="none"/>
          <w:shd w:val="clear" w:color="auto" w:fill="auto"/>
        </w:rPr>
        <w:t> 分析别取取0 mL、2 mL、5 mL、8 mL浓度为10mg/L的氯标准溶液至50ml容量瓶，用锅炉炉水定容度。按1.2.1节建立的仪器方法，测定各加标试验液中的氯含量。</w:t>
      </w:r>
    </w:p>
    <w:p w14:paraId="2B86CF9E">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Style w:val="20"/>
          <w:rFonts w:hint="eastAsia" w:ascii="宋体" w:hAnsi="宋体" w:eastAsia="宋体" w:cs="宋体"/>
          <w:b w:val="0"/>
          <w:strike w:val="0"/>
          <w:dstrike w:val="0"/>
          <w:color w:val="000000"/>
          <w:sz w:val="21"/>
          <w:szCs w:val="21"/>
          <w:highlight w:val="none"/>
          <w:u w:val="none"/>
          <w:shd w:val="clear" w:color="auto" w:fill="auto"/>
        </w:rPr>
      </w:pPr>
      <w:r>
        <w:rPr>
          <w:rStyle w:val="20"/>
          <w:rFonts w:hint="eastAsia" w:ascii="宋体" w:hAnsi="宋体" w:eastAsia="宋体" w:cs="宋体"/>
          <w:b w:val="0"/>
          <w:strike w:val="0"/>
          <w:dstrike w:val="0"/>
          <w:color w:val="000000"/>
          <w:sz w:val="21"/>
          <w:szCs w:val="21"/>
          <w:highlight w:val="none"/>
          <w:u w:val="none"/>
          <w:shd w:val="clear" w:color="auto" w:fill="auto"/>
        </w:rPr>
        <w:t>1.2.4 实验室间比对</w:t>
      </w:r>
    </w:p>
    <w:p w14:paraId="7356C43C">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为验证方法在实际样品检测中的可靠性，采用本方法与天安实验室（使用瑞士万通电位滴定仪）对相同锅炉水样品进行比对测试。分别在方法参数优化前后进行两轮比对。</w:t>
      </w:r>
    </w:p>
    <w:p w14:paraId="4FD8AF4C">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Style w:val="20"/>
          <w:rFonts w:hint="eastAsia" w:ascii="宋体" w:hAnsi="宋体" w:eastAsia="宋体" w:cs="宋体"/>
          <w:b w:val="0"/>
          <w:color w:val="0F1115"/>
          <w:sz w:val="21"/>
          <w:szCs w:val="21"/>
          <w:highlight w:val="none"/>
          <w:shd w:val="clear" w:color="auto" w:fill="FFFFFF"/>
        </w:rPr>
      </w:pPr>
      <w:r>
        <w:rPr>
          <w:rStyle w:val="20"/>
          <w:rFonts w:hint="eastAsia" w:ascii="宋体" w:hAnsi="宋体" w:eastAsia="宋体" w:cs="宋体"/>
          <w:b w:val="0"/>
          <w:strike w:val="0"/>
          <w:dstrike w:val="0"/>
          <w:color w:val="000000"/>
          <w:sz w:val="21"/>
          <w:szCs w:val="21"/>
          <w:highlight w:val="none"/>
          <w:u w:val="none"/>
          <w:shd w:val="clear" w:color="auto" w:fill="auto"/>
        </w:rPr>
        <w:t>1.2.5 样品测定步骤</w:t>
      </w:r>
    </w:p>
    <w:p w14:paraId="428DC742">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1.准备样品：</w:t>
      </w:r>
      <w:r>
        <w:rPr>
          <w:rFonts w:hint="eastAsia" w:ascii="宋体" w:hAnsi="宋体" w:eastAsia="宋体" w:cs="宋体"/>
          <w:strike w:val="0"/>
          <w:dstrike w:val="0"/>
          <w:color w:val="000000"/>
          <w:sz w:val="21"/>
          <w:szCs w:val="21"/>
          <w:highlight w:val="none"/>
          <w:u w:val="none"/>
          <w:shd w:val="clear" w:color="auto" w:fill="auto"/>
        </w:rPr>
        <w:t> 准确量取50 mL待测样品（锅炉水、给水、过热蒸汽或饱和蒸汽冷凝液）于洁净干燥的滴定杯中。</w:t>
      </w:r>
    </w:p>
    <w:p w14:paraId="3746ADF9">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2.启动仪器：</w:t>
      </w:r>
      <w:r>
        <w:rPr>
          <w:rFonts w:hint="eastAsia" w:ascii="宋体" w:hAnsi="宋体" w:eastAsia="宋体" w:cs="宋体"/>
          <w:strike w:val="0"/>
          <w:dstrike w:val="0"/>
          <w:color w:val="000000"/>
          <w:sz w:val="21"/>
          <w:szCs w:val="21"/>
          <w:highlight w:val="none"/>
          <w:u w:val="none"/>
          <w:shd w:val="clear" w:color="auto" w:fill="auto"/>
        </w:rPr>
        <w:t> 打开电位滴定仪电源。仪器自动识别电极和滴定剂，依次点击“确定”。</w:t>
      </w:r>
    </w:p>
    <w:p w14:paraId="1F7E79B3">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Style w:val="20"/>
          <w:rFonts w:hint="eastAsia" w:ascii="宋体" w:hAnsi="宋体" w:eastAsia="宋体" w:cs="宋体"/>
          <w:b w:val="0"/>
          <w:strike w:val="0"/>
          <w:dstrike w:val="0"/>
          <w:color w:val="000000"/>
          <w:sz w:val="21"/>
          <w:szCs w:val="21"/>
          <w:highlight w:val="none"/>
          <w:u w:val="none"/>
          <w:shd w:val="clear" w:color="auto" w:fill="auto"/>
        </w:rPr>
        <w:t>3.选择方法：</w:t>
      </w:r>
      <w:r>
        <w:rPr>
          <w:rFonts w:hint="eastAsia" w:ascii="宋体" w:hAnsi="宋体" w:eastAsia="宋体" w:cs="宋体"/>
          <w:strike w:val="0"/>
          <w:dstrike w:val="0"/>
          <w:color w:val="000000"/>
          <w:sz w:val="21"/>
          <w:szCs w:val="21"/>
          <w:highlight w:val="none"/>
          <w:u w:val="none"/>
          <w:shd w:val="clear" w:color="auto" w:fill="auto"/>
        </w:rPr>
        <w:t> 在主界面选择预先建立的氯离子测定方法（如“Cl (ppb)”）。</w:t>
      </w:r>
    </w:p>
    <w:p w14:paraId="36A8F4F8">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Style w:val="20"/>
          <w:rFonts w:hint="eastAsia" w:ascii="宋体" w:hAnsi="宋体" w:eastAsia="宋体" w:cs="宋体"/>
          <w:b w:val="0"/>
          <w:strike w:val="0"/>
          <w:dstrike w:val="0"/>
          <w:color w:val="000000"/>
          <w:sz w:val="21"/>
          <w:szCs w:val="21"/>
          <w:highlight w:val="none"/>
          <w:u w:val="none"/>
          <w:shd w:val="clear" w:color="auto" w:fill="auto"/>
        </w:rPr>
        <w:t>4.开始测定：</w:t>
      </w:r>
      <w:r>
        <w:rPr>
          <w:rFonts w:hint="eastAsia" w:ascii="宋体" w:hAnsi="宋体" w:eastAsia="宋体" w:cs="宋体"/>
          <w:strike w:val="0"/>
          <w:dstrike w:val="0"/>
          <w:color w:val="000000"/>
          <w:sz w:val="21"/>
          <w:szCs w:val="21"/>
          <w:highlight w:val="none"/>
          <w:u w:val="none"/>
          <w:shd w:val="clear" w:color="auto" w:fill="auto"/>
        </w:rPr>
        <w:t> 输入样品数量，启动检测，将滴定杯置于滴定台，仪器自动完成滴定。</w:t>
      </w:r>
    </w:p>
    <w:p w14:paraId="65397482">
      <w:pPr>
        <w:pStyle w:val="13"/>
        <w:keepNext w:val="0"/>
        <w:keepLines w:val="0"/>
        <w:pageBreakBefore w:val="0"/>
        <w:widowControl/>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Style w:val="20"/>
          <w:rFonts w:hint="eastAsia" w:ascii="宋体" w:hAnsi="宋体" w:eastAsia="宋体" w:cs="宋体"/>
          <w:b w:val="0"/>
          <w:strike w:val="0"/>
          <w:dstrike w:val="0"/>
          <w:color w:val="000000"/>
          <w:sz w:val="21"/>
          <w:szCs w:val="21"/>
          <w:highlight w:val="none"/>
          <w:u w:val="none"/>
          <w:shd w:val="clear" w:color="auto" w:fill="auto"/>
        </w:rPr>
        <w:t>5.结果记录：</w:t>
      </w:r>
      <w:r>
        <w:rPr>
          <w:rFonts w:hint="eastAsia" w:ascii="宋体" w:hAnsi="宋体" w:eastAsia="宋体" w:cs="宋体"/>
          <w:strike w:val="0"/>
          <w:dstrike w:val="0"/>
          <w:color w:val="000000"/>
          <w:sz w:val="21"/>
          <w:szCs w:val="21"/>
          <w:highlight w:val="none"/>
          <w:u w:val="none"/>
          <w:shd w:val="clear" w:color="auto" w:fill="auto"/>
        </w:rPr>
        <w:t> 记录仪器显示的滴定剂消耗体积。</w:t>
      </w:r>
    </w:p>
    <w:p w14:paraId="5AF14C41">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rPr>
      </w:pPr>
      <w:r>
        <w:rPr>
          <w:rStyle w:val="20"/>
          <w:rFonts w:hint="eastAsia" w:ascii="宋体" w:hAnsi="宋体" w:eastAsia="宋体" w:cs="宋体"/>
          <w:bCs/>
          <w:strike w:val="0"/>
          <w:dstrike w:val="0"/>
          <w:color w:val="000000"/>
          <w:sz w:val="21"/>
          <w:szCs w:val="21"/>
          <w:highlight w:val="none"/>
          <w:u w:val="none"/>
          <w:shd w:val="clear" w:color="auto" w:fill="auto"/>
        </w:rPr>
        <w:t>2. 结果计算</w:t>
      </w:r>
    </w:p>
    <w:p w14:paraId="2A410890">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rPr>
      </w:pPr>
      <w:r>
        <w:rPr>
          <w:rFonts w:hint="eastAsia" w:ascii="宋体" w:hAnsi="宋体" w:eastAsia="宋体" w:cs="宋体"/>
          <w:strike w:val="0"/>
          <w:dstrike w:val="0"/>
          <w:color w:val="000000"/>
          <w:sz w:val="21"/>
          <w:szCs w:val="21"/>
          <w:highlight w:val="none"/>
          <w:u w:val="none"/>
          <w:shd w:val="clear" w:color="auto" w:fill="auto"/>
        </w:rPr>
        <w:t>样品中氯离子质量浓度计算公式：</w:t>
      </w:r>
    </w:p>
    <w:p w14:paraId="364C9D1F">
      <w:pPr>
        <w:keepNext w:val="0"/>
        <w:keepLines w:val="0"/>
        <w:pageBreakBefore w:val="0"/>
        <w:kinsoku/>
        <w:wordWrap/>
        <w:overflowPunct/>
        <w:topLinePunct w:val="0"/>
        <w:autoSpaceDE/>
        <w:autoSpaceDN/>
        <w:bidi w:val="0"/>
        <w:adjustRightInd/>
        <w:spacing w:beforeAutospacing="0" w:afterAutospacing="0" w:line="400" w:lineRule="exact"/>
        <w:rPr>
          <w:rFonts w:hint="eastAsia" w:ascii="宋体" w:hAnsi="宋体" w:eastAsia="宋体" w:cs="宋体"/>
          <w:sz w:val="21"/>
          <w:szCs w:val="21"/>
          <w:highlight w:val="none"/>
        </w:rPr>
      </w:pPr>
      <m:oMathPara>
        <m:oMath>
          <m:sSub>
            <m:sSubPr>
              <m:ctrlPr>
                <w:rPr>
                  <w:rFonts w:hint="eastAsia" w:ascii="Cambria Math" w:hAnsi="Cambria Math" w:eastAsia="宋体" w:cs="宋体"/>
                  <w:i/>
                  <w:sz w:val="21"/>
                  <w:szCs w:val="21"/>
                </w:rPr>
              </m:ctrlPr>
            </m:sSubPr>
            <m:e>
              <m:r>
                <m:rPr/>
                <w:rPr>
                  <w:rFonts w:hint="eastAsia" w:ascii="Cambria Math" w:hAnsi="Cambria Math" w:eastAsia="宋体" w:cs="宋体"/>
                  <w:strike w:val="0"/>
                  <w:dstrike w:val="0"/>
                  <w:color w:val="000000"/>
                  <w:sz w:val="21"/>
                  <w:szCs w:val="21"/>
                  <w:highlight w:val="none"/>
                  <w:u w:val="none"/>
                </w:rPr>
                <m:t>C</m:t>
              </m:r>
              <m:ctrlPr>
                <w:rPr>
                  <w:rFonts w:hint="eastAsia" w:ascii="Cambria Math" w:hAnsi="Cambria Math" w:eastAsia="宋体" w:cs="宋体"/>
                  <w:i/>
                  <w:sz w:val="21"/>
                  <w:szCs w:val="21"/>
                </w:rPr>
              </m:ctrlPr>
            </m:e>
            <m:sub>
              <m:r>
                <m:rPr/>
                <w:rPr>
                  <w:rFonts w:hint="eastAsia" w:ascii="Cambria Math" w:hAnsi="Cambria Math" w:eastAsia="宋体" w:cs="宋体"/>
                  <w:strike w:val="0"/>
                  <w:dstrike w:val="0"/>
                  <w:color w:val="000000"/>
                  <w:sz w:val="21"/>
                  <w:szCs w:val="21"/>
                  <w:highlight w:val="none"/>
                  <w:u w:val="none"/>
                </w:rPr>
                <m:t>cl</m:t>
              </m:r>
              <m:ctrlPr>
                <w:rPr>
                  <w:rFonts w:hint="eastAsia" w:ascii="Cambria Math" w:hAnsi="Cambria Math" w:eastAsia="宋体" w:cs="宋体"/>
                  <w:i/>
                  <w:sz w:val="21"/>
                  <w:szCs w:val="21"/>
                </w:rPr>
              </m:ctrlPr>
            </m:sub>
          </m:sSub>
          <m:r>
            <m:rPr/>
            <w:rPr>
              <w:rFonts w:hint="eastAsia" w:ascii="Cambria Math" w:hAnsi="Cambria Math" w:eastAsia="宋体" w:cs="宋体"/>
              <w:strike w:val="0"/>
              <w:dstrike w:val="0"/>
              <w:color w:val="000000"/>
              <w:sz w:val="21"/>
              <w:szCs w:val="21"/>
              <w:highlight w:val="none"/>
              <w:u w:val="none"/>
            </w:rPr>
            <m:t>=</m:t>
          </m:r>
          <m:f>
            <m:fPr>
              <m:ctrlPr>
                <w:rPr>
                  <w:rFonts w:hint="eastAsia" w:ascii="Cambria Math" w:hAnsi="Cambria Math" w:eastAsia="宋体" w:cs="宋体"/>
                  <w:i/>
                  <w:sz w:val="21"/>
                  <w:szCs w:val="21"/>
                </w:rPr>
              </m:ctrlPr>
            </m:fPr>
            <m:num>
              <m:sSub>
                <m:sSubPr>
                  <m:ctrlPr>
                    <w:rPr>
                      <w:rFonts w:hint="eastAsia" w:ascii="Cambria Math" w:hAnsi="Cambria Math" w:eastAsia="宋体" w:cs="宋体"/>
                      <w:i/>
                      <w:sz w:val="21"/>
                      <w:szCs w:val="21"/>
                    </w:rPr>
                  </m:ctrlPr>
                </m:sSubPr>
                <m:e>
                  <m:r>
                    <m:rPr/>
                    <w:rPr>
                      <w:rFonts w:hint="eastAsia" w:ascii="Cambria Math" w:hAnsi="Cambria Math" w:eastAsia="宋体" w:cs="宋体"/>
                      <w:strike w:val="0"/>
                      <w:dstrike w:val="0"/>
                      <w:color w:val="000000"/>
                      <w:sz w:val="21"/>
                      <w:szCs w:val="21"/>
                      <w:highlight w:val="none"/>
                      <w:u w:val="none"/>
                    </w:rPr>
                    <m:t>V</m:t>
                  </m:r>
                  <m:ctrlPr>
                    <w:rPr>
                      <w:rFonts w:hint="eastAsia" w:ascii="Cambria Math" w:hAnsi="Cambria Math" w:eastAsia="宋体" w:cs="宋体"/>
                      <w:i/>
                      <w:sz w:val="21"/>
                      <w:szCs w:val="21"/>
                    </w:rPr>
                  </m:ctrlPr>
                </m:e>
                <m:sub>
                  <m:r>
                    <m:rPr/>
                    <w:rPr>
                      <w:rFonts w:hint="eastAsia" w:ascii="Cambria Math" w:hAnsi="Cambria Math" w:eastAsia="宋体" w:cs="宋体"/>
                      <w:strike w:val="0"/>
                      <w:dstrike w:val="0"/>
                      <w:color w:val="000000"/>
                      <w:sz w:val="21"/>
                      <w:szCs w:val="21"/>
                      <w:highlight w:val="none"/>
                      <w:u w:val="none"/>
                    </w:rPr>
                    <m:t>仪器</m:t>
                  </m:r>
                  <m:ctrlPr>
                    <w:rPr>
                      <w:rFonts w:hint="eastAsia" w:ascii="Cambria Math" w:hAnsi="Cambria Math" w:eastAsia="宋体" w:cs="宋体"/>
                      <w:i/>
                      <w:sz w:val="21"/>
                      <w:szCs w:val="21"/>
                    </w:rPr>
                  </m:ctrlPr>
                </m:sub>
              </m:sSub>
              <m:r>
                <m:rPr/>
                <w:rPr>
                  <w:rFonts w:hint="eastAsia" w:ascii="Cambria Math" w:hAnsi="Cambria Math" w:eastAsia="宋体" w:cs="宋体"/>
                  <w:strike w:val="0"/>
                  <w:dstrike w:val="0"/>
                  <w:color w:val="000000"/>
                  <w:sz w:val="21"/>
                  <w:szCs w:val="21"/>
                  <w:highlight w:val="none"/>
                  <w:u w:val="none"/>
                </w:rPr>
                <m:t>×T</m:t>
              </m:r>
              <m:ctrlPr>
                <w:rPr>
                  <w:rFonts w:hint="eastAsia" w:ascii="Cambria Math" w:hAnsi="Cambria Math" w:eastAsia="宋体" w:cs="宋体"/>
                  <w:i/>
                  <w:sz w:val="21"/>
                  <w:szCs w:val="21"/>
                </w:rPr>
              </m:ctrlPr>
            </m:num>
            <m:den>
              <m:sSub>
                <m:sSubPr>
                  <m:ctrlPr>
                    <w:rPr>
                      <w:rFonts w:hint="eastAsia" w:ascii="Cambria Math" w:hAnsi="Cambria Math" w:eastAsia="宋体" w:cs="宋体"/>
                      <w:i/>
                      <w:sz w:val="21"/>
                      <w:szCs w:val="21"/>
                    </w:rPr>
                  </m:ctrlPr>
                </m:sSubPr>
                <m:e>
                  <m:r>
                    <m:rPr/>
                    <w:rPr>
                      <w:rFonts w:hint="eastAsia" w:ascii="Cambria Math" w:hAnsi="Cambria Math" w:eastAsia="宋体" w:cs="宋体"/>
                      <w:strike w:val="0"/>
                      <w:dstrike w:val="0"/>
                      <w:color w:val="000000"/>
                      <w:sz w:val="21"/>
                      <w:szCs w:val="21"/>
                      <w:highlight w:val="none"/>
                      <w:u w:val="none"/>
                    </w:rPr>
                    <m:t>V</m:t>
                  </m:r>
                  <m:ctrlPr>
                    <w:rPr>
                      <w:rFonts w:hint="eastAsia" w:ascii="Cambria Math" w:hAnsi="Cambria Math" w:eastAsia="宋体" w:cs="宋体"/>
                      <w:i/>
                      <w:sz w:val="21"/>
                      <w:szCs w:val="21"/>
                    </w:rPr>
                  </m:ctrlPr>
                </m:e>
                <m:sub>
                  <m:r>
                    <m:rPr/>
                    <w:rPr>
                      <w:rFonts w:hint="eastAsia" w:ascii="Cambria Math" w:hAnsi="Cambria Math" w:eastAsia="宋体" w:cs="宋体"/>
                      <w:strike w:val="0"/>
                      <w:dstrike w:val="0"/>
                      <w:color w:val="000000"/>
                      <w:sz w:val="21"/>
                      <w:szCs w:val="21"/>
                      <w:highlight w:val="none"/>
                      <w:u w:val="none"/>
                    </w:rPr>
                    <m:t>样</m:t>
                  </m:r>
                  <m:ctrlPr>
                    <w:rPr>
                      <w:rFonts w:hint="eastAsia" w:ascii="Cambria Math" w:hAnsi="Cambria Math" w:eastAsia="宋体" w:cs="宋体"/>
                      <w:i/>
                      <w:sz w:val="21"/>
                      <w:szCs w:val="21"/>
                    </w:rPr>
                  </m:ctrlPr>
                </m:sub>
              </m:sSub>
              <m:ctrlPr>
                <w:rPr>
                  <w:rFonts w:hint="eastAsia" w:ascii="Cambria Math" w:hAnsi="Cambria Math" w:eastAsia="宋体" w:cs="宋体"/>
                  <w:i/>
                  <w:sz w:val="21"/>
                  <w:szCs w:val="21"/>
                </w:rPr>
              </m:ctrlPr>
            </m:den>
          </m:f>
          <m:r>
            <m:rPr/>
            <w:rPr>
              <w:rFonts w:hint="eastAsia" w:ascii="Cambria Math" w:hAnsi="Cambria Math" w:eastAsia="宋体" w:cs="宋体"/>
              <w:strike w:val="0"/>
              <w:dstrike w:val="0"/>
              <w:color w:val="000000"/>
              <w:sz w:val="21"/>
              <w:szCs w:val="21"/>
              <w:highlight w:val="none"/>
              <w:u w:val="none"/>
            </w:rPr>
            <m:t>×1000</m:t>
          </m:r>
        </m:oMath>
      </m:oMathPara>
    </w:p>
    <w:p w14:paraId="76A50FE9">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式中：</w:t>
      </w:r>
    </w:p>
    <w:p w14:paraId="4B7678E5">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C</w:t>
      </w:r>
      <w:r>
        <w:rPr>
          <w:rFonts w:hint="eastAsia" w:ascii="宋体" w:hAnsi="宋体" w:eastAsia="宋体" w:cs="宋体"/>
          <w:strike w:val="0"/>
          <w:dstrike w:val="0"/>
          <w:color w:val="000000"/>
          <w:sz w:val="21"/>
          <w:szCs w:val="21"/>
          <w:highlight w:val="none"/>
          <w:u w:val="none"/>
          <w:shd w:val="clear" w:color="auto" w:fill="auto"/>
          <w:vertAlign w:val="subscript"/>
        </w:rPr>
        <w:t>cl</w:t>
      </w:r>
      <w:r>
        <w:rPr>
          <w:rFonts w:hint="eastAsia" w:ascii="宋体" w:hAnsi="宋体" w:eastAsia="宋体" w:cs="宋体"/>
          <w:strike w:val="0"/>
          <w:dstrike w:val="0"/>
          <w:color w:val="000000"/>
          <w:sz w:val="21"/>
          <w:szCs w:val="21"/>
          <w:highlight w:val="none"/>
          <w:u w:val="none"/>
          <w:shd w:val="clear" w:color="auto" w:fill="auto"/>
        </w:rPr>
        <w:t>—— 样品氯离子质量浓度（mg/L）；</w:t>
      </w:r>
    </w:p>
    <w:p w14:paraId="1BABA96D">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V</w:t>
      </w:r>
      <w:r>
        <w:rPr>
          <w:rFonts w:hint="eastAsia" w:ascii="宋体" w:hAnsi="宋体" w:eastAsia="宋体" w:cs="宋体"/>
          <w:strike w:val="0"/>
          <w:dstrike w:val="0"/>
          <w:color w:val="000000"/>
          <w:sz w:val="21"/>
          <w:szCs w:val="21"/>
          <w:highlight w:val="none"/>
          <w:u w:val="none"/>
          <w:shd w:val="clear" w:color="auto" w:fill="auto"/>
          <w:vertAlign w:val="subscript"/>
        </w:rPr>
        <w:t>仪器</w:t>
      </w:r>
      <w:r>
        <w:rPr>
          <w:rFonts w:hint="eastAsia" w:ascii="宋体" w:hAnsi="宋体" w:eastAsia="宋体" w:cs="宋体"/>
          <w:strike w:val="0"/>
          <w:dstrike w:val="0"/>
          <w:color w:val="000000"/>
          <w:sz w:val="21"/>
          <w:szCs w:val="21"/>
          <w:highlight w:val="none"/>
          <w:u w:val="none"/>
          <w:shd w:val="clear" w:color="auto" w:fill="auto"/>
        </w:rPr>
        <w:t>——滴定剂消耗体积（mL）；</w:t>
      </w:r>
    </w:p>
    <w:p w14:paraId="6F3281E5">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T——滴定度（1.00mg/mL）；</w:t>
      </w:r>
    </w:p>
    <w:p w14:paraId="5DD3D478">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V</w:t>
      </w:r>
      <w:r>
        <w:rPr>
          <w:rFonts w:hint="eastAsia" w:ascii="宋体" w:hAnsi="宋体" w:eastAsia="宋体" w:cs="宋体"/>
          <w:strike w:val="0"/>
          <w:dstrike w:val="0"/>
          <w:color w:val="000000"/>
          <w:sz w:val="21"/>
          <w:szCs w:val="21"/>
          <w:highlight w:val="none"/>
          <w:u w:val="none"/>
          <w:shd w:val="clear" w:color="auto" w:fill="auto"/>
          <w:vertAlign w:val="subscript"/>
        </w:rPr>
        <w:t>样</w:t>
      </w:r>
      <w:r>
        <w:rPr>
          <w:rFonts w:hint="eastAsia" w:ascii="宋体" w:hAnsi="宋体" w:eastAsia="宋体" w:cs="宋体"/>
          <w:strike w:val="0"/>
          <w:dstrike w:val="0"/>
          <w:color w:val="000000"/>
          <w:sz w:val="21"/>
          <w:szCs w:val="21"/>
          <w:highlight w:val="none"/>
          <w:u w:val="none"/>
          <w:shd w:val="clear" w:color="auto" w:fill="auto"/>
        </w:rPr>
        <w:t>——样品取样体积（mL）。</w:t>
      </w:r>
    </w:p>
    <w:p w14:paraId="4E738B0A">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3. 结果与讨论</w:t>
      </w:r>
    </w:p>
    <w:p w14:paraId="0CA5B1D4">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3.1 方法的精密度与准确度</w:t>
      </w:r>
    </w:p>
    <w:p w14:paraId="4801E762">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81"/>
        <w:rPr>
          <w:rFonts w:hint="eastAsia" w:ascii="宋体" w:hAnsi="宋体" w:eastAsia="宋体" w:cs="宋体"/>
          <w:strike w:val="0"/>
          <w:dstrike w:val="0"/>
          <w:color w:val="000000"/>
          <w:sz w:val="21"/>
          <w:szCs w:val="21"/>
          <w:highlight w:val="none"/>
          <w:u w:val="none"/>
          <w:shd w:val="clear" w:color="auto" w:fill="auto"/>
        </w:rPr>
      </w:pPr>
      <w:r>
        <w:rPr>
          <w:rFonts w:hint="eastAsia" w:ascii="宋体" w:hAnsi="宋体" w:eastAsia="宋体" w:cs="宋体"/>
          <w:strike w:val="0"/>
          <w:dstrike w:val="0"/>
          <w:color w:val="000000"/>
          <w:sz w:val="21"/>
          <w:szCs w:val="21"/>
          <w:highlight w:val="none"/>
          <w:u w:val="none"/>
          <w:shd w:val="clear" w:color="auto" w:fill="auto"/>
        </w:rPr>
        <w:t>用氯标储备液配制了氯含量为0.4mg/L～100mg/L试液，共6个，用建立的自动电位滴定法测定试液中的氯含量，每个样品进行6平行测定。实验数据见表1</w:t>
      </w:r>
    </w:p>
    <w:p w14:paraId="67385C1B">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jc w:val="center"/>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表1 氯标准溶液测定结果及方法验证</w:t>
      </w:r>
    </w:p>
    <w:tbl>
      <w:tblPr>
        <w:tblStyle w:val="17"/>
        <w:tblW w:w="10563" w:type="dxa"/>
        <w:jc w:val="center"/>
        <w:tblLayout w:type="fixed"/>
        <w:tblCellMar>
          <w:top w:w="0" w:type="dxa"/>
          <w:left w:w="108" w:type="dxa"/>
          <w:bottom w:w="0" w:type="dxa"/>
          <w:right w:w="108" w:type="dxa"/>
        </w:tblCellMar>
      </w:tblPr>
      <w:tblGrid>
        <w:gridCol w:w="742"/>
        <w:gridCol w:w="1080"/>
        <w:gridCol w:w="953"/>
        <w:gridCol w:w="960"/>
        <w:gridCol w:w="996"/>
        <w:gridCol w:w="972"/>
        <w:gridCol w:w="936"/>
        <w:gridCol w:w="960"/>
        <w:gridCol w:w="732"/>
        <w:gridCol w:w="864"/>
        <w:gridCol w:w="1368"/>
      </w:tblGrid>
      <w:tr w14:paraId="246E6B49">
        <w:tblPrEx>
          <w:tblCellMar>
            <w:top w:w="0" w:type="dxa"/>
            <w:left w:w="108" w:type="dxa"/>
            <w:bottom w:w="0" w:type="dxa"/>
            <w:right w:w="108" w:type="dxa"/>
          </w:tblCellMar>
        </w:tblPrEx>
        <w:trPr>
          <w:tblHeader/>
          <w:jc w:val="center"/>
        </w:trPr>
        <w:tc>
          <w:tcPr>
            <w:tcW w:w="742" w:type="dxa"/>
            <w:vMerge w:val="restart"/>
            <w:tcBorders>
              <w:top w:val="single" w:color="000000" w:sz="12" w:space="0"/>
              <w:left w:val="nil"/>
              <w:bottom w:val="nil"/>
              <w:right w:val="nil"/>
            </w:tcBorders>
            <w:shd w:val="clear" w:color="auto" w:fill="auto"/>
            <w:tcMar>
              <w:top w:w="-1" w:type="dxa"/>
              <w:left w:w="-1" w:type="dxa"/>
              <w:bottom w:w="-1" w:type="dxa"/>
              <w:right w:w="-1" w:type="dxa"/>
            </w:tcMar>
            <w:vAlign w:val="center"/>
          </w:tcPr>
          <w:p w14:paraId="39B6931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序号</w:t>
            </w:r>
          </w:p>
        </w:tc>
        <w:tc>
          <w:tcPr>
            <w:tcW w:w="1080" w:type="dxa"/>
            <w:vMerge w:val="restart"/>
            <w:tcBorders>
              <w:top w:val="single" w:color="000000" w:sz="12" w:space="0"/>
              <w:left w:val="nil"/>
              <w:bottom w:val="nil"/>
              <w:right w:val="nil"/>
            </w:tcBorders>
            <w:shd w:val="clear" w:color="auto" w:fill="auto"/>
            <w:tcMar>
              <w:top w:w="-1" w:type="dxa"/>
              <w:left w:w="-1" w:type="dxa"/>
              <w:bottom w:w="-1" w:type="dxa"/>
              <w:right w:w="-1" w:type="dxa"/>
            </w:tcMar>
            <w:vAlign w:val="center"/>
          </w:tcPr>
          <w:p w14:paraId="5ECCE4FA">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理论值</w:t>
            </w:r>
          </w:p>
          <w:p w14:paraId="4C27F9DC">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（mg/L）</w:t>
            </w:r>
          </w:p>
        </w:tc>
        <w:tc>
          <w:tcPr>
            <w:tcW w:w="5777" w:type="dxa"/>
            <w:gridSpan w:val="6"/>
            <w:tcBorders>
              <w:top w:val="single" w:color="000000" w:sz="12" w:space="0"/>
              <w:left w:val="nil"/>
              <w:bottom w:val="nil"/>
              <w:right w:val="nil"/>
            </w:tcBorders>
            <w:shd w:val="clear" w:color="auto" w:fill="auto"/>
            <w:tcMar>
              <w:top w:w="-1" w:type="dxa"/>
              <w:left w:w="-1" w:type="dxa"/>
              <w:bottom w:w="-1" w:type="dxa"/>
              <w:right w:w="-1" w:type="dxa"/>
            </w:tcMar>
            <w:vAlign w:val="center"/>
          </w:tcPr>
          <w:p w14:paraId="7624C4D4">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实测值（mg/L）</w:t>
            </w:r>
          </w:p>
        </w:tc>
        <w:tc>
          <w:tcPr>
            <w:tcW w:w="732" w:type="dxa"/>
            <w:vMerge w:val="restart"/>
            <w:tcBorders>
              <w:top w:val="single" w:color="000000" w:sz="12" w:space="0"/>
              <w:left w:val="nil"/>
              <w:bottom w:val="nil"/>
              <w:right w:val="nil"/>
            </w:tcBorders>
            <w:shd w:val="clear" w:color="auto" w:fill="auto"/>
            <w:tcMar>
              <w:top w:w="-1" w:type="dxa"/>
              <w:left w:w="-1" w:type="dxa"/>
              <w:bottom w:w="-1" w:type="dxa"/>
              <w:right w:w="-1" w:type="dxa"/>
            </w:tcMar>
            <w:vAlign w:val="center"/>
          </w:tcPr>
          <w:p w14:paraId="324E4510">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RSD%</w:t>
            </w:r>
          </w:p>
        </w:tc>
        <w:tc>
          <w:tcPr>
            <w:tcW w:w="864" w:type="dxa"/>
            <w:vMerge w:val="restart"/>
            <w:tcBorders>
              <w:top w:val="single" w:color="000000" w:sz="12" w:space="0"/>
              <w:left w:val="nil"/>
              <w:bottom w:val="nil"/>
              <w:right w:val="nil"/>
            </w:tcBorders>
            <w:shd w:val="clear" w:color="auto" w:fill="auto"/>
            <w:tcMar>
              <w:top w:w="-1" w:type="dxa"/>
              <w:left w:w="-1" w:type="dxa"/>
              <w:bottom w:w="-1" w:type="dxa"/>
              <w:right w:w="-1" w:type="dxa"/>
            </w:tcMar>
            <w:vAlign w:val="center"/>
          </w:tcPr>
          <w:p w14:paraId="2D589FD9">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t值</w:t>
            </w:r>
          </w:p>
        </w:tc>
        <w:tc>
          <w:tcPr>
            <w:tcW w:w="1368" w:type="dxa"/>
            <w:vMerge w:val="restart"/>
            <w:tcBorders>
              <w:top w:val="single" w:color="000000" w:sz="12" w:space="0"/>
              <w:left w:val="nil"/>
              <w:bottom w:val="nil"/>
              <w:right w:val="nil"/>
            </w:tcBorders>
            <w:shd w:val="clear" w:color="auto" w:fill="auto"/>
            <w:tcMar>
              <w:top w:w="-1" w:type="dxa"/>
              <w:left w:w="-1" w:type="dxa"/>
              <w:bottom w:w="-1" w:type="dxa"/>
              <w:right w:w="-1" w:type="dxa"/>
            </w:tcMar>
            <w:vAlign w:val="center"/>
          </w:tcPr>
          <w:p w14:paraId="160E668B">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vertAlign w:val="subscript"/>
              </w:rPr>
            </w:pPr>
            <w:r>
              <w:rPr>
                <w:rFonts w:hint="eastAsia" w:ascii="宋体" w:hAnsi="宋体" w:eastAsia="宋体" w:cs="宋体"/>
                <w:strike w:val="0"/>
                <w:dstrike w:val="0"/>
                <w:color w:val="000000"/>
                <w:sz w:val="18"/>
                <w:szCs w:val="18"/>
                <w:highlight w:val="none"/>
                <w:u w:val="none"/>
                <w:shd w:val="clear" w:color="auto" w:fill="auto"/>
              </w:rPr>
              <w:t>T</w:t>
            </w:r>
            <w:r>
              <w:rPr>
                <w:rFonts w:hint="eastAsia" w:ascii="宋体" w:hAnsi="宋体" w:eastAsia="宋体" w:cs="宋体"/>
                <w:strike w:val="0"/>
                <w:dstrike w:val="0"/>
                <w:color w:val="000000"/>
                <w:sz w:val="18"/>
                <w:szCs w:val="18"/>
                <w:highlight w:val="none"/>
                <w:u w:val="none"/>
                <w:shd w:val="clear" w:color="auto" w:fill="auto"/>
                <w:vertAlign w:val="subscript"/>
              </w:rPr>
              <w:t>0.01，5</w:t>
            </w:r>
          </w:p>
          <w:p w14:paraId="7B2ED1AA">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临界值</w:t>
            </w:r>
          </w:p>
        </w:tc>
      </w:tr>
      <w:tr w14:paraId="1AA9B031">
        <w:tblPrEx>
          <w:tblCellMar>
            <w:top w:w="0" w:type="dxa"/>
            <w:left w:w="108" w:type="dxa"/>
            <w:bottom w:w="0" w:type="dxa"/>
            <w:right w:w="108" w:type="dxa"/>
          </w:tblCellMar>
        </w:tblPrEx>
        <w:trPr>
          <w:tblHeader/>
          <w:jc w:val="center"/>
        </w:trPr>
        <w:tc>
          <w:tcPr>
            <w:tcW w:w="742" w:type="dxa"/>
            <w:vMerge w:val="continue"/>
            <w:tcBorders>
              <w:top w:val="nil"/>
              <w:left w:val="nil"/>
              <w:bottom w:val="nil"/>
              <w:right w:val="nil"/>
            </w:tcBorders>
            <w:shd w:val="clear" w:color="auto" w:fill="auto"/>
            <w:tcMar>
              <w:top w:w="-1" w:type="dxa"/>
              <w:left w:w="-1" w:type="dxa"/>
              <w:bottom w:w="-1" w:type="dxa"/>
              <w:right w:w="-1" w:type="dxa"/>
            </w:tcMar>
            <w:vAlign w:val="center"/>
          </w:tcPr>
          <w:p w14:paraId="7398F0F3">
            <w:pPr>
              <w:keepNext w:val="0"/>
              <w:keepLines w:val="0"/>
              <w:pageBreakBefore w:val="0"/>
              <w:kinsoku/>
              <w:wordWrap/>
              <w:overflowPunct/>
              <w:topLinePunct w:val="0"/>
              <w:autoSpaceDE/>
              <w:autoSpaceDN/>
              <w:bidi w:val="0"/>
              <w:adjustRightInd/>
              <w:snapToGrid w:val="0"/>
              <w:spacing w:beforeAutospacing="0" w:afterAutospacing="0" w:line="400" w:lineRule="exact"/>
              <w:jc w:val="center"/>
              <w:rPr>
                <w:rFonts w:hint="eastAsia" w:ascii="宋体" w:hAnsi="宋体" w:eastAsia="宋体" w:cs="宋体"/>
                <w:color w:val="0F1115"/>
                <w:sz w:val="18"/>
                <w:szCs w:val="18"/>
                <w:highlight w:val="none"/>
                <w:shd w:val="clear" w:color="auto" w:fill="FFFFFF"/>
              </w:rPr>
            </w:pPr>
          </w:p>
        </w:tc>
        <w:tc>
          <w:tcPr>
            <w:tcW w:w="1080" w:type="dxa"/>
            <w:vMerge w:val="continue"/>
            <w:tcBorders>
              <w:top w:val="nil"/>
              <w:left w:val="nil"/>
              <w:bottom w:val="nil"/>
              <w:right w:val="nil"/>
            </w:tcBorders>
            <w:shd w:val="clear" w:color="auto" w:fill="auto"/>
            <w:tcMar>
              <w:top w:w="-1" w:type="dxa"/>
              <w:left w:w="-1" w:type="dxa"/>
              <w:bottom w:w="-1" w:type="dxa"/>
              <w:right w:w="-1" w:type="dxa"/>
            </w:tcMar>
            <w:vAlign w:val="center"/>
          </w:tcPr>
          <w:p w14:paraId="38B6E845">
            <w:pPr>
              <w:keepNext w:val="0"/>
              <w:keepLines w:val="0"/>
              <w:pageBreakBefore w:val="0"/>
              <w:kinsoku/>
              <w:wordWrap/>
              <w:overflowPunct/>
              <w:topLinePunct w:val="0"/>
              <w:autoSpaceDE/>
              <w:autoSpaceDN/>
              <w:bidi w:val="0"/>
              <w:adjustRightInd/>
              <w:snapToGrid w:val="0"/>
              <w:spacing w:beforeAutospacing="0" w:afterAutospacing="0" w:line="400" w:lineRule="exact"/>
              <w:jc w:val="center"/>
              <w:rPr>
                <w:rFonts w:hint="eastAsia" w:ascii="宋体" w:hAnsi="宋体" w:eastAsia="宋体" w:cs="宋体"/>
                <w:color w:val="0F1115"/>
                <w:sz w:val="18"/>
                <w:szCs w:val="18"/>
                <w:highlight w:val="none"/>
                <w:shd w:val="clear" w:color="auto" w:fill="FFFFFF"/>
              </w:rPr>
            </w:pPr>
          </w:p>
        </w:tc>
        <w:tc>
          <w:tcPr>
            <w:tcW w:w="953" w:type="dxa"/>
            <w:tcBorders>
              <w:top w:val="nil"/>
              <w:left w:val="nil"/>
              <w:bottom w:val="nil"/>
              <w:right w:val="nil"/>
            </w:tcBorders>
            <w:shd w:val="clear" w:color="auto" w:fill="auto"/>
            <w:tcMar>
              <w:top w:w="-1" w:type="dxa"/>
              <w:left w:w="-1" w:type="dxa"/>
              <w:bottom w:w="-1" w:type="dxa"/>
              <w:right w:w="-1" w:type="dxa"/>
            </w:tcMar>
            <w:vAlign w:val="center"/>
          </w:tcPr>
          <w:p w14:paraId="78D229B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54EBFCC6">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w:t>
            </w:r>
          </w:p>
        </w:tc>
        <w:tc>
          <w:tcPr>
            <w:tcW w:w="996" w:type="dxa"/>
            <w:tcBorders>
              <w:top w:val="nil"/>
              <w:left w:val="nil"/>
              <w:bottom w:val="nil"/>
              <w:right w:val="nil"/>
            </w:tcBorders>
            <w:shd w:val="clear" w:color="auto" w:fill="auto"/>
            <w:tcMar>
              <w:top w:w="-1" w:type="dxa"/>
              <w:left w:w="-1" w:type="dxa"/>
              <w:bottom w:w="-1" w:type="dxa"/>
              <w:right w:w="-1" w:type="dxa"/>
            </w:tcMar>
            <w:vAlign w:val="center"/>
          </w:tcPr>
          <w:p w14:paraId="302A508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3</w:t>
            </w:r>
          </w:p>
        </w:tc>
        <w:tc>
          <w:tcPr>
            <w:tcW w:w="972" w:type="dxa"/>
            <w:tcBorders>
              <w:top w:val="nil"/>
              <w:left w:val="nil"/>
              <w:bottom w:val="nil"/>
              <w:right w:val="nil"/>
            </w:tcBorders>
            <w:shd w:val="clear" w:color="auto" w:fill="auto"/>
            <w:tcMar>
              <w:top w:w="-1" w:type="dxa"/>
              <w:left w:w="-1" w:type="dxa"/>
              <w:bottom w:w="-1" w:type="dxa"/>
              <w:right w:w="-1" w:type="dxa"/>
            </w:tcMar>
            <w:vAlign w:val="center"/>
          </w:tcPr>
          <w:p w14:paraId="272DEB06">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w:t>
            </w:r>
          </w:p>
        </w:tc>
        <w:tc>
          <w:tcPr>
            <w:tcW w:w="936" w:type="dxa"/>
            <w:tcBorders>
              <w:top w:val="nil"/>
              <w:left w:val="nil"/>
              <w:bottom w:val="nil"/>
              <w:right w:val="nil"/>
            </w:tcBorders>
            <w:shd w:val="clear" w:color="auto" w:fill="auto"/>
            <w:tcMar>
              <w:top w:w="-1" w:type="dxa"/>
              <w:left w:w="-1" w:type="dxa"/>
              <w:bottom w:w="-1" w:type="dxa"/>
              <w:right w:w="-1" w:type="dxa"/>
            </w:tcMar>
            <w:vAlign w:val="center"/>
          </w:tcPr>
          <w:p w14:paraId="49817A32">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016CE6C0">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6</w:t>
            </w:r>
          </w:p>
        </w:tc>
        <w:tc>
          <w:tcPr>
            <w:tcW w:w="732" w:type="dxa"/>
            <w:vMerge w:val="continue"/>
            <w:tcBorders>
              <w:top w:val="nil"/>
              <w:left w:val="nil"/>
              <w:bottom w:val="nil"/>
              <w:right w:val="nil"/>
            </w:tcBorders>
            <w:shd w:val="clear" w:color="auto" w:fill="auto"/>
            <w:tcMar>
              <w:top w:w="-1" w:type="dxa"/>
              <w:left w:w="-1" w:type="dxa"/>
              <w:bottom w:w="-1" w:type="dxa"/>
              <w:right w:w="-1" w:type="dxa"/>
            </w:tcMar>
            <w:vAlign w:val="center"/>
          </w:tcPr>
          <w:p w14:paraId="3317C2EF">
            <w:pPr>
              <w:keepNext w:val="0"/>
              <w:keepLines w:val="0"/>
              <w:pageBreakBefore w:val="0"/>
              <w:kinsoku/>
              <w:wordWrap/>
              <w:overflowPunct/>
              <w:topLinePunct w:val="0"/>
              <w:autoSpaceDE/>
              <w:autoSpaceDN/>
              <w:bidi w:val="0"/>
              <w:adjustRightInd/>
              <w:snapToGrid w:val="0"/>
              <w:spacing w:beforeAutospacing="0" w:afterAutospacing="0" w:line="400" w:lineRule="exact"/>
              <w:jc w:val="center"/>
              <w:rPr>
                <w:rFonts w:hint="eastAsia" w:ascii="宋体" w:hAnsi="宋体" w:eastAsia="宋体" w:cs="宋体"/>
                <w:color w:val="0F1115"/>
                <w:sz w:val="18"/>
                <w:szCs w:val="18"/>
                <w:highlight w:val="none"/>
                <w:shd w:val="clear" w:color="auto" w:fill="FFFFFF"/>
              </w:rPr>
            </w:pPr>
          </w:p>
        </w:tc>
        <w:tc>
          <w:tcPr>
            <w:tcW w:w="864" w:type="dxa"/>
            <w:vMerge w:val="continue"/>
            <w:tcBorders>
              <w:top w:val="nil"/>
              <w:left w:val="nil"/>
              <w:bottom w:val="nil"/>
              <w:right w:val="nil"/>
            </w:tcBorders>
            <w:shd w:val="clear" w:color="auto" w:fill="auto"/>
            <w:tcMar>
              <w:top w:w="-1" w:type="dxa"/>
              <w:left w:w="-1" w:type="dxa"/>
              <w:bottom w:w="-1" w:type="dxa"/>
              <w:right w:w="-1" w:type="dxa"/>
            </w:tcMar>
            <w:vAlign w:val="center"/>
          </w:tcPr>
          <w:p w14:paraId="772AD408">
            <w:pPr>
              <w:keepNext w:val="0"/>
              <w:keepLines w:val="0"/>
              <w:pageBreakBefore w:val="0"/>
              <w:kinsoku/>
              <w:wordWrap/>
              <w:overflowPunct/>
              <w:topLinePunct w:val="0"/>
              <w:autoSpaceDE/>
              <w:autoSpaceDN/>
              <w:bidi w:val="0"/>
              <w:adjustRightInd/>
              <w:snapToGrid w:val="0"/>
              <w:spacing w:beforeAutospacing="0" w:afterAutospacing="0" w:line="400" w:lineRule="exact"/>
              <w:jc w:val="center"/>
              <w:rPr>
                <w:rFonts w:hint="eastAsia" w:ascii="宋体" w:hAnsi="宋体" w:eastAsia="宋体" w:cs="宋体"/>
                <w:color w:val="0F1115"/>
                <w:sz w:val="18"/>
                <w:szCs w:val="18"/>
                <w:highlight w:val="none"/>
                <w:shd w:val="clear" w:color="auto" w:fill="FFFFFF"/>
              </w:rPr>
            </w:pPr>
          </w:p>
        </w:tc>
        <w:tc>
          <w:tcPr>
            <w:tcW w:w="1368" w:type="dxa"/>
            <w:vMerge w:val="continue"/>
            <w:tcBorders>
              <w:top w:val="nil"/>
              <w:left w:val="nil"/>
              <w:bottom w:val="nil"/>
              <w:right w:val="nil"/>
            </w:tcBorders>
            <w:shd w:val="clear" w:color="auto" w:fill="auto"/>
            <w:tcMar>
              <w:top w:w="-1" w:type="dxa"/>
              <w:left w:w="-1" w:type="dxa"/>
              <w:bottom w:w="-1" w:type="dxa"/>
              <w:right w:w="-1" w:type="dxa"/>
            </w:tcMar>
            <w:vAlign w:val="center"/>
          </w:tcPr>
          <w:p w14:paraId="4653D0CD">
            <w:pPr>
              <w:keepNext w:val="0"/>
              <w:keepLines w:val="0"/>
              <w:pageBreakBefore w:val="0"/>
              <w:kinsoku/>
              <w:wordWrap/>
              <w:overflowPunct/>
              <w:topLinePunct w:val="0"/>
              <w:autoSpaceDE/>
              <w:autoSpaceDN/>
              <w:bidi w:val="0"/>
              <w:adjustRightInd/>
              <w:snapToGrid w:val="0"/>
              <w:spacing w:beforeAutospacing="0" w:afterAutospacing="0" w:line="400" w:lineRule="exact"/>
              <w:jc w:val="center"/>
              <w:rPr>
                <w:rFonts w:hint="eastAsia" w:ascii="宋体" w:hAnsi="宋体" w:eastAsia="宋体" w:cs="宋体"/>
                <w:color w:val="0F1115"/>
                <w:sz w:val="18"/>
                <w:szCs w:val="18"/>
                <w:highlight w:val="none"/>
                <w:shd w:val="clear" w:color="auto" w:fill="FFFFFF"/>
              </w:rPr>
            </w:pPr>
          </w:p>
        </w:tc>
      </w:tr>
      <w:tr w14:paraId="14505CBE">
        <w:tblPrEx>
          <w:tblCellMar>
            <w:top w:w="0" w:type="dxa"/>
            <w:left w:w="108" w:type="dxa"/>
            <w:bottom w:w="0" w:type="dxa"/>
            <w:right w:w="108" w:type="dxa"/>
          </w:tblCellMar>
        </w:tblPrEx>
        <w:trPr>
          <w:jc w:val="center"/>
        </w:trPr>
        <w:tc>
          <w:tcPr>
            <w:tcW w:w="742"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336013C0">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w:t>
            </w:r>
          </w:p>
        </w:tc>
        <w:tc>
          <w:tcPr>
            <w:tcW w:w="1080"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1B1D80D4">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0.40 </w:t>
            </w:r>
          </w:p>
        </w:tc>
        <w:tc>
          <w:tcPr>
            <w:tcW w:w="953"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0EBFC943">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0.42</w:t>
            </w:r>
          </w:p>
        </w:tc>
        <w:tc>
          <w:tcPr>
            <w:tcW w:w="960"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1126CAB4">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0.40</w:t>
            </w:r>
          </w:p>
        </w:tc>
        <w:tc>
          <w:tcPr>
            <w:tcW w:w="996"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59814AF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0.43</w:t>
            </w:r>
          </w:p>
        </w:tc>
        <w:tc>
          <w:tcPr>
            <w:tcW w:w="972"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4677D94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0.43</w:t>
            </w:r>
          </w:p>
        </w:tc>
        <w:tc>
          <w:tcPr>
            <w:tcW w:w="936"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43195400">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0.38</w:t>
            </w:r>
          </w:p>
        </w:tc>
        <w:tc>
          <w:tcPr>
            <w:tcW w:w="960"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74D803F8">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0.42</w:t>
            </w:r>
          </w:p>
        </w:tc>
        <w:tc>
          <w:tcPr>
            <w:tcW w:w="732"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5CD85F2B">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4.76</w:t>
            </w:r>
          </w:p>
        </w:tc>
        <w:tc>
          <w:tcPr>
            <w:tcW w:w="864"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6A45FE22">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1.70</w:t>
            </w:r>
          </w:p>
        </w:tc>
        <w:tc>
          <w:tcPr>
            <w:tcW w:w="1368" w:type="dxa"/>
            <w:tcBorders>
              <w:top w:val="single" w:color="000000" w:sz="4" w:space="0"/>
              <w:left w:val="nil"/>
              <w:bottom w:val="nil"/>
              <w:right w:val="nil"/>
            </w:tcBorders>
            <w:shd w:val="clear" w:color="auto" w:fill="auto"/>
            <w:tcMar>
              <w:top w:w="-1" w:type="dxa"/>
              <w:left w:w="-1" w:type="dxa"/>
              <w:bottom w:w="-1" w:type="dxa"/>
              <w:right w:w="-1" w:type="dxa"/>
            </w:tcMar>
            <w:vAlign w:val="center"/>
          </w:tcPr>
          <w:p w14:paraId="6E3AA36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4.032</w:t>
            </w:r>
          </w:p>
        </w:tc>
      </w:tr>
      <w:tr w14:paraId="6D3AA763">
        <w:tblPrEx>
          <w:tblCellMar>
            <w:top w:w="0" w:type="dxa"/>
            <w:left w:w="108" w:type="dxa"/>
            <w:bottom w:w="0" w:type="dxa"/>
            <w:right w:w="108" w:type="dxa"/>
          </w:tblCellMar>
        </w:tblPrEx>
        <w:trPr>
          <w:jc w:val="center"/>
        </w:trPr>
        <w:tc>
          <w:tcPr>
            <w:tcW w:w="742" w:type="dxa"/>
            <w:tcBorders>
              <w:top w:val="nil"/>
              <w:left w:val="nil"/>
              <w:bottom w:val="nil"/>
              <w:right w:val="nil"/>
            </w:tcBorders>
            <w:shd w:val="clear" w:color="auto" w:fill="auto"/>
            <w:tcMar>
              <w:top w:w="-1" w:type="dxa"/>
              <w:left w:w="-1" w:type="dxa"/>
              <w:bottom w:w="-1" w:type="dxa"/>
              <w:right w:w="-1" w:type="dxa"/>
            </w:tcMar>
            <w:vAlign w:val="center"/>
          </w:tcPr>
          <w:p w14:paraId="1D06B96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w:t>
            </w:r>
          </w:p>
        </w:tc>
        <w:tc>
          <w:tcPr>
            <w:tcW w:w="1080" w:type="dxa"/>
            <w:tcBorders>
              <w:top w:val="nil"/>
              <w:left w:val="nil"/>
              <w:bottom w:val="nil"/>
              <w:right w:val="nil"/>
            </w:tcBorders>
            <w:shd w:val="clear" w:color="auto" w:fill="auto"/>
            <w:tcMar>
              <w:top w:w="-1" w:type="dxa"/>
              <w:left w:w="-1" w:type="dxa"/>
              <w:bottom w:w="-1" w:type="dxa"/>
              <w:right w:w="-1" w:type="dxa"/>
            </w:tcMar>
            <w:vAlign w:val="center"/>
          </w:tcPr>
          <w:p w14:paraId="07CC8C9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1.00 </w:t>
            </w:r>
          </w:p>
        </w:tc>
        <w:tc>
          <w:tcPr>
            <w:tcW w:w="953" w:type="dxa"/>
            <w:tcBorders>
              <w:top w:val="nil"/>
              <w:left w:val="nil"/>
              <w:bottom w:val="nil"/>
              <w:right w:val="nil"/>
            </w:tcBorders>
            <w:shd w:val="clear" w:color="auto" w:fill="auto"/>
            <w:tcMar>
              <w:top w:w="-1" w:type="dxa"/>
              <w:left w:w="-1" w:type="dxa"/>
              <w:bottom w:w="-1" w:type="dxa"/>
              <w:right w:w="-1" w:type="dxa"/>
            </w:tcMar>
            <w:vAlign w:val="center"/>
          </w:tcPr>
          <w:p w14:paraId="3AAC02FD">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1.00</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4E8F807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0.98</w:t>
            </w:r>
          </w:p>
        </w:tc>
        <w:tc>
          <w:tcPr>
            <w:tcW w:w="996" w:type="dxa"/>
            <w:tcBorders>
              <w:top w:val="nil"/>
              <w:left w:val="nil"/>
              <w:bottom w:val="nil"/>
              <w:right w:val="nil"/>
            </w:tcBorders>
            <w:shd w:val="clear" w:color="auto" w:fill="auto"/>
            <w:tcMar>
              <w:top w:w="-1" w:type="dxa"/>
              <w:left w:w="-1" w:type="dxa"/>
              <w:bottom w:w="-1" w:type="dxa"/>
              <w:right w:w="-1" w:type="dxa"/>
            </w:tcMar>
            <w:vAlign w:val="center"/>
          </w:tcPr>
          <w:p w14:paraId="30C35F8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w:t>
            </w:r>
          </w:p>
        </w:tc>
        <w:tc>
          <w:tcPr>
            <w:tcW w:w="972" w:type="dxa"/>
            <w:tcBorders>
              <w:top w:val="nil"/>
              <w:left w:val="nil"/>
              <w:bottom w:val="nil"/>
              <w:right w:val="nil"/>
            </w:tcBorders>
            <w:shd w:val="clear" w:color="auto" w:fill="auto"/>
            <w:tcMar>
              <w:top w:w="-1" w:type="dxa"/>
              <w:left w:w="-1" w:type="dxa"/>
              <w:bottom w:w="-1" w:type="dxa"/>
              <w:right w:w="-1" w:type="dxa"/>
            </w:tcMar>
            <w:vAlign w:val="center"/>
          </w:tcPr>
          <w:p w14:paraId="4D240D2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1.02</w:t>
            </w:r>
          </w:p>
        </w:tc>
        <w:tc>
          <w:tcPr>
            <w:tcW w:w="936" w:type="dxa"/>
            <w:tcBorders>
              <w:top w:val="nil"/>
              <w:left w:val="nil"/>
              <w:bottom w:val="nil"/>
              <w:right w:val="nil"/>
            </w:tcBorders>
            <w:shd w:val="clear" w:color="auto" w:fill="auto"/>
            <w:tcMar>
              <w:top w:w="-1" w:type="dxa"/>
              <w:left w:w="-1" w:type="dxa"/>
              <w:bottom w:w="-1" w:type="dxa"/>
              <w:right w:w="-1" w:type="dxa"/>
            </w:tcMar>
            <w:vAlign w:val="center"/>
          </w:tcPr>
          <w:p w14:paraId="6BB0281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1.04</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632A8E3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w:t>
            </w:r>
          </w:p>
        </w:tc>
        <w:tc>
          <w:tcPr>
            <w:tcW w:w="732" w:type="dxa"/>
            <w:tcBorders>
              <w:top w:val="nil"/>
              <w:left w:val="nil"/>
              <w:bottom w:val="nil"/>
              <w:right w:val="nil"/>
            </w:tcBorders>
            <w:shd w:val="clear" w:color="auto" w:fill="auto"/>
            <w:tcMar>
              <w:top w:w="-1" w:type="dxa"/>
              <w:left w:w="-1" w:type="dxa"/>
              <w:bottom w:w="-1" w:type="dxa"/>
              <w:right w:w="-1" w:type="dxa"/>
            </w:tcMar>
            <w:vAlign w:val="center"/>
          </w:tcPr>
          <w:p w14:paraId="5B3976BC">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2.21</w:t>
            </w:r>
          </w:p>
        </w:tc>
        <w:tc>
          <w:tcPr>
            <w:tcW w:w="864" w:type="dxa"/>
            <w:tcBorders>
              <w:top w:val="nil"/>
              <w:left w:val="nil"/>
              <w:bottom w:val="nil"/>
              <w:right w:val="nil"/>
            </w:tcBorders>
            <w:shd w:val="clear" w:color="auto" w:fill="auto"/>
            <w:tcMar>
              <w:top w:w="-1" w:type="dxa"/>
              <w:left w:w="-1" w:type="dxa"/>
              <w:bottom w:w="-1" w:type="dxa"/>
              <w:right w:w="-1" w:type="dxa"/>
            </w:tcMar>
            <w:vAlign w:val="center"/>
          </w:tcPr>
          <w:p w14:paraId="2F504476">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1.85</w:t>
            </w:r>
          </w:p>
        </w:tc>
        <w:tc>
          <w:tcPr>
            <w:tcW w:w="1368" w:type="dxa"/>
            <w:tcBorders>
              <w:top w:val="nil"/>
              <w:left w:val="nil"/>
              <w:bottom w:val="nil"/>
              <w:right w:val="nil"/>
            </w:tcBorders>
            <w:shd w:val="clear" w:color="auto" w:fill="auto"/>
            <w:tcMar>
              <w:top w:w="-1" w:type="dxa"/>
              <w:left w:w="-1" w:type="dxa"/>
              <w:bottom w:w="-1" w:type="dxa"/>
              <w:right w:w="-1" w:type="dxa"/>
            </w:tcMar>
            <w:vAlign w:val="center"/>
          </w:tcPr>
          <w:p w14:paraId="520F4564">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4.032</w:t>
            </w:r>
          </w:p>
        </w:tc>
      </w:tr>
      <w:tr w14:paraId="1A479491">
        <w:tblPrEx>
          <w:tblCellMar>
            <w:top w:w="0" w:type="dxa"/>
            <w:left w:w="108" w:type="dxa"/>
            <w:bottom w:w="0" w:type="dxa"/>
            <w:right w:w="108" w:type="dxa"/>
          </w:tblCellMar>
        </w:tblPrEx>
        <w:trPr>
          <w:jc w:val="center"/>
        </w:trPr>
        <w:tc>
          <w:tcPr>
            <w:tcW w:w="742" w:type="dxa"/>
            <w:tcBorders>
              <w:top w:val="nil"/>
              <w:left w:val="nil"/>
              <w:bottom w:val="nil"/>
              <w:right w:val="nil"/>
            </w:tcBorders>
            <w:shd w:val="clear" w:color="auto" w:fill="auto"/>
            <w:tcMar>
              <w:top w:w="-1" w:type="dxa"/>
              <w:left w:w="-1" w:type="dxa"/>
              <w:bottom w:w="-1" w:type="dxa"/>
              <w:right w:w="-1" w:type="dxa"/>
            </w:tcMar>
            <w:vAlign w:val="center"/>
          </w:tcPr>
          <w:p w14:paraId="15803E1A">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3</w:t>
            </w:r>
          </w:p>
        </w:tc>
        <w:tc>
          <w:tcPr>
            <w:tcW w:w="1080" w:type="dxa"/>
            <w:tcBorders>
              <w:top w:val="nil"/>
              <w:left w:val="nil"/>
              <w:bottom w:val="nil"/>
              <w:right w:val="nil"/>
            </w:tcBorders>
            <w:shd w:val="clear" w:color="auto" w:fill="auto"/>
            <w:tcMar>
              <w:top w:w="-1" w:type="dxa"/>
              <w:left w:w="-1" w:type="dxa"/>
              <w:bottom w:w="-1" w:type="dxa"/>
              <w:right w:w="-1" w:type="dxa"/>
            </w:tcMar>
            <w:vAlign w:val="center"/>
          </w:tcPr>
          <w:p w14:paraId="345C6FA3">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5.00 </w:t>
            </w:r>
          </w:p>
        </w:tc>
        <w:tc>
          <w:tcPr>
            <w:tcW w:w="953" w:type="dxa"/>
            <w:tcBorders>
              <w:top w:val="nil"/>
              <w:left w:val="nil"/>
              <w:bottom w:val="nil"/>
              <w:right w:val="nil"/>
            </w:tcBorders>
            <w:shd w:val="clear" w:color="auto" w:fill="auto"/>
            <w:tcMar>
              <w:top w:w="-1" w:type="dxa"/>
              <w:left w:w="-1" w:type="dxa"/>
              <w:bottom w:w="-1" w:type="dxa"/>
              <w:right w:w="-1" w:type="dxa"/>
            </w:tcMar>
            <w:vAlign w:val="center"/>
          </w:tcPr>
          <w:p w14:paraId="0984A17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5.03</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24643D56">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5.05</w:t>
            </w:r>
          </w:p>
        </w:tc>
        <w:tc>
          <w:tcPr>
            <w:tcW w:w="996" w:type="dxa"/>
            <w:tcBorders>
              <w:top w:val="nil"/>
              <w:left w:val="nil"/>
              <w:bottom w:val="nil"/>
              <w:right w:val="nil"/>
            </w:tcBorders>
            <w:shd w:val="clear" w:color="auto" w:fill="auto"/>
            <w:tcMar>
              <w:top w:w="-1" w:type="dxa"/>
              <w:left w:w="-1" w:type="dxa"/>
              <w:bottom w:w="-1" w:type="dxa"/>
              <w:right w:w="-1" w:type="dxa"/>
            </w:tcMar>
            <w:vAlign w:val="center"/>
          </w:tcPr>
          <w:p w14:paraId="25B36AC6">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5.01</w:t>
            </w:r>
          </w:p>
        </w:tc>
        <w:tc>
          <w:tcPr>
            <w:tcW w:w="972" w:type="dxa"/>
            <w:tcBorders>
              <w:top w:val="nil"/>
              <w:left w:val="nil"/>
              <w:bottom w:val="nil"/>
              <w:right w:val="nil"/>
            </w:tcBorders>
            <w:shd w:val="clear" w:color="auto" w:fill="auto"/>
            <w:tcMar>
              <w:top w:w="-1" w:type="dxa"/>
              <w:left w:w="-1" w:type="dxa"/>
              <w:bottom w:w="-1" w:type="dxa"/>
              <w:right w:w="-1" w:type="dxa"/>
            </w:tcMar>
            <w:vAlign w:val="center"/>
          </w:tcPr>
          <w:p w14:paraId="64567C9E">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4.98</w:t>
            </w:r>
          </w:p>
        </w:tc>
        <w:tc>
          <w:tcPr>
            <w:tcW w:w="936" w:type="dxa"/>
            <w:tcBorders>
              <w:top w:val="nil"/>
              <w:left w:val="nil"/>
              <w:bottom w:val="nil"/>
              <w:right w:val="nil"/>
            </w:tcBorders>
            <w:shd w:val="clear" w:color="auto" w:fill="auto"/>
            <w:tcMar>
              <w:top w:w="-1" w:type="dxa"/>
              <w:left w:w="-1" w:type="dxa"/>
              <w:bottom w:w="-1" w:type="dxa"/>
              <w:right w:w="-1" w:type="dxa"/>
            </w:tcMar>
            <w:vAlign w:val="center"/>
          </w:tcPr>
          <w:p w14:paraId="2D200DF6">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5.04</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2DED46CD">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5.08</w:t>
            </w:r>
          </w:p>
        </w:tc>
        <w:tc>
          <w:tcPr>
            <w:tcW w:w="732" w:type="dxa"/>
            <w:tcBorders>
              <w:top w:val="nil"/>
              <w:left w:val="nil"/>
              <w:bottom w:val="nil"/>
              <w:right w:val="nil"/>
            </w:tcBorders>
            <w:shd w:val="clear" w:color="auto" w:fill="auto"/>
            <w:tcMar>
              <w:top w:w="-1" w:type="dxa"/>
              <w:left w:w="-1" w:type="dxa"/>
              <w:bottom w:w="-1" w:type="dxa"/>
              <w:right w:w="-1" w:type="dxa"/>
            </w:tcMar>
            <w:vAlign w:val="center"/>
          </w:tcPr>
          <w:p w14:paraId="0D62773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0.68</w:t>
            </w:r>
          </w:p>
        </w:tc>
        <w:tc>
          <w:tcPr>
            <w:tcW w:w="864" w:type="dxa"/>
            <w:tcBorders>
              <w:top w:val="nil"/>
              <w:left w:val="nil"/>
              <w:bottom w:val="nil"/>
              <w:right w:val="nil"/>
            </w:tcBorders>
            <w:shd w:val="clear" w:color="auto" w:fill="auto"/>
            <w:tcMar>
              <w:top w:w="-1" w:type="dxa"/>
              <w:left w:w="-1" w:type="dxa"/>
              <w:bottom w:w="-1" w:type="dxa"/>
              <w:right w:w="-1" w:type="dxa"/>
            </w:tcMar>
            <w:vAlign w:val="center"/>
          </w:tcPr>
          <w:p w14:paraId="3CF03A6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2.31</w:t>
            </w:r>
          </w:p>
        </w:tc>
        <w:tc>
          <w:tcPr>
            <w:tcW w:w="1368" w:type="dxa"/>
            <w:tcBorders>
              <w:top w:val="nil"/>
              <w:left w:val="nil"/>
              <w:bottom w:val="nil"/>
              <w:right w:val="nil"/>
            </w:tcBorders>
            <w:shd w:val="clear" w:color="auto" w:fill="auto"/>
            <w:tcMar>
              <w:top w:w="-1" w:type="dxa"/>
              <w:left w:w="-1" w:type="dxa"/>
              <w:bottom w:w="-1" w:type="dxa"/>
              <w:right w:w="-1" w:type="dxa"/>
            </w:tcMar>
            <w:vAlign w:val="center"/>
          </w:tcPr>
          <w:p w14:paraId="7543ADC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4.032</w:t>
            </w:r>
          </w:p>
        </w:tc>
      </w:tr>
      <w:tr w14:paraId="4E2582DA">
        <w:tblPrEx>
          <w:tblCellMar>
            <w:top w:w="0" w:type="dxa"/>
            <w:left w:w="108" w:type="dxa"/>
            <w:bottom w:w="0" w:type="dxa"/>
            <w:right w:w="108" w:type="dxa"/>
          </w:tblCellMar>
        </w:tblPrEx>
        <w:trPr>
          <w:jc w:val="center"/>
        </w:trPr>
        <w:tc>
          <w:tcPr>
            <w:tcW w:w="742" w:type="dxa"/>
            <w:tcBorders>
              <w:top w:val="nil"/>
              <w:left w:val="nil"/>
              <w:bottom w:val="nil"/>
              <w:right w:val="nil"/>
            </w:tcBorders>
            <w:shd w:val="clear" w:color="auto" w:fill="auto"/>
            <w:tcMar>
              <w:top w:w="-1" w:type="dxa"/>
              <w:left w:w="-1" w:type="dxa"/>
              <w:bottom w:w="-1" w:type="dxa"/>
              <w:right w:w="-1" w:type="dxa"/>
            </w:tcMar>
            <w:vAlign w:val="center"/>
          </w:tcPr>
          <w:p w14:paraId="24C05D9C">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w:t>
            </w:r>
          </w:p>
        </w:tc>
        <w:tc>
          <w:tcPr>
            <w:tcW w:w="1080" w:type="dxa"/>
            <w:tcBorders>
              <w:top w:val="nil"/>
              <w:left w:val="nil"/>
              <w:bottom w:val="nil"/>
              <w:right w:val="nil"/>
            </w:tcBorders>
            <w:shd w:val="clear" w:color="auto" w:fill="auto"/>
            <w:tcMar>
              <w:top w:w="-1" w:type="dxa"/>
              <w:left w:w="-1" w:type="dxa"/>
              <w:bottom w:w="-1" w:type="dxa"/>
              <w:right w:w="-1" w:type="dxa"/>
            </w:tcMar>
            <w:vAlign w:val="center"/>
          </w:tcPr>
          <w:p w14:paraId="24660B0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10.00 </w:t>
            </w:r>
          </w:p>
        </w:tc>
        <w:tc>
          <w:tcPr>
            <w:tcW w:w="953" w:type="dxa"/>
            <w:tcBorders>
              <w:top w:val="nil"/>
              <w:left w:val="nil"/>
              <w:bottom w:val="nil"/>
              <w:right w:val="nil"/>
            </w:tcBorders>
            <w:shd w:val="clear" w:color="auto" w:fill="auto"/>
            <w:tcMar>
              <w:top w:w="-1" w:type="dxa"/>
              <w:left w:w="-1" w:type="dxa"/>
              <w:bottom w:w="-1" w:type="dxa"/>
              <w:right w:w="-1" w:type="dxa"/>
            </w:tcMar>
            <w:vAlign w:val="center"/>
          </w:tcPr>
          <w:p w14:paraId="25C6F6E5">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10.24</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6D4EB542">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10.08</w:t>
            </w:r>
          </w:p>
        </w:tc>
        <w:tc>
          <w:tcPr>
            <w:tcW w:w="996" w:type="dxa"/>
            <w:tcBorders>
              <w:top w:val="nil"/>
              <w:left w:val="nil"/>
              <w:bottom w:val="nil"/>
              <w:right w:val="nil"/>
            </w:tcBorders>
            <w:shd w:val="clear" w:color="auto" w:fill="auto"/>
            <w:tcMar>
              <w:top w:w="-1" w:type="dxa"/>
              <w:left w:w="-1" w:type="dxa"/>
              <w:bottom w:w="-1" w:type="dxa"/>
              <w:right w:w="-1" w:type="dxa"/>
            </w:tcMar>
            <w:vAlign w:val="center"/>
          </w:tcPr>
          <w:p w14:paraId="2D0792ED">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10.11</w:t>
            </w:r>
          </w:p>
        </w:tc>
        <w:tc>
          <w:tcPr>
            <w:tcW w:w="972" w:type="dxa"/>
            <w:tcBorders>
              <w:top w:val="nil"/>
              <w:left w:val="nil"/>
              <w:bottom w:val="nil"/>
              <w:right w:val="nil"/>
            </w:tcBorders>
            <w:shd w:val="clear" w:color="auto" w:fill="auto"/>
            <w:tcMar>
              <w:top w:w="-1" w:type="dxa"/>
              <w:left w:w="-1" w:type="dxa"/>
              <w:bottom w:w="-1" w:type="dxa"/>
              <w:right w:w="-1" w:type="dxa"/>
            </w:tcMar>
            <w:vAlign w:val="center"/>
          </w:tcPr>
          <w:p w14:paraId="7B77664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10.16</w:t>
            </w:r>
          </w:p>
        </w:tc>
        <w:tc>
          <w:tcPr>
            <w:tcW w:w="936" w:type="dxa"/>
            <w:tcBorders>
              <w:top w:val="nil"/>
              <w:left w:val="nil"/>
              <w:bottom w:val="nil"/>
              <w:right w:val="nil"/>
            </w:tcBorders>
            <w:shd w:val="clear" w:color="auto" w:fill="auto"/>
            <w:tcMar>
              <w:top w:w="-1" w:type="dxa"/>
              <w:left w:w="-1" w:type="dxa"/>
              <w:bottom w:w="-1" w:type="dxa"/>
              <w:right w:w="-1" w:type="dxa"/>
            </w:tcMar>
            <w:vAlign w:val="center"/>
          </w:tcPr>
          <w:p w14:paraId="4989033B">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10.02</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4267C70B">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10.04</w:t>
            </w:r>
          </w:p>
        </w:tc>
        <w:tc>
          <w:tcPr>
            <w:tcW w:w="732" w:type="dxa"/>
            <w:tcBorders>
              <w:top w:val="nil"/>
              <w:left w:val="nil"/>
              <w:bottom w:val="nil"/>
              <w:right w:val="nil"/>
            </w:tcBorders>
            <w:shd w:val="clear" w:color="auto" w:fill="auto"/>
            <w:tcMar>
              <w:top w:w="-1" w:type="dxa"/>
              <w:left w:w="-1" w:type="dxa"/>
              <w:bottom w:w="-1" w:type="dxa"/>
              <w:right w:w="-1" w:type="dxa"/>
            </w:tcMar>
            <w:vAlign w:val="center"/>
          </w:tcPr>
          <w:p w14:paraId="23D45A75">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0.78</w:t>
            </w:r>
          </w:p>
        </w:tc>
        <w:tc>
          <w:tcPr>
            <w:tcW w:w="864" w:type="dxa"/>
            <w:tcBorders>
              <w:top w:val="nil"/>
              <w:left w:val="nil"/>
              <w:bottom w:val="nil"/>
              <w:right w:val="nil"/>
            </w:tcBorders>
            <w:shd w:val="clear" w:color="auto" w:fill="auto"/>
            <w:tcMar>
              <w:top w:w="-1" w:type="dxa"/>
              <w:left w:w="-1" w:type="dxa"/>
              <w:bottom w:w="-1" w:type="dxa"/>
              <w:right w:w="-1" w:type="dxa"/>
            </w:tcMar>
            <w:vAlign w:val="center"/>
          </w:tcPr>
          <w:p w14:paraId="537979CF">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2.90</w:t>
            </w:r>
          </w:p>
        </w:tc>
        <w:tc>
          <w:tcPr>
            <w:tcW w:w="1368" w:type="dxa"/>
            <w:tcBorders>
              <w:top w:val="nil"/>
              <w:left w:val="nil"/>
              <w:bottom w:val="nil"/>
              <w:right w:val="nil"/>
            </w:tcBorders>
            <w:shd w:val="clear" w:color="auto" w:fill="auto"/>
            <w:tcMar>
              <w:top w:w="-1" w:type="dxa"/>
              <w:left w:w="-1" w:type="dxa"/>
              <w:bottom w:w="-1" w:type="dxa"/>
              <w:right w:w="-1" w:type="dxa"/>
            </w:tcMar>
            <w:vAlign w:val="center"/>
          </w:tcPr>
          <w:p w14:paraId="4160EC20">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4.032</w:t>
            </w:r>
          </w:p>
        </w:tc>
      </w:tr>
      <w:tr w14:paraId="10E5E51F">
        <w:tblPrEx>
          <w:tblCellMar>
            <w:top w:w="0" w:type="dxa"/>
            <w:left w:w="108" w:type="dxa"/>
            <w:bottom w:w="0" w:type="dxa"/>
            <w:right w:w="108" w:type="dxa"/>
          </w:tblCellMar>
        </w:tblPrEx>
        <w:trPr>
          <w:jc w:val="center"/>
        </w:trPr>
        <w:tc>
          <w:tcPr>
            <w:tcW w:w="742" w:type="dxa"/>
            <w:tcBorders>
              <w:top w:val="nil"/>
              <w:left w:val="nil"/>
              <w:bottom w:val="nil"/>
              <w:right w:val="nil"/>
            </w:tcBorders>
            <w:shd w:val="clear" w:color="auto" w:fill="auto"/>
            <w:tcMar>
              <w:top w:w="-1" w:type="dxa"/>
              <w:left w:w="-1" w:type="dxa"/>
              <w:bottom w:w="-1" w:type="dxa"/>
              <w:right w:w="-1" w:type="dxa"/>
            </w:tcMar>
            <w:vAlign w:val="center"/>
          </w:tcPr>
          <w:p w14:paraId="2BA051BE">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w:t>
            </w:r>
          </w:p>
        </w:tc>
        <w:tc>
          <w:tcPr>
            <w:tcW w:w="1080" w:type="dxa"/>
            <w:tcBorders>
              <w:top w:val="nil"/>
              <w:left w:val="nil"/>
              <w:bottom w:val="nil"/>
              <w:right w:val="nil"/>
            </w:tcBorders>
            <w:shd w:val="clear" w:color="auto" w:fill="auto"/>
            <w:tcMar>
              <w:top w:w="-1" w:type="dxa"/>
              <w:left w:w="-1" w:type="dxa"/>
              <w:bottom w:w="-1" w:type="dxa"/>
              <w:right w:w="-1" w:type="dxa"/>
            </w:tcMar>
            <w:vAlign w:val="center"/>
          </w:tcPr>
          <w:p w14:paraId="5899A0C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20.00 </w:t>
            </w:r>
          </w:p>
        </w:tc>
        <w:tc>
          <w:tcPr>
            <w:tcW w:w="953" w:type="dxa"/>
            <w:tcBorders>
              <w:top w:val="nil"/>
              <w:left w:val="nil"/>
              <w:bottom w:val="nil"/>
              <w:right w:val="nil"/>
            </w:tcBorders>
            <w:shd w:val="clear" w:color="auto" w:fill="auto"/>
            <w:tcMar>
              <w:top w:w="-1" w:type="dxa"/>
              <w:left w:w="-1" w:type="dxa"/>
              <w:bottom w:w="-1" w:type="dxa"/>
              <w:right w:w="-1" w:type="dxa"/>
            </w:tcMar>
            <w:vAlign w:val="center"/>
          </w:tcPr>
          <w:p w14:paraId="5BD020DC">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20.10</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7C578B69">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20.08</w:t>
            </w:r>
          </w:p>
        </w:tc>
        <w:tc>
          <w:tcPr>
            <w:tcW w:w="996" w:type="dxa"/>
            <w:tcBorders>
              <w:top w:val="nil"/>
              <w:left w:val="nil"/>
              <w:bottom w:val="nil"/>
              <w:right w:val="nil"/>
            </w:tcBorders>
            <w:shd w:val="clear" w:color="auto" w:fill="auto"/>
            <w:tcMar>
              <w:top w:w="-1" w:type="dxa"/>
              <w:left w:w="-1" w:type="dxa"/>
              <w:bottom w:w="-1" w:type="dxa"/>
              <w:right w:w="-1" w:type="dxa"/>
            </w:tcMar>
            <w:vAlign w:val="center"/>
          </w:tcPr>
          <w:p w14:paraId="7DA8142D">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20.06</w:t>
            </w:r>
          </w:p>
        </w:tc>
        <w:tc>
          <w:tcPr>
            <w:tcW w:w="972" w:type="dxa"/>
            <w:tcBorders>
              <w:top w:val="nil"/>
              <w:left w:val="nil"/>
              <w:bottom w:val="nil"/>
              <w:right w:val="nil"/>
            </w:tcBorders>
            <w:shd w:val="clear" w:color="auto" w:fill="auto"/>
            <w:tcMar>
              <w:top w:w="-1" w:type="dxa"/>
              <w:left w:w="-1" w:type="dxa"/>
              <w:bottom w:w="-1" w:type="dxa"/>
              <w:right w:w="-1" w:type="dxa"/>
            </w:tcMar>
            <w:vAlign w:val="center"/>
          </w:tcPr>
          <w:p w14:paraId="304E7569">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20.12</w:t>
            </w:r>
          </w:p>
        </w:tc>
        <w:tc>
          <w:tcPr>
            <w:tcW w:w="936" w:type="dxa"/>
            <w:tcBorders>
              <w:top w:val="nil"/>
              <w:left w:val="nil"/>
              <w:bottom w:val="nil"/>
              <w:right w:val="nil"/>
            </w:tcBorders>
            <w:shd w:val="clear" w:color="auto" w:fill="auto"/>
            <w:tcMar>
              <w:top w:w="-1" w:type="dxa"/>
              <w:left w:w="-1" w:type="dxa"/>
              <w:bottom w:w="-1" w:type="dxa"/>
              <w:right w:w="-1" w:type="dxa"/>
            </w:tcMar>
            <w:vAlign w:val="center"/>
          </w:tcPr>
          <w:p w14:paraId="43A7A035">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20.11</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58D1C57B">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20.03</w:t>
            </w:r>
          </w:p>
        </w:tc>
        <w:tc>
          <w:tcPr>
            <w:tcW w:w="732" w:type="dxa"/>
            <w:tcBorders>
              <w:top w:val="nil"/>
              <w:left w:val="nil"/>
              <w:bottom w:val="nil"/>
              <w:right w:val="nil"/>
            </w:tcBorders>
            <w:shd w:val="clear" w:color="auto" w:fill="auto"/>
            <w:tcMar>
              <w:top w:w="-1" w:type="dxa"/>
              <w:left w:w="-1" w:type="dxa"/>
              <w:bottom w:w="-1" w:type="dxa"/>
              <w:right w:w="-1" w:type="dxa"/>
            </w:tcMar>
            <w:vAlign w:val="center"/>
          </w:tcPr>
          <w:p w14:paraId="6FC79735">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0.17</w:t>
            </w:r>
          </w:p>
        </w:tc>
        <w:tc>
          <w:tcPr>
            <w:tcW w:w="864" w:type="dxa"/>
            <w:tcBorders>
              <w:top w:val="nil"/>
              <w:left w:val="nil"/>
              <w:bottom w:val="nil"/>
              <w:right w:val="nil"/>
            </w:tcBorders>
            <w:shd w:val="clear" w:color="auto" w:fill="auto"/>
            <w:tcMar>
              <w:top w:w="-1" w:type="dxa"/>
              <w:left w:w="-1" w:type="dxa"/>
              <w:bottom w:w="-1" w:type="dxa"/>
              <w:right w:w="-1" w:type="dxa"/>
            </w:tcMar>
            <w:vAlign w:val="center"/>
          </w:tcPr>
          <w:p w14:paraId="3D095433">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6.15</w:t>
            </w:r>
          </w:p>
        </w:tc>
        <w:tc>
          <w:tcPr>
            <w:tcW w:w="1368" w:type="dxa"/>
            <w:tcBorders>
              <w:top w:val="nil"/>
              <w:left w:val="nil"/>
              <w:bottom w:val="nil"/>
              <w:right w:val="nil"/>
            </w:tcBorders>
            <w:shd w:val="clear" w:color="auto" w:fill="auto"/>
            <w:tcMar>
              <w:top w:w="-1" w:type="dxa"/>
              <w:left w:w="-1" w:type="dxa"/>
              <w:bottom w:w="-1" w:type="dxa"/>
              <w:right w:w="-1" w:type="dxa"/>
            </w:tcMar>
            <w:vAlign w:val="center"/>
          </w:tcPr>
          <w:p w14:paraId="4E79ED08">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4.032</w:t>
            </w:r>
          </w:p>
        </w:tc>
      </w:tr>
      <w:tr w14:paraId="42F56288">
        <w:tblPrEx>
          <w:tblCellMar>
            <w:top w:w="0" w:type="dxa"/>
            <w:left w:w="108" w:type="dxa"/>
            <w:bottom w:w="0" w:type="dxa"/>
            <w:right w:w="108" w:type="dxa"/>
          </w:tblCellMar>
        </w:tblPrEx>
        <w:trPr>
          <w:jc w:val="center"/>
        </w:trPr>
        <w:tc>
          <w:tcPr>
            <w:tcW w:w="742" w:type="dxa"/>
            <w:tcBorders>
              <w:top w:val="nil"/>
              <w:left w:val="nil"/>
              <w:bottom w:val="nil"/>
              <w:right w:val="nil"/>
            </w:tcBorders>
            <w:shd w:val="clear" w:color="auto" w:fill="auto"/>
            <w:tcMar>
              <w:top w:w="-1" w:type="dxa"/>
              <w:left w:w="-1" w:type="dxa"/>
              <w:bottom w:w="-1" w:type="dxa"/>
              <w:right w:w="-1" w:type="dxa"/>
            </w:tcMar>
            <w:vAlign w:val="center"/>
          </w:tcPr>
          <w:p w14:paraId="3D857139">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6</w:t>
            </w:r>
          </w:p>
        </w:tc>
        <w:tc>
          <w:tcPr>
            <w:tcW w:w="1080" w:type="dxa"/>
            <w:tcBorders>
              <w:top w:val="nil"/>
              <w:left w:val="nil"/>
              <w:bottom w:val="nil"/>
              <w:right w:val="nil"/>
            </w:tcBorders>
            <w:shd w:val="clear" w:color="auto" w:fill="auto"/>
            <w:tcMar>
              <w:top w:w="-1" w:type="dxa"/>
              <w:left w:w="-1" w:type="dxa"/>
              <w:bottom w:w="-1" w:type="dxa"/>
              <w:right w:w="-1" w:type="dxa"/>
            </w:tcMar>
            <w:vAlign w:val="center"/>
          </w:tcPr>
          <w:p w14:paraId="1BBD457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50.00 </w:t>
            </w:r>
          </w:p>
        </w:tc>
        <w:tc>
          <w:tcPr>
            <w:tcW w:w="953" w:type="dxa"/>
            <w:tcBorders>
              <w:top w:val="nil"/>
              <w:left w:val="nil"/>
              <w:bottom w:val="nil"/>
              <w:right w:val="nil"/>
            </w:tcBorders>
            <w:shd w:val="clear" w:color="auto" w:fill="auto"/>
            <w:tcMar>
              <w:top w:w="-1" w:type="dxa"/>
              <w:left w:w="-1" w:type="dxa"/>
              <w:bottom w:w="-1" w:type="dxa"/>
              <w:right w:w="-1" w:type="dxa"/>
            </w:tcMar>
            <w:vAlign w:val="center"/>
          </w:tcPr>
          <w:p w14:paraId="32C48B48">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50.01</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1280F2FD">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50.00</w:t>
            </w:r>
          </w:p>
        </w:tc>
        <w:tc>
          <w:tcPr>
            <w:tcW w:w="996" w:type="dxa"/>
            <w:tcBorders>
              <w:top w:val="nil"/>
              <w:left w:val="nil"/>
              <w:bottom w:val="nil"/>
              <w:right w:val="nil"/>
            </w:tcBorders>
            <w:shd w:val="clear" w:color="auto" w:fill="auto"/>
            <w:tcMar>
              <w:top w:w="-1" w:type="dxa"/>
              <w:left w:w="-1" w:type="dxa"/>
              <w:bottom w:w="-1" w:type="dxa"/>
              <w:right w:w="-1" w:type="dxa"/>
            </w:tcMar>
            <w:vAlign w:val="center"/>
          </w:tcPr>
          <w:p w14:paraId="442C0268">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50.11</w:t>
            </w:r>
          </w:p>
        </w:tc>
        <w:tc>
          <w:tcPr>
            <w:tcW w:w="972" w:type="dxa"/>
            <w:tcBorders>
              <w:top w:val="nil"/>
              <w:left w:val="nil"/>
              <w:bottom w:val="nil"/>
              <w:right w:val="nil"/>
            </w:tcBorders>
            <w:shd w:val="clear" w:color="auto" w:fill="auto"/>
            <w:tcMar>
              <w:top w:w="-1" w:type="dxa"/>
              <w:left w:w="-1" w:type="dxa"/>
              <w:bottom w:w="-1" w:type="dxa"/>
              <w:right w:w="-1" w:type="dxa"/>
            </w:tcMar>
            <w:vAlign w:val="center"/>
          </w:tcPr>
          <w:p w14:paraId="32D4CD1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50.07</w:t>
            </w:r>
          </w:p>
        </w:tc>
        <w:tc>
          <w:tcPr>
            <w:tcW w:w="936" w:type="dxa"/>
            <w:tcBorders>
              <w:top w:val="nil"/>
              <w:left w:val="nil"/>
              <w:bottom w:val="nil"/>
              <w:right w:val="nil"/>
            </w:tcBorders>
            <w:shd w:val="clear" w:color="auto" w:fill="auto"/>
            <w:tcMar>
              <w:top w:w="-1" w:type="dxa"/>
              <w:left w:w="-1" w:type="dxa"/>
              <w:bottom w:w="-1" w:type="dxa"/>
              <w:right w:w="-1" w:type="dxa"/>
            </w:tcMar>
            <w:vAlign w:val="center"/>
          </w:tcPr>
          <w:p w14:paraId="5F776F2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50.05</w:t>
            </w:r>
          </w:p>
        </w:tc>
        <w:tc>
          <w:tcPr>
            <w:tcW w:w="960" w:type="dxa"/>
            <w:tcBorders>
              <w:top w:val="nil"/>
              <w:left w:val="nil"/>
              <w:bottom w:val="nil"/>
              <w:right w:val="nil"/>
            </w:tcBorders>
            <w:shd w:val="clear" w:color="auto" w:fill="auto"/>
            <w:tcMar>
              <w:top w:w="-1" w:type="dxa"/>
              <w:left w:w="-1" w:type="dxa"/>
              <w:bottom w:w="-1" w:type="dxa"/>
              <w:right w:w="-1" w:type="dxa"/>
            </w:tcMar>
            <w:vAlign w:val="center"/>
          </w:tcPr>
          <w:p w14:paraId="6FF359F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50.12</w:t>
            </w:r>
          </w:p>
        </w:tc>
        <w:tc>
          <w:tcPr>
            <w:tcW w:w="732" w:type="dxa"/>
            <w:tcBorders>
              <w:top w:val="nil"/>
              <w:left w:val="nil"/>
              <w:bottom w:val="nil"/>
              <w:right w:val="nil"/>
            </w:tcBorders>
            <w:shd w:val="clear" w:color="auto" w:fill="auto"/>
            <w:tcMar>
              <w:top w:w="-1" w:type="dxa"/>
              <w:left w:w="-1" w:type="dxa"/>
              <w:bottom w:w="-1" w:type="dxa"/>
              <w:right w:w="-1" w:type="dxa"/>
            </w:tcMar>
            <w:vAlign w:val="center"/>
          </w:tcPr>
          <w:p w14:paraId="09148245">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0.10 </w:t>
            </w:r>
          </w:p>
        </w:tc>
        <w:tc>
          <w:tcPr>
            <w:tcW w:w="864" w:type="dxa"/>
            <w:tcBorders>
              <w:top w:val="nil"/>
              <w:left w:val="nil"/>
              <w:bottom w:val="nil"/>
              <w:right w:val="nil"/>
            </w:tcBorders>
            <w:shd w:val="clear" w:color="auto" w:fill="auto"/>
            <w:tcMar>
              <w:top w:w="-1" w:type="dxa"/>
              <w:left w:w="-1" w:type="dxa"/>
              <w:bottom w:w="-1" w:type="dxa"/>
              <w:right w:w="-1" w:type="dxa"/>
            </w:tcMar>
            <w:vAlign w:val="center"/>
          </w:tcPr>
          <w:p w14:paraId="261E878B">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3.01</w:t>
            </w:r>
          </w:p>
        </w:tc>
        <w:tc>
          <w:tcPr>
            <w:tcW w:w="1368" w:type="dxa"/>
            <w:tcBorders>
              <w:top w:val="nil"/>
              <w:left w:val="nil"/>
              <w:bottom w:val="nil"/>
              <w:right w:val="nil"/>
            </w:tcBorders>
            <w:shd w:val="clear" w:color="auto" w:fill="auto"/>
            <w:tcMar>
              <w:top w:w="-1" w:type="dxa"/>
              <w:left w:w="-1" w:type="dxa"/>
              <w:bottom w:w="-1" w:type="dxa"/>
              <w:right w:w="-1" w:type="dxa"/>
            </w:tcMar>
            <w:vAlign w:val="center"/>
          </w:tcPr>
          <w:p w14:paraId="234914DC">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4.032</w:t>
            </w:r>
          </w:p>
        </w:tc>
      </w:tr>
      <w:tr w14:paraId="71AB11D8">
        <w:tblPrEx>
          <w:tblCellMar>
            <w:top w:w="0" w:type="dxa"/>
            <w:left w:w="108" w:type="dxa"/>
            <w:bottom w:w="0" w:type="dxa"/>
            <w:right w:w="108" w:type="dxa"/>
          </w:tblCellMar>
        </w:tblPrEx>
        <w:trPr>
          <w:jc w:val="center"/>
        </w:trPr>
        <w:tc>
          <w:tcPr>
            <w:tcW w:w="742"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73F242FD">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7</w:t>
            </w:r>
          </w:p>
        </w:tc>
        <w:tc>
          <w:tcPr>
            <w:tcW w:w="1080"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07554C91">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100.00 </w:t>
            </w:r>
          </w:p>
        </w:tc>
        <w:tc>
          <w:tcPr>
            <w:tcW w:w="953"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7947B0F3">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103.50</w:t>
            </w:r>
          </w:p>
        </w:tc>
        <w:tc>
          <w:tcPr>
            <w:tcW w:w="960"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25D3D184">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103.60</w:t>
            </w:r>
          </w:p>
        </w:tc>
        <w:tc>
          <w:tcPr>
            <w:tcW w:w="996"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57F24517">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103.60</w:t>
            </w:r>
          </w:p>
        </w:tc>
        <w:tc>
          <w:tcPr>
            <w:tcW w:w="972"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165D2812">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103.00</w:t>
            </w:r>
          </w:p>
        </w:tc>
        <w:tc>
          <w:tcPr>
            <w:tcW w:w="936"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4B4817BD">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103.70</w:t>
            </w:r>
          </w:p>
        </w:tc>
        <w:tc>
          <w:tcPr>
            <w:tcW w:w="960"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744F934E">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103.10</w:t>
            </w:r>
          </w:p>
        </w:tc>
        <w:tc>
          <w:tcPr>
            <w:tcW w:w="732"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6A85E3C9">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0.28</w:t>
            </w:r>
          </w:p>
        </w:tc>
        <w:tc>
          <w:tcPr>
            <w:tcW w:w="864"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22F29BA3">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29.18</w:t>
            </w:r>
          </w:p>
        </w:tc>
        <w:tc>
          <w:tcPr>
            <w:tcW w:w="1368" w:type="dxa"/>
            <w:tcBorders>
              <w:top w:val="nil"/>
              <w:left w:val="nil"/>
              <w:bottom w:val="single" w:color="000000" w:sz="12" w:space="0"/>
              <w:right w:val="nil"/>
            </w:tcBorders>
            <w:shd w:val="clear" w:color="auto" w:fill="auto"/>
            <w:tcMar>
              <w:top w:w="-1" w:type="dxa"/>
              <w:left w:w="-1" w:type="dxa"/>
              <w:bottom w:w="-1" w:type="dxa"/>
              <w:right w:w="-1" w:type="dxa"/>
            </w:tcMar>
            <w:vAlign w:val="center"/>
          </w:tcPr>
          <w:p w14:paraId="1CE75F12">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4.032</w:t>
            </w:r>
          </w:p>
        </w:tc>
      </w:tr>
    </w:tbl>
    <w:p w14:paraId="4130CF1F">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方法精密度： 从表1的数据来看，对于氯离子含量≤1 mg/L时，平行测定的相对标准偏差（RSD）大于＞2.%精密度稍差一些，但也符合标准允许的平行偏差≤0.5mg/L的要求</w:t>
      </w:r>
      <w:r>
        <w:rPr>
          <w:rFonts w:hint="eastAsia" w:ascii="宋体" w:hAnsi="宋体" w:eastAsia="宋体" w:cs="宋体"/>
          <w:strike w:val="0"/>
          <w:dstrike w:val="0"/>
          <w:color w:val="000000"/>
          <w:sz w:val="21"/>
          <w:szCs w:val="21"/>
          <w:highlight w:val="none"/>
          <w:u w:val="none"/>
          <w:shd w:val="clear" w:color="auto" w:fill="auto"/>
          <w:vertAlign w:val="superscript"/>
        </w:rPr>
        <w:t>[1]</w:t>
      </w:r>
      <w:r>
        <w:rPr>
          <w:rFonts w:hint="eastAsia" w:ascii="宋体" w:hAnsi="宋体" w:eastAsia="宋体" w:cs="宋体"/>
          <w:strike w:val="0"/>
          <w:dstrike w:val="0"/>
          <w:color w:val="000000"/>
          <w:sz w:val="21"/>
          <w:szCs w:val="21"/>
          <w:highlight w:val="none"/>
          <w:u w:val="none"/>
          <w:shd w:val="clear" w:color="auto" w:fill="auto"/>
        </w:rPr>
        <w:t>%；随着浓度升高，RSD均低1.0%以下，精密度更高。</w:t>
      </w:r>
    </w:p>
    <w:p w14:paraId="547B0EDB">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trike w:val="0"/>
          <w:dstrike w:val="0"/>
          <w:color w:val="000000"/>
          <w:sz w:val="21"/>
          <w:szCs w:val="21"/>
          <w:highlight w:val="none"/>
          <w:u w:val="none"/>
          <w:shd w:val="clear" w:color="auto" w:fill="auto"/>
        </w:rPr>
      </w:pPr>
      <w:r>
        <w:rPr>
          <w:rFonts w:hint="eastAsia" w:ascii="宋体" w:hAnsi="宋体" w:eastAsia="宋体" w:cs="宋体"/>
          <w:strike w:val="0"/>
          <w:dstrike w:val="0"/>
          <w:color w:val="000000"/>
          <w:sz w:val="21"/>
          <w:szCs w:val="21"/>
          <w:highlight w:val="none"/>
          <w:u w:val="none"/>
          <w:shd w:val="clear" w:color="auto" w:fill="auto"/>
        </w:rPr>
        <w:t xml:space="preserve">准确度：由t检验结果可以十分清楚、可靠地判断：在氯离子浓度0. 4～50. 0 mg/L范围内各实测值的t计算值都小于99% 置信度下的临界值t0. 01，5（4. 032），因此测定结果与理论值没有显著性差异，所用方法准确可靠。与此形成极好对照的是，浓度100. 0 mg/L时的t计算值（29. 18）大大超过临界值，由此自然、合理地提示此时可能存在系统误差或已超出本方法的最佳适用范围，也与本方法主要适用于小于10 mg/L水样的事实相符。 </w:t>
      </w:r>
    </w:p>
    <w:p w14:paraId="255DEFC0">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3.2 加标回收试验结果</w:t>
      </w:r>
    </w:p>
    <w:p w14:paraId="4BA8959E">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加标回收试验是评估方法准确度和考察样品基体是否干扰测定的重要手段。按1.2.3节步骤进行试验，并按式（2）计算加标回收率，结果见表2。</w:t>
      </w:r>
    </w:p>
    <w:p w14:paraId="41E0B7C3">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360" w:lineRule="auto"/>
        <w:ind w:firstLine="1050" w:firstLineChars="500"/>
        <w:jc w:val="center"/>
        <w:rPr>
          <w:rFonts w:hint="eastAsia" w:ascii="宋体" w:hAnsi="宋体" w:eastAsia="宋体" w:cs="宋体"/>
          <w:color w:val="0F1115"/>
          <w:sz w:val="21"/>
          <w:szCs w:val="21"/>
          <w:highlight w:val="none"/>
          <w:shd w:val="clear" w:color="auto" w:fill="FFFFFF"/>
        </w:rPr>
      </w:pPr>
      <w:r>
        <w:rPr>
          <w:rFonts w:hint="eastAsia" w:ascii="宋体" w:hAnsi="宋体" w:eastAsia="宋体" w:cs="宋体"/>
          <w:color w:val="0F1115"/>
          <w:position w:val="-32"/>
          <w:sz w:val="21"/>
          <w:szCs w:val="21"/>
          <w:shd w:val="clear" w:color="auto" w:fill="FFFFFF"/>
        </w:rPr>
        <w:object>
          <v:shape id="_x0000_i1025" o:spt="75" type="#_x0000_t75" style="height:36pt;width:198.75pt;" o:ole="t" filled="f" o:preferrelative="t" stroked="f" coordsize="21600,21600">
            <v:path/>
            <v:fill on="f" focussize="0,0"/>
            <v:stroke on="f" joinstyle="miter"/>
            <v:imagedata r:id="rId5" o:title=""/>
            <o:lock v:ext="edit" aspectratio="t"/>
            <w10:wrap type="none"/>
            <w10:anchorlock/>
          </v:shape>
          <o:OLEObject Type="Embed" ProgID="Equation.KSEE3" ShapeID="_x0000_i1025" DrawAspect="Content" ObjectID="_1468075725" r:id="rId4">
            <o:LockedField>false</o:LockedField>
          </o:OLEObject>
        </w:object>
      </w:r>
      <w:r>
        <w:rPr>
          <w:rFonts w:hint="eastAsia" w:ascii="宋体" w:hAnsi="宋体" w:eastAsia="宋体" w:cs="宋体"/>
          <w:strike w:val="0"/>
          <w:dstrike w:val="0"/>
          <w:color w:val="000000"/>
          <w:sz w:val="21"/>
          <w:szCs w:val="21"/>
          <w:highlight w:val="none"/>
          <w:u w:val="none"/>
          <w:shd w:val="clear" w:color="auto" w:fill="auto"/>
        </w:rPr>
        <w:t>%</w:t>
      </w:r>
    </w:p>
    <w:p w14:paraId="57E8A73E">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式中：</w:t>
      </w:r>
    </w:p>
    <w:p w14:paraId="4444BC8B">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C</w:t>
      </w:r>
      <w:r>
        <w:rPr>
          <w:rFonts w:hint="eastAsia" w:ascii="宋体" w:hAnsi="宋体" w:eastAsia="宋体" w:cs="宋体"/>
          <w:strike w:val="0"/>
          <w:dstrike w:val="0"/>
          <w:color w:val="000000"/>
          <w:sz w:val="21"/>
          <w:szCs w:val="21"/>
          <w:highlight w:val="none"/>
          <w:u w:val="none"/>
          <w:shd w:val="clear" w:color="auto" w:fill="auto"/>
          <w:vertAlign w:val="subscript"/>
        </w:rPr>
        <w:t>加标</w:t>
      </w:r>
      <w:r>
        <w:rPr>
          <w:rFonts w:hint="eastAsia" w:ascii="宋体" w:hAnsi="宋体" w:eastAsia="宋体" w:cs="宋体"/>
          <w:strike w:val="0"/>
          <w:dstrike w:val="0"/>
          <w:color w:val="000000"/>
          <w:sz w:val="21"/>
          <w:szCs w:val="21"/>
          <w:highlight w:val="none"/>
          <w:u w:val="none"/>
          <w:shd w:val="clear" w:color="auto" w:fill="auto"/>
        </w:rPr>
        <w:t>—— 加标试液的氯离子浓度，mg/L；</w:t>
      </w:r>
    </w:p>
    <w:p w14:paraId="3AE6D9ED">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C</w:t>
      </w:r>
      <w:r>
        <w:rPr>
          <w:rFonts w:hint="eastAsia" w:ascii="宋体" w:hAnsi="宋体" w:eastAsia="宋体" w:cs="宋体"/>
          <w:strike w:val="0"/>
          <w:dstrike w:val="0"/>
          <w:color w:val="000000"/>
          <w:sz w:val="21"/>
          <w:szCs w:val="21"/>
          <w:highlight w:val="none"/>
          <w:u w:val="none"/>
          <w:shd w:val="clear" w:color="auto" w:fill="auto"/>
          <w:vertAlign w:val="subscript"/>
        </w:rPr>
        <w:t>试样</w:t>
      </w:r>
      <w:r>
        <w:rPr>
          <w:rFonts w:hint="eastAsia" w:ascii="宋体" w:hAnsi="宋体" w:eastAsia="宋体" w:cs="宋体"/>
          <w:strike w:val="0"/>
          <w:dstrike w:val="0"/>
          <w:color w:val="000000"/>
          <w:sz w:val="21"/>
          <w:szCs w:val="21"/>
          <w:highlight w:val="none"/>
          <w:u w:val="none"/>
          <w:shd w:val="clear" w:color="auto" w:fill="auto"/>
        </w:rPr>
        <w:t>—— 未加标试样的氯离子浓度，mg/L；</w:t>
      </w:r>
    </w:p>
    <w:p w14:paraId="337B050D">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C</w:t>
      </w:r>
      <w:r>
        <w:rPr>
          <w:rFonts w:hint="eastAsia" w:ascii="宋体" w:hAnsi="宋体" w:eastAsia="宋体" w:cs="宋体"/>
          <w:strike w:val="0"/>
          <w:dstrike w:val="0"/>
          <w:color w:val="000000"/>
          <w:sz w:val="21"/>
          <w:szCs w:val="21"/>
          <w:highlight w:val="none"/>
          <w:u w:val="none"/>
          <w:shd w:val="clear" w:color="auto" w:fill="auto"/>
          <w:vertAlign w:val="subscript"/>
        </w:rPr>
        <w:t>标</w:t>
      </w:r>
      <w:r>
        <w:rPr>
          <w:rFonts w:hint="eastAsia" w:ascii="宋体" w:hAnsi="宋体" w:eastAsia="宋体" w:cs="宋体"/>
          <w:strike w:val="0"/>
          <w:dstrike w:val="0"/>
          <w:color w:val="000000"/>
          <w:sz w:val="21"/>
          <w:szCs w:val="21"/>
          <w:highlight w:val="none"/>
          <w:u w:val="none"/>
          <w:shd w:val="clear" w:color="auto" w:fill="auto"/>
        </w:rPr>
        <w:t>—— 氯标液的浓度，mg/L。</w:t>
      </w:r>
    </w:p>
    <w:p w14:paraId="592A0E4F">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V</w:t>
      </w:r>
      <w:r>
        <w:rPr>
          <w:rFonts w:hint="eastAsia" w:ascii="宋体" w:hAnsi="宋体" w:eastAsia="宋体" w:cs="宋体"/>
          <w:strike w:val="0"/>
          <w:dstrike w:val="0"/>
          <w:color w:val="000000"/>
          <w:sz w:val="21"/>
          <w:szCs w:val="21"/>
          <w:highlight w:val="none"/>
          <w:u w:val="none"/>
          <w:shd w:val="clear" w:color="auto" w:fill="auto"/>
          <w:vertAlign w:val="subscript"/>
        </w:rPr>
        <w:t>1</w:t>
      </w:r>
      <w:r>
        <w:rPr>
          <w:rFonts w:hint="eastAsia" w:ascii="宋体" w:hAnsi="宋体" w:eastAsia="宋体" w:cs="宋体"/>
          <w:strike w:val="0"/>
          <w:dstrike w:val="0"/>
          <w:color w:val="000000"/>
          <w:sz w:val="21"/>
          <w:szCs w:val="21"/>
          <w:highlight w:val="none"/>
          <w:u w:val="none"/>
          <w:shd w:val="clear" w:color="auto" w:fill="auto"/>
        </w:rPr>
        <w:t>——加标后试液总体积，50ml</w:t>
      </w:r>
    </w:p>
    <w:p w14:paraId="63313D68">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V</w:t>
      </w:r>
      <w:r>
        <w:rPr>
          <w:rFonts w:hint="eastAsia" w:ascii="宋体" w:hAnsi="宋体" w:eastAsia="宋体" w:cs="宋体"/>
          <w:strike w:val="0"/>
          <w:dstrike w:val="0"/>
          <w:color w:val="000000"/>
          <w:sz w:val="21"/>
          <w:szCs w:val="21"/>
          <w:highlight w:val="none"/>
          <w:u w:val="none"/>
          <w:shd w:val="clear" w:color="auto" w:fill="auto"/>
          <w:vertAlign w:val="subscript"/>
        </w:rPr>
        <w:t>2</w:t>
      </w:r>
      <w:r>
        <w:rPr>
          <w:rFonts w:hint="eastAsia" w:ascii="宋体" w:hAnsi="宋体" w:eastAsia="宋体" w:cs="宋体"/>
          <w:strike w:val="0"/>
          <w:dstrike w:val="0"/>
          <w:color w:val="000000"/>
          <w:sz w:val="21"/>
          <w:szCs w:val="21"/>
          <w:highlight w:val="none"/>
          <w:u w:val="none"/>
          <w:shd w:val="clear" w:color="auto" w:fill="auto"/>
        </w:rPr>
        <w:t>——用于定容的试样总体积，ml（V</w:t>
      </w:r>
      <w:r>
        <w:rPr>
          <w:rFonts w:hint="eastAsia" w:ascii="宋体" w:hAnsi="宋体" w:eastAsia="宋体" w:cs="宋体"/>
          <w:strike w:val="0"/>
          <w:dstrike w:val="0"/>
          <w:color w:val="000000"/>
          <w:sz w:val="21"/>
          <w:szCs w:val="21"/>
          <w:highlight w:val="none"/>
          <w:u w:val="none"/>
          <w:shd w:val="clear" w:color="auto" w:fill="auto"/>
          <w:vertAlign w:val="subscript"/>
        </w:rPr>
        <w:t>2</w:t>
      </w:r>
      <w:r>
        <w:rPr>
          <w:rFonts w:hint="eastAsia" w:ascii="宋体" w:hAnsi="宋体" w:eastAsia="宋体" w:cs="宋体"/>
          <w:strike w:val="0"/>
          <w:dstrike w:val="0"/>
          <w:color w:val="000000"/>
          <w:sz w:val="21"/>
          <w:szCs w:val="21"/>
          <w:highlight w:val="none"/>
          <w:u w:val="none"/>
          <w:shd w:val="clear" w:color="auto" w:fill="auto"/>
        </w:rPr>
        <w:t>=50-V</w:t>
      </w:r>
      <w:r>
        <w:rPr>
          <w:rFonts w:hint="eastAsia" w:ascii="宋体" w:hAnsi="宋体" w:eastAsia="宋体" w:cs="宋体"/>
          <w:strike w:val="0"/>
          <w:dstrike w:val="0"/>
          <w:color w:val="000000"/>
          <w:sz w:val="21"/>
          <w:szCs w:val="21"/>
          <w:highlight w:val="none"/>
          <w:u w:val="none"/>
          <w:shd w:val="clear" w:color="auto" w:fill="auto"/>
          <w:vertAlign w:val="subscript"/>
        </w:rPr>
        <w:t>标</w:t>
      </w:r>
      <w:r>
        <w:rPr>
          <w:rFonts w:hint="eastAsia" w:ascii="宋体" w:hAnsi="宋体" w:eastAsia="宋体" w:cs="宋体"/>
          <w:strike w:val="0"/>
          <w:dstrike w:val="0"/>
          <w:color w:val="000000"/>
          <w:sz w:val="21"/>
          <w:szCs w:val="21"/>
          <w:highlight w:val="none"/>
          <w:u w:val="none"/>
          <w:shd w:val="clear" w:color="auto" w:fill="auto"/>
        </w:rPr>
        <w:t>）</w:t>
      </w:r>
    </w:p>
    <w:p w14:paraId="636F6C9B">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V</w:t>
      </w:r>
      <w:r>
        <w:rPr>
          <w:rFonts w:hint="eastAsia" w:ascii="宋体" w:hAnsi="宋体" w:eastAsia="宋体" w:cs="宋体"/>
          <w:strike w:val="0"/>
          <w:dstrike w:val="0"/>
          <w:color w:val="000000"/>
          <w:sz w:val="21"/>
          <w:szCs w:val="21"/>
          <w:highlight w:val="none"/>
          <w:u w:val="none"/>
          <w:shd w:val="clear" w:color="auto" w:fill="auto"/>
          <w:vertAlign w:val="subscript"/>
        </w:rPr>
        <w:t>标</w:t>
      </w:r>
      <w:r>
        <w:rPr>
          <w:rFonts w:hint="eastAsia" w:ascii="宋体" w:hAnsi="宋体" w:eastAsia="宋体" w:cs="宋体"/>
          <w:strike w:val="0"/>
          <w:dstrike w:val="0"/>
          <w:color w:val="000000"/>
          <w:sz w:val="21"/>
          <w:szCs w:val="21"/>
          <w:highlight w:val="none"/>
          <w:u w:val="none"/>
          <w:shd w:val="clear" w:color="auto" w:fill="auto"/>
        </w:rPr>
        <w:t>——加入的氯标体积，ml</w:t>
      </w:r>
    </w:p>
    <w:p w14:paraId="6EBC0419">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jc w:val="center"/>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表2 加标回收试验结果</w:t>
      </w:r>
    </w:p>
    <w:tbl>
      <w:tblPr>
        <w:tblStyle w:val="17"/>
        <w:tblW w:w="8600" w:type="dxa"/>
        <w:tblInd w:w="96" w:type="dxa"/>
        <w:tblLayout w:type="fixed"/>
        <w:tblCellMar>
          <w:top w:w="0" w:type="dxa"/>
          <w:left w:w="108" w:type="dxa"/>
          <w:bottom w:w="0" w:type="dxa"/>
          <w:right w:w="108" w:type="dxa"/>
        </w:tblCellMar>
      </w:tblPr>
      <w:tblGrid>
        <w:gridCol w:w="896"/>
        <w:gridCol w:w="1740"/>
        <w:gridCol w:w="1908"/>
        <w:gridCol w:w="1992"/>
        <w:gridCol w:w="2064"/>
      </w:tblGrid>
      <w:tr w14:paraId="76112084">
        <w:tblPrEx>
          <w:tblCellMar>
            <w:top w:w="0" w:type="dxa"/>
            <w:left w:w="108" w:type="dxa"/>
            <w:bottom w:w="0" w:type="dxa"/>
            <w:right w:w="108" w:type="dxa"/>
          </w:tblCellMar>
        </w:tblPrEx>
        <w:trPr>
          <w:trHeight w:val="288"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BBDCC">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序号</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3DA8">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加标体积（mL）</w:t>
            </w:r>
          </w:p>
        </w:tc>
        <w:tc>
          <w:tcPr>
            <w:tcW w:w="1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E52F">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试液测定结果（mg/L）</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37C49">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理论加标量（mg)</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2ED2">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加标回收率（%）</w:t>
            </w:r>
          </w:p>
        </w:tc>
      </w:tr>
      <w:tr w14:paraId="1885D9F0">
        <w:tblPrEx>
          <w:tblCellMar>
            <w:top w:w="0" w:type="dxa"/>
            <w:left w:w="108" w:type="dxa"/>
            <w:bottom w:w="0" w:type="dxa"/>
            <w:right w:w="108" w:type="dxa"/>
          </w:tblCellMar>
        </w:tblPrEx>
        <w:trPr>
          <w:trHeight w:val="288"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70004">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7976A">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w:t>
            </w:r>
          </w:p>
        </w:tc>
        <w:tc>
          <w:tcPr>
            <w:tcW w:w="1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C2EB">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0.39 </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A9CF">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55C6E">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w:t>
            </w:r>
          </w:p>
        </w:tc>
      </w:tr>
      <w:tr w14:paraId="2458DB5F">
        <w:tblPrEx>
          <w:tblCellMar>
            <w:top w:w="0" w:type="dxa"/>
            <w:left w:w="108" w:type="dxa"/>
            <w:bottom w:w="0" w:type="dxa"/>
            <w:right w:w="108" w:type="dxa"/>
          </w:tblCellMar>
        </w:tblPrEx>
        <w:trPr>
          <w:trHeight w:val="288"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93EC">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2</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D3FE">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2.00 </w:t>
            </w:r>
          </w:p>
        </w:tc>
        <w:tc>
          <w:tcPr>
            <w:tcW w:w="1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23C9">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0.79</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768B">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0.02</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0F80">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103.9</w:t>
            </w:r>
          </w:p>
        </w:tc>
      </w:tr>
      <w:tr w14:paraId="4C0793E3">
        <w:tblPrEx>
          <w:tblCellMar>
            <w:top w:w="0" w:type="dxa"/>
            <w:left w:w="108" w:type="dxa"/>
            <w:bottom w:w="0" w:type="dxa"/>
            <w:right w:w="108" w:type="dxa"/>
          </w:tblCellMar>
        </w:tblPrEx>
        <w:trPr>
          <w:trHeight w:val="288"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6A640">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3</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BC4E">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5.00 </w:t>
            </w:r>
          </w:p>
        </w:tc>
        <w:tc>
          <w:tcPr>
            <w:tcW w:w="1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491C">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1.33</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C9C10">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0.05</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69CB">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97.9</w:t>
            </w:r>
          </w:p>
        </w:tc>
      </w:tr>
      <w:tr w14:paraId="016E199A">
        <w:tblPrEx>
          <w:tblCellMar>
            <w:top w:w="0" w:type="dxa"/>
            <w:left w:w="108" w:type="dxa"/>
            <w:bottom w:w="0" w:type="dxa"/>
            <w:right w:w="108" w:type="dxa"/>
          </w:tblCellMar>
        </w:tblPrEx>
        <w:trPr>
          <w:trHeight w:val="288"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C3FB">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F1115"/>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4</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3C91">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8.00 </w:t>
            </w:r>
          </w:p>
        </w:tc>
        <w:tc>
          <w:tcPr>
            <w:tcW w:w="1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B4C65">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1.92</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6D80">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0.08</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5E8F6">
            <w:pPr>
              <w:keepNext w:val="0"/>
              <w:keepLines w:val="0"/>
              <w:pageBreakBefore w:val="0"/>
              <w:widowControl/>
              <w:kinsoku/>
              <w:wordWrap/>
              <w:overflowPunct/>
              <w:topLinePunct w:val="0"/>
              <w:autoSpaceDE/>
              <w:autoSpaceDN/>
              <w:bidi w:val="0"/>
              <w:adjustRightInd/>
              <w:spacing w:beforeAutospacing="0" w:afterAutospacing="0" w:line="400" w:lineRule="exact"/>
              <w:jc w:val="center"/>
              <w:textAlignment w:val="center"/>
              <w:rPr>
                <w:rFonts w:hint="eastAsia" w:ascii="宋体" w:hAnsi="宋体" w:eastAsia="宋体" w:cs="宋体"/>
                <w:color w:val="000000"/>
                <w:sz w:val="18"/>
                <w:szCs w:val="18"/>
                <w:highlight w:val="none"/>
                <w:shd w:val="clear" w:color="auto" w:fill="FFFFFF"/>
              </w:rPr>
            </w:pPr>
            <w:r>
              <w:rPr>
                <w:rFonts w:hint="eastAsia" w:ascii="宋体" w:hAnsi="宋体" w:eastAsia="宋体" w:cs="宋体"/>
                <w:strike w:val="0"/>
                <w:dstrike w:val="0"/>
                <w:color w:val="000000"/>
                <w:sz w:val="18"/>
                <w:szCs w:val="18"/>
                <w:highlight w:val="none"/>
                <w:u w:val="none"/>
                <w:shd w:val="clear" w:color="auto" w:fill="auto"/>
              </w:rPr>
              <w:t xml:space="preserve">99.5 </w:t>
            </w:r>
          </w:p>
        </w:tc>
      </w:tr>
    </w:tbl>
    <w:p w14:paraId="1F55006A">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由表2可见，加标回收率在97.9%～103.9%之间，这表明该方法具有良好的准确度，且样品基体对氯离子的测定无明显干扰。</w:t>
      </w:r>
    </w:p>
    <w:p w14:paraId="7932F1E4">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3.3 实际样品测定及方法优化</w:t>
      </w:r>
    </w:p>
    <w:p w14:paraId="6321D2F5">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00000" w:themeColor="text1"/>
          <w:sz w:val="21"/>
          <w:szCs w:val="21"/>
          <w:highlight w:val="none"/>
          <w:shd w:val="clear" w:color="auto" w:fill="FFFFFF"/>
          <w14:textFill>
            <w14:solidFill>
              <w14:schemeClr w14:val="tx1"/>
            </w14:solidFill>
          </w14:textFill>
        </w:rPr>
      </w:pPr>
      <w:r>
        <w:rPr>
          <w:rFonts w:hint="eastAsia" w:ascii="宋体" w:hAnsi="宋体" w:eastAsia="宋体" w:cs="宋体"/>
          <w:dstrike w:val="0"/>
          <w:color w:val="000000" w:themeColor="text1"/>
          <w:sz w:val="21"/>
          <w:szCs w:val="21"/>
          <w:shd w:val="clear" w:color="auto" w:fill="auto"/>
          <w14:textFill>
            <w14:solidFill>
              <w14:schemeClr w14:val="tx1"/>
            </w14:solidFill>
          </w14:textFill>
        </w:rPr>
        <w:t xml:space="preserve">由于实际样品比对初期（见表3）本方法所得结果与天安实验室的结果有明显偏差，且低浓度样品的相对偏差很大，因此很自然地想到原因可能是当时所选滴定参数（阈值、动态添加模式等）没有很好地适应极低浓度样品的检测。 </w:t>
      </w:r>
    </w:p>
    <w:p w14:paraId="3A36B4E2">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00000" w:themeColor="text1"/>
          <w:sz w:val="21"/>
          <w:szCs w:val="21"/>
          <w:highlight w:val="none"/>
          <w:shd w:val="clear" w:color="auto" w:fill="FFFFFF"/>
          <w14:textFill>
            <w14:solidFill>
              <w14:schemeClr w14:val="tx1"/>
            </w14:solidFill>
          </w14:textFill>
        </w:rPr>
      </w:pPr>
      <w:r>
        <w:rPr>
          <w:rFonts w:hint="eastAsia" w:ascii="宋体" w:hAnsi="宋体" w:eastAsia="宋体" w:cs="宋体"/>
          <w:dstrike w:val="0"/>
          <w:color w:val="000000" w:themeColor="text1"/>
          <w:sz w:val="21"/>
          <w:szCs w:val="21"/>
          <w:shd w:val="clear" w:color="auto" w:fill="auto"/>
          <w14:textFill>
            <w14:solidFill>
              <w14:schemeClr w14:val="tx1"/>
            </w14:solidFill>
          </w14:textFill>
        </w:rPr>
        <w:t>由于对所讨论的问题作了明确、合理的参数优化（即对“控制”模式中的动态添加模式及平衡控制参数做了调整），因此从优化后的比对结果（见表4）可以十分清楚地看到，除个别样品外，本方法与天安实验室的测定结果一致性大大提高，偏差明显缩小。由此自然、妥帖地引出结论：优化后的参数有利于捕获微量氯离子滴定时的电位突跃。
</w:t>
      </w:r>
    </w:p>
    <w:p w14:paraId="454535F5">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jc w:val="center"/>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表3 电位滴定法检测硫酸锅炉水中氯离子结果统计（参数优化前）</w:t>
      </w:r>
    </w:p>
    <w:tbl>
      <w:tblPr>
        <w:tblStyle w:val="18"/>
        <w:tblW w:w="94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6"/>
        <w:gridCol w:w="1404"/>
        <w:gridCol w:w="1836"/>
        <w:gridCol w:w="1944"/>
        <w:gridCol w:w="2112"/>
        <w:gridCol w:w="972"/>
      </w:tblGrid>
      <w:tr w14:paraId="1C6F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7385179A">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序号</w:t>
            </w:r>
          </w:p>
        </w:tc>
        <w:tc>
          <w:tcPr>
            <w:tcW w:w="1404" w:type="dxa"/>
            <w:shd w:val="clear" w:color="auto" w:fill="auto"/>
          </w:tcPr>
          <w:p w14:paraId="078379C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样品编号</w:t>
            </w:r>
          </w:p>
        </w:tc>
        <w:tc>
          <w:tcPr>
            <w:tcW w:w="1836" w:type="dxa"/>
            <w:shd w:val="clear" w:color="auto" w:fill="auto"/>
          </w:tcPr>
          <w:p w14:paraId="4B6E4CB0">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样品名称</w:t>
            </w:r>
          </w:p>
        </w:tc>
        <w:tc>
          <w:tcPr>
            <w:tcW w:w="1944" w:type="dxa"/>
            <w:shd w:val="clear" w:color="auto" w:fill="auto"/>
          </w:tcPr>
          <w:p w14:paraId="5188A8C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公司原结果ppm</w:t>
            </w:r>
          </w:p>
        </w:tc>
        <w:tc>
          <w:tcPr>
            <w:tcW w:w="2112" w:type="dxa"/>
            <w:shd w:val="clear" w:color="auto" w:fill="auto"/>
          </w:tcPr>
          <w:p w14:paraId="089815D0">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天安对比结果ppm</w:t>
            </w:r>
          </w:p>
        </w:tc>
        <w:tc>
          <w:tcPr>
            <w:tcW w:w="972" w:type="dxa"/>
            <w:shd w:val="clear" w:color="auto" w:fill="auto"/>
          </w:tcPr>
          <w:p w14:paraId="75189F2A">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备注</w:t>
            </w:r>
          </w:p>
        </w:tc>
      </w:tr>
      <w:tr w14:paraId="63A9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0F66D78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1</w:t>
            </w:r>
          </w:p>
        </w:tc>
        <w:tc>
          <w:tcPr>
            <w:tcW w:w="1404" w:type="dxa"/>
            <w:shd w:val="clear" w:color="auto" w:fill="auto"/>
          </w:tcPr>
          <w:p w14:paraId="6697AFF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2025.5.13</w:t>
            </w:r>
          </w:p>
        </w:tc>
        <w:tc>
          <w:tcPr>
            <w:tcW w:w="1836" w:type="dxa"/>
            <w:shd w:val="clear" w:color="auto" w:fill="auto"/>
          </w:tcPr>
          <w:p w14:paraId="6EC7D74E">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一期锅炉水</w:t>
            </w:r>
          </w:p>
        </w:tc>
        <w:tc>
          <w:tcPr>
            <w:tcW w:w="1944" w:type="dxa"/>
            <w:shd w:val="clear" w:color="auto" w:fill="auto"/>
          </w:tcPr>
          <w:p w14:paraId="1C5F7653">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1.204</w:t>
            </w:r>
          </w:p>
        </w:tc>
        <w:tc>
          <w:tcPr>
            <w:tcW w:w="2112" w:type="dxa"/>
            <w:shd w:val="clear" w:color="auto" w:fill="auto"/>
          </w:tcPr>
          <w:p w14:paraId="1FA7402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1.175</w:t>
            </w:r>
          </w:p>
        </w:tc>
        <w:tc>
          <w:tcPr>
            <w:tcW w:w="972" w:type="dxa"/>
            <w:shd w:val="clear" w:color="auto" w:fill="auto"/>
          </w:tcPr>
          <w:p w14:paraId="44D1ADF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p>
        </w:tc>
      </w:tr>
      <w:tr w14:paraId="1D90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226" w:type="dxa"/>
            <w:shd w:val="clear" w:color="auto" w:fill="auto"/>
          </w:tcPr>
          <w:p w14:paraId="713CFF99">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w:t>
            </w:r>
          </w:p>
        </w:tc>
        <w:tc>
          <w:tcPr>
            <w:tcW w:w="1404" w:type="dxa"/>
            <w:shd w:val="clear" w:color="auto" w:fill="auto"/>
          </w:tcPr>
          <w:p w14:paraId="6F8440F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2025.5.13</w:t>
            </w:r>
          </w:p>
        </w:tc>
        <w:tc>
          <w:tcPr>
            <w:tcW w:w="1836" w:type="dxa"/>
            <w:shd w:val="clear" w:color="auto" w:fill="auto"/>
          </w:tcPr>
          <w:p w14:paraId="39C5BBA7">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二期锅炉水</w:t>
            </w:r>
          </w:p>
        </w:tc>
        <w:tc>
          <w:tcPr>
            <w:tcW w:w="1944" w:type="dxa"/>
            <w:shd w:val="clear" w:color="auto" w:fill="auto"/>
          </w:tcPr>
          <w:p w14:paraId="1FEE4CCA">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0.201</w:t>
            </w:r>
          </w:p>
        </w:tc>
        <w:tc>
          <w:tcPr>
            <w:tcW w:w="2112" w:type="dxa"/>
            <w:shd w:val="clear" w:color="auto" w:fill="auto"/>
          </w:tcPr>
          <w:p w14:paraId="075BE6B6">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0.182</w:t>
            </w:r>
          </w:p>
        </w:tc>
        <w:tc>
          <w:tcPr>
            <w:tcW w:w="972" w:type="dxa"/>
            <w:shd w:val="clear" w:color="auto" w:fill="auto"/>
          </w:tcPr>
          <w:p w14:paraId="152EF202">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p>
        </w:tc>
      </w:tr>
      <w:tr w14:paraId="565C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389A7C35">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3</w:t>
            </w:r>
          </w:p>
        </w:tc>
        <w:tc>
          <w:tcPr>
            <w:tcW w:w="1404" w:type="dxa"/>
            <w:shd w:val="clear" w:color="auto" w:fill="auto"/>
          </w:tcPr>
          <w:p w14:paraId="3F0F72C6">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2025.5.14</w:t>
            </w:r>
          </w:p>
        </w:tc>
        <w:tc>
          <w:tcPr>
            <w:tcW w:w="1836" w:type="dxa"/>
            <w:shd w:val="clear" w:color="auto" w:fill="auto"/>
          </w:tcPr>
          <w:p w14:paraId="3977C12B">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二期锅炉水</w:t>
            </w:r>
          </w:p>
        </w:tc>
        <w:tc>
          <w:tcPr>
            <w:tcW w:w="1944" w:type="dxa"/>
            <w:shd w:val="clear" w:color="auto" w:fill="auto"/>
          </w:tcPr>
          <w:p w14:paraId="0014C612">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0.050</w:t>
            </w:r>
          </w:p>
        </w:tc>
        <w:tc>
          <w:tcPr>
            <w:tcW w:w="2112" w:type="dxa"/>
            <w:shd w:val="clear" w:color="auto" w:fill="auto"/>
          </w:tcPr>
          <w:p w14:paraId="7CFA725F">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0.255</w:t>
            </w:r>
          </w:p>
        </w:tc>
        <w:tc>
          <w:tcPr>
            <w:tcW w:w="972" w:type="dxa"/>
            <w:shd w:val="clear" w:color="auto" w:fill="auto"/>
          </w:tcPr>
          <w:p w14:paraId="0B9436C0">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p>
        </w:tc>
      </w:tr>
      <w:tr w14:paraId="2011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41D5794C">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4</w:t>
            </w:r>
          </w:p>
        </w:tc>
        <w:tc>
          <w:tcPr>
            <w:tcW w:w="1404" w:type="dxa"/>
            <w:shd w:val="clear" w:color="auto" w:fill="auto"/>
          </w:tcPr>
          <w:p w14:paraId="125545A6">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2025.5.14</w:t>
            </w:r>
          </w:p>
        </w:tc>
        <w:tc>
          <w:tcPr>
            <w:tcW w:w="1836" w:type="dxa"/>
            <w:shd w:val="clear" w:color="auto" w:fill="auto"/>
          </w:tcPr>
          <w:p w14:paraId="03164978">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二期HRS锅炉水</w:t>
            </w:r>
          </w:p>
        </w:tc>
        <w:tc>
          <w:tcPr>
            <w:tcW w:w="1944" w:type="dxa"/>
            <w:shd w:val="clear" w:color="auto" w:fill="auto"/>
          </w:tcPr>
          <w:p w14:paraId="52D2952E">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0.165</w:t>
            </w:r>
          </w:p>
        </w:tc>
        <w:tc>
          <w:tcPr>
            <w:tcW w:w="2112" w:type="dxa"/>
            <w:shd w:val="clear" w:color="auto" w:fill="auto"/>
          </w:tcPr>
          <w:p w14:paraId="526E6177">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0.210</w:t>
            </w:r>
          </w:p>
        </w:tc>
        <w:tc>
          <w:tcPr>
            <w:tcW w:w="972" w:type="dxa"/>
            <w:shd w:val="clear" w:color="auto" w:fill="auto"/>
          </w:tcPr>
          <w:p w14:paraId="772A7687">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p>
        </w:tc>
      </w:tr>
      <w:tr w14:paraId="27A9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057460D6">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5</w:t>
            </w:r>
          </w:p>
        </w:tc>
        <w:tc>
          <w:tcPr>
            <w:tcW w:w="1404" w:type="dxa"/>
            <w:shd w:val="clear" w:color="auto" w:fill="auto"/>
          </w:tcPr>
          <w:p w14:paraId="77A9752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2025.5.20</w:t>
            </w:r>
          </w:p>
        </w:tc>
        <w:tc>
          <w:tcPr>
            <w:tcW w:w="1836" w:type="dxa"/>
            <w:shd w:val="clear" w:color="auto" w:fill="auto"/>
          </w:tcPr>
          <w:p w14:paraId="0164734C">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一期锅炉水</w:t>
            </w:r>
          </w:p>
        </w:tc>
        <w:tc>
          <w:tcPr>
            <w:tcW w:w="1944" w:type="dxa"/>
            <w:shd w:val="clear" w:color="auto" w:fill="auto"/>
          </w:tcPr>
          <w:p w14:paraId="5B74E6D4">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0.116</w:t>
            </w:r>
          </w:p>
        </w:tc>
        <w:tc>
          <w:tcPr>
            <w:tcW w:w="2112" w:type="dxa"/>
            <w:shd w:val="clear" w:color="auto" w:fill="auto"/>
          </w:tcPr>
          <w:p w14:paraId="7DB40DA7">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0.351</w:t>
            </w:r>
          </w:p>
        </w:tc>
        <w:tc>
          <w:tcPr>
            <w:tcW w:w="972" w:type="dxa"/>
            <w:shd w:val="clear" w:color="auto" w:fill="auto"/>
          </w:tcPr>
          <w:p w14:paraId="2AEE1E5F">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p>
        </w:tc>
      </w:tr>
      <w:tr w14:paraId="4880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0B945537">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6</w:t>
            </w:r>
          </w:p>
        </w:tc>
        <w:tc>
          <w:tcPr>
            <w:tcW w:w="1404" w:type="dxa"/>
            <w:shd w:val="clear" w:color="auto" w:fill="auto"/>
          </w:tcPr>
          <w:p w14:paraId="1AEC184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2025.5.20</w:t>
            </w:r>
          </w:p>
        </w:tc>
        <w:tc>
          <w:tcPr>
            <w:tcW w:w="1836" w:type="dxa"/>
            <w:shd w:val="clear" w:color="auto" w:fill="auto"/>
          </w:tcPr>
          <w:p w14:paraId="7BA10C73">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二期锅炉水</w:t>
            </w:r>
          </w:p>
        </w:tc>
        <w:tc>
          <w:tcPr>
            <w:tcW w:w="1944" w:type="dxa"/>
            <w:shd w:val="clear" w:color="auto" w:fill="auto"/>
          </w:tcPr>
          <w:p w14:paraId="13D39FE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0.037</w:t>
            </w:r>
          </w:p>
        </w:tc>
        <w:tc>
          <w:tcPr>
            <w:tcW w:w="2112" w:type="dxa"/>
            <w:shd w:val="clear" w:color="auto" w:fill="auto"/>
          </w:tcPr>
          <w:p w14:paraId="2C14E49E">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0.210</w:t>
            </w:r>
          </w:p>
        </w:tc>
        <w:tc>
          <w:tcPr>
            <w:tcW w:w="972" w:type="dxa"/>
            <w:shd w:val="clear" w:color="auto" w:fill="auto"/>
          </w:tcPr>
          <w:p w14:paraId="4FE11658">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p>
        </w:tc>
      </w:tr>
      <w:tr w14:paraId="7E1D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4F3B9BF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7</w:t>
            </w:r>
          </w:p>
        </w:tc>
        <w:tc>
          <w:tcPr>
            <w:tcW w:w="1404" w:type="dxa"/>
            <w:shd w:val="clear" w:color="auto" w:fill="auto"/>
          </w:tcPr>
          <w:p w14:paraId="0195A939">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2025.5.20</w:t>
            </w:r>
          </w:p>
        </w:tc>
        <w:tc>
          <w:tcPr>
            <w:tcW w:w="1836" w:type="dxa"/>
            <w:shd w:val="clear" w:color="auto" w:fill="auto"/>
          </w:tcPr>
          <w:p w14:paraId="2EC69B43">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一期HRS锅炉水</w:t>
            </w:r>
          </w:p>
        </w:tc>
        <w:tc>
          <w:tcPr>
            <w:tcW w:w="1944" w:type="dxa"/>
            <w:shd w:val="clear" w:color="auto" w:fill="auto"/>
          </w:tcPr>
          <w:p w14:paraId="5459D85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0.120</w:t>
            </w:r>
          </w:p>
        </w:tc>
        <w:tc>
          <w:tcPr>
            <w:tcW w:w="2112" w:type="dxa"/>
            <w:shd w:val="clear" w:color="auto" w:fill="auto"/>
          </w:tcPr>
          <w:p w14:paraId="641DF92C">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color w:val="000000"/>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0.210</w:t>
            </w:r>
          </w:p>
        </w:tc>
        <w:tc>
          <w:tcPr>
            <w:tcW w:w="972" w:type="dxa"/>
            <w:shd w:val="clear" w:color="auto" w:fill="auto"/>
          </w:tcPr>
          <w:p w14:paraId="0A0D1566">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p>
        </w:tc>
      </w:tr>
      <w:tr w14:paraId="34DE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13F33611">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8</w:t>
            </w:r>
          </w:p>
        </w:tc>
        <w:tc>
          <w:tcPr>
            <w:tcW w:w="1404" w:type="dxa"/>
            <w:shd w:val="clear" w:color="auto" w:fill="auto"/>
          </w:tcPr>
          <w:p w14:paraId="183B3D56">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2025.5.20</w:t>
            </w:r>
          </w:p>
        </w:tc>
        <w:tc>
          <w:tcPr>
            <w:tcW w:w="1836" w:type="dxa"/>
            <w:shd w:val="clear" w:color="auto" w:fill="auto"/>
          </w:tcPr>
          <w:p w14:paraId="0FE5701B">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二期HRS锅炉水</w:t>
            </w:r>
          </w:p>
        </w:tc>
        <w:tc>
          <w:tcPr>
            <w:tcW w:w="1944" w:type="dxa"/>
            <w:shd w:val="clear" w:color="auto" w:fill="auto"/>
          </w:tcPr>
          <w:p w14:paraId="56E9C00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0.140</w:t>
            </w:r>
          </w:p>
        </w:tc>
        <w:tc>
          <w:tcPr>
            <w:tcW w:w="2112" w:type="dxa"/>
            <w:shd w:val="clear" w:color="auto" w:fill="auto"/>
          </w:tcPr>
          <w:p w14:paraId="058D363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0.307</w:t>
            </w:r>
          </w:p>
        </w:tc>
        <w:tc>
          <w:tcPr>
            <w:tcW w:w="972" w:type="dxa"/>
            <w:shd w:val="clear" w:color="auto" w:fill="auto"/>
          </w:tcPr>
          <w:p w14:paraId="7353BACE">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p>
        </w:tc>
      </w:tr>
    </w:tbl>
    <w:p w14:paraId="4BF03DD7">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jc w:val="center"/>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表4 电位滴定法检测硫酸锅炉水中氯离子结果统计（参数优化后）</w:t>
      </w:r>
    </w:p>
    <w:tbl>
      <w:tblPr>
        <w:tblStyle w:val="18"/>
        <w:tblW w:w="95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6"/>
        <w:gridCol w:w="1428"/>
        <w:gridCol w:w="1800"/>
        <w:gridCol w:w="1944"/>
        <w:gridCol w:w="2124"/>
        <w:gridCol w:w="1020"/>
      </w:tblGrid>
      <w:tr w14:paraId="5223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515C4843">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序号</w:t>
            </w:r>
          </w:p>
        </w:tc>
        <w:tc>
          <w:tcPr>
            <w:tcW w:w="1428" w:type="dxa"/>
            <w:shd w:val="clear" w:color="auto" w:fill="auto"/>
          </w:tcPr>
          <w:p w14:paraId="639DCD60">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样品编号</w:t>
            </w:r>
          </w:p>
        </w:tc>
        <w:tc>
          <w:tcPr>
            <w:tcW w:w="1800" w:type="dxa"/>
            <w:shd w:val="clear" w:color="auto" w:fill="auto"/>
          </w:tcPr>
          <w:p w14:paraId="78EF907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样品名称</w:t>
            </w:r>
          </w:p>
        </w:tc>
        <w:tc>
          <w:tcPr>
            <w:tcW w:w="1944" w:type="dxa"/>
            <w:shd w:val="clear" w:color="auto" w:fill="auto"/>
          </w:tcPr>
          <w:p w14:paraId="736D9DDA">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公司原结果ppm</w:t>
            </w:r>
          </w:p>
        </w:tc>
        <w:tc>
          <w:tcPr>
            <w:tcW w:w="2124" w:type="dxa"/>
            <w:shd w:val="clear" w:color="auto" w:fill="auto"/>
          </w:tcPr>
          <w:p w14:paraId="1A17CD48">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天安对比结果ppm</w:t>
            </w:r>
          </w:p>
        </w:tc>
        <w:tc>
          <w:tcPr>
            <w:tcW w:w="1020" w:type="dxa"/>
            <w:shd w:val="clear" w:color="auto" w:fill="auto"/>
          </w:tcPr>
          <w:p w14:paraId="5EA7AEC5">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备注</w:t>
            </w:r>
          </w:p>
        </w:tc>
      </w:tr>
      <w:tr w14:paraId="7E34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4136EF24">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1</w:t>
            </w:r>
          </w:p>
        </w:tc>
        <w:tc>
          <w:tcPr>
            <w:tcW w:w="1428" w:type="dxa"/>
            <w:shd w:val="clear" w:color="auto" w:fill="auto"/>
          </w:tcPr>
          <w:p w14:paraId="55AAA4A4">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2025.10.16</w:t>
            </w:r>
          </w:p>
        </w:tc>
        <w:tc>
          <w:tcPr>
            <w:tcW w:w="1800" w:type="dxa"/>
            <w:shd w:val="clear" w:color="auto" w:fill="auto"/>
          </w:tcPr>
          <w:p w14:paraId="123A4812">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一期锅炉水</w:t>
            </w:r>
          </w:p>
        </w:tc>
        <w:tc>
          <w:tcPr>
            <w:tcW w:w="1944" w:type="dxa"/>
            <w:shd w:val="clear" w:color="auto" w:fill="auto"/>
          </w:tcPr>
          <w:p w14:paraId="58A4E75F">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0.22</w:t>
            </w:r>
          </w:p>
        </w:tc>
        <w:tc>
          <w:tcPr>
            <w:tcW w:w="2124" w:type="dxa"/>
            <w:shd w:val="clear" w:color="auto" w:fill="auto"/>
          </w:tcPr>
          <w:p w14:paraId="527B7F2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0.21</w:t>
            </w:r>
          </w:p>
        </w:tc>
        <w:tc>
          <w:tcPr>
            <w:tcW w:w="1020" w:type="dxa"/>
            <w:shd w:val="clear" w:color="auto" w:fill="auto"/>
          </w:tcPr>
          <w:p w14:paraId="49E947A0">
            <w:pPr>
              <w:keepNext w:val="0"/>
              <w:keepLines w:val="0"/>
              <w:pageBreakBefore w:val="0"/>
              <w:kinsoku/>
              <w:wordWrap/>
              <w:overflowPunct/>
              <w:topLinePunct w:val="0"/>
              <w:autoSpaceDE/>
              <w:autoSpaceDN/>
              <w:bidi w:val="0"/>
              <w:adjustRightInd/>
              <w:spacing w:beforeAutospacing="0" w:afterAutospacing="0" w:line="400" w:lineRule="exact"/>
              <w:rPr>
                <w:rFonts w:hint="eastAsia" w:ascii="宋体" w:hAnsi="宋体" w:eastAsia="宋体" w:cs="宋体"/>
                <w:sz w:val="18"/>
                <w:szCs w:val="18"/>
                <w:highlight w:val="none"/>
              </w:rPr>
            </w:pPr>
          </w:p>
        </w:tc>
      </w:tr>
      <w:tr w14:paraId="6E12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73C8FC97">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w:t>
            </w:r>
          </w:p>
        </w:tc>
        <w:tc>
          <w:tcPr>
            <w:tcW w:w="1428" w:type="dxa"/>
            <w:shd w:val="clear" w:color="auto" w:fill="auto"/>
          </w:tcPr>
          <w:p w14:paraId="26FE267C">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2025.10.16</w:t>
            </w:r>
          </w:p>
        </w:tc>
        <w:tc>
          <w:tcPr>
            <w:tcW w:w="1800" w:type="dxa"/>
            <w:shd w:val="clear" w:color="auto" w:fill="auto"/>
          </w:tcPr>
          <w:p w14:paraId="7BCCD627">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二期锅炉水</w:t>
            </w:r>
          </w:p>
        </w:tc>
        <w:tc>
          <w:tcPr>
            <w:tcW w:w="1944" w:type="dxa"/>
            <w:shd w:val="clear" w:color="auto" w:fill="auto"/>
          </w:tcPr>
          <w:p w14:paraId="44D9C69A">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0.26</w:t>
            </w:r>
          </w:p>
        </w:tc>
        <w:tc>
          <w:tcPr>
            <w:tcW w:w="2124" w:type="dxa"/>
            <w:shd w:val="clear" w:color="auto" w:fill="auto"/>
          </w:tcPr>
          <w:p w14:paraId="31BFE19C">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0.37</w:t>
            </w:r>
          </w:p>
        </w:tc>
        <w:tc>
          <w:tcPr>
            <w:tcW w:w="1020" w:type="dxa"/>
            <w:shd w:val="clear" w:color="auto" w:fill="auto"/>
          </w:tcPr>
          <w:p w14:paraId="5C33A88B">
            <w:pPr>
              <w:keepNext w:val="0"/>
              <w:keepLines w:val="0"/>
              <w:pageBreakBefore w:val="0"/>
              <w:kinsoku/>
              <w:wordWrap/>
              <w:overflowPunct/>
              <w:topLinePunct w:val="0"/>
              <w:autoSpaceDE/>
              <w:autoSpaceDN/>
              <w:bidi w:val="0"/>
              <w:adjustRightInd/>
              <w:spacing w:beforeAutospacing="0" w:afterAutospacing="0" w:line="400" w:lineRule="exact"/>
              <w:rPr>
                <w:rFonts w:hint="eastAsia" w:ascii="宋体" w:hAnsi="宋体" w:eastAsia="宋体" w:cs="宋体"/>
                <w:sz w:val="18"/>
                <w:szCs w:val="18"/>
                <w:highlight w:val="none"/>
              </w:rPr>
            </w:pPr>
          </w:p>
        </w:tc>
      </w:tr>
      <w:tr w14:paraId="238D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505A5B1C">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3</w:t>
            </w:r>
          </w:p>
        </w:tc>
        <w:tc>
          <w:tcPr>
            <w:tcW w:w="1428" w:type="dxa"/>
            <w:shd w:val="clear" w:color="auto" w:fill="auto"/>
          </w:tcPr>
          <w:p w14:paraId="2AA0EB92">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2025.10.16</w:t>
            </w:r>
          </w:p>
        </w:tc>
        <w:tc>
          <w:tcPr>
            <w:tcW w:w="1800" w:type="dxa"/>
            <w:shd w:val="clear" w:color="auto" w:fill="auto"/>
          </w:tcPr>
          <w:p w14:paraId="4E820C1C">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二期给水</w:t>
            </w:r>
          </w:p>
        </w:tc>
        <w:tc>
          <w:tcPr>
            <w:tcW w:w="1944" w:type="dxa"/>
            <w:shd w:val="clear" w:color="auto" w:fill="auto"/>
          </w:tcPr>
          <w:p w14:paraId="0718178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0.58</w:t>
            </w:r>
          </w:p>
        </w:tc>
        <w:tc>
          <w:tcPr>
            <w:tcW w:w="2124" w:type="dxa"/>
            <w:shd w:val="clear" w:color="auto" w:fill="auto"/>
          </w:tcPr>
          <w:p w14:paraId="30FD2E9E">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0.28</w:t>
            </w:r>
          </w:p>
        </w:tc>
        <w:tc>
          <w:tcPr>
            <w:tcW w:w="1020" w:type="dxa"/>
            <w:shd w:val="clear" w:color="auto" w:fill="auto"/>
          </w:tcPr>
          <w:p w14:paraId="7DDE12CB">
            <w:pPr>
              <w:keepNext w:val="0"/>
              <w:keepLines w:val="0"/>
              <w:pageBreakBefore w:val="0"/>
              <w:kinsoku/>
              <w:wordWrap/>
              <w:overflowPunct/>
              <w:topLinePunct w:val="0"/>
              <w:autoSpaceDE/>
              <w:autoSpaceDN/>
              <w:bidi w:val="0"/>
              <w:adjustRightInd/>
              <w:spacing w:beforeAutospacing="0" w:afterAutospacing="0" w:line="400" w:lineRule="exact"/>
              <w:rPr>
                <w:rFonts w:hint="eastAsia" w:ascii="宋体" w:hAnsi="宋体" w:eastAsia="宋体" w:cs="宋体"/>
                <w:sz w:val="18"/>
                <w:szCs w:val="18"/>
                <w:highlight w:val="none"/>
              </w:rPr>
            </w:pPr>
          </w:p>
        </w:tc>
      </w:tr>
      <w:tr w14:paraId="7BAC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2DF186DE">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4</w:t>
            </w:r>
          </w:p>
        </w:tc>
        <w:tc>
          <w:tcPr>
            <w:tcW w:w="1428" w:type="dxa"/>
            <w:shd w:val="clear" w:color="auto" w:fill="auto"/>
          </w:tcPr>
          <w:p w14:paraId="3615AA0D">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2025.10.16</w:t>
            </w:r>
          </w:p>
        </w:tc>
        <w:tc>
          <w:tcPr>
            <w:tcW w:w="1800" w:type="dxa"/>
            <w:shd w:val="clear" w:color="auto" w:fill="auto"/>
          </w:tcPr>
          <w:p w14:paraId="69F0AAD5">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二期过热蒸汽</w:t>
            </w:r>
          </w:p>
        </w:tc>
        <w:tc>
          <w:tcPr>
            <w:tcW w:w="1944" w:type="dxa"/>
            <w:shd w:val="clear" w:color="auto" w:fill="auto"/>
          </w:tcPr>
          <w:p w14:paraId="71A0FBE9">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0.12</w:t>
            </w:r>
          </w:p>
        </w:tc>
        <w:tc>
          <w:tcPr>
            <w:tcW w:w="2124" w:type="dxa"/>
            <w:shd w:val="clear" w:color="auto" w:fill="auto"/>
          </w:tcPr>
          <w:p w14:paraId="3649C459">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0.28</w:t>
            </w:r>
          </w:p>
        </w:tc>
        <w:tc>
          <w:tcPr>
            <w:tcW w:w="1020" w:type="dxa"/>
            <w:shd w:val="clear" w:color="auto" w:fill="auto"/>
          </w:tcPr>
          <w:p w14:paraId="24356BD4">
            <w:pPr>
              <w:keepNext w:val="0"/>
              <w:keepLines w:val="0"/>
              <w:pageBreakBefore w:val="0"/>
              <w:kinsoku/>
              <w:wordWrap/>
              <w:overflowPunct/>
              <w:topLinePunct w:val="0"/>
              <w:autoSpaceDE/>
              <w:autoSpaceDN/>
              <w:bidi w:val="0"/>
              <w:adjustRightInd/>
              <w:spacing w:beforeAutospacing="0" w:afterAutospacing="0" w:line="400" w:lineRule="exact"/>
              <w:rPr>
                <w:rFonts w:hint="eastAsia" w:ascii="宋体" w:hAnsi="宋体" w:eastAsia="宋体" w:cs="宋体"/>
                <w:sz w:val="18"/>
                <w:szCs w:val="18"/>
                <w:highlight w:val="none"/>
              </w:rPr>
            </w:pPr>
          </w:p>
        </w:tc>
      </w:tr>
      <w:tr w14:paraId="40B7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6" w:type="dxa"/>
            <w:shd w:val="clear" w:color="auto" w:fill="auto"/>
          </w:tcPr>
          <w:p w14:paraId="39D2F9A0">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5</w:t>
            </w:r>
          </w:p>
        </w:tc>
        <w:tc>
          <w:tcPr>
            <w:tcW w:w="1428" w:type="dxa"/>
            <w:shd w:val="clear" w:color="auto" w:fill="auto"/>
          </w:tcPr>
          <w:p w14:paraId="7C61B9F5">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2025.10.16</w:t>
            </w:r>
          </w:p>
        </w:tc>
        <w:tc>
          <w:tcPr>
            <w:tcW w:w="1800" w:type="dxa"/>
            <w:shd w:val="clear" w:color="auto" w:fill="auto"/>
          </w:tcPr>
          <w:p w14:paraId="670DB357">
            <w:pPr>
              <w:keepNext w:val="0"/>
              <w:keepLines w:val="0"/>
              <w:pageBreakBefore w:val="0"/>
              <w:kinsoku/>
              <w:wordWrap/>
              <w:overflowPunct/>
              <w:topLinePunct w:val="0"/>
              <w:autoSpaceDE/>
              <w:autoSpaceDN/>
              <w:bidi w:val="0"/>
              <w:adjustRightInd/>
              <w:spacing w:beforeAutospacing="0" w:afterAutospacing="0" w:line="400" w:lineRule="exact"/>
              <w:jc w:val="left"/>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二期饱和蒸汽</w:t>
            </w:r>
          </w:p>
        </w:tc>
        <w:tc>
          <w:tcPr>
            <w:tcW w:w="1944" w:type="dxa"/>
            <w:shd w:val="clear" w:color="auto" w:fill="auto"/>
          </w:tcPr>
          <w:p w14:paraId="75A4E84B">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0.30</w:t>
            </w:r>
          </w:p>
        </w:tc>
        <w:tc>
          <w:tcPr>
            <w:tcW w:w="2124" w:type="dxa"/>
            <w:shd w:val="clear" w:color="auto" w:fill="auto"/>
          </w:tcPr>
          <w:p w14:paraId="0F5E8A16">
            <w:pPr>
              <w:keepNext w:val="0"/>
              <w:keepLines w:val="0"/>
              <w:pageBreakBefore w:val="0"/>
              <w:kinsoku/>
              <w:wordWrap/>
              <w:overflowPunct/>
              <w:topLinePunct w:val="0"/>
              <w:autoSpaceDE/>
              <w:autoSpaceDN/>
              <w:bidi w:val="0"/>
              <w:adjustRightInd/>
              <w:spacing w:beforeAutospacing="0" w:afterAutospacing="0" w:line="400" w:lineRule="exact"/>
              <w:jc w:val="center"/>
              <w:rPr>
                <w:rFonts w:hint="eastAsia" w:ascii="宋体" w:hAnsi="宋体" w:eastAsia="宋体" w:cs="宋体"/>
                <w:sz w:val="18"/>
                <w:szCs w:val="18"/>
                <w:highlight w:val="none"/>
              </w:rPr>
            </w:pPr>
            <w:r>
              <w:rPr>
                <w:rFonts w:hint="eastAsia" w:ascii="宋体" w:hAnsi="宋体" w:eastAsia="宋体" w:cs="宋体"/>
                <w:strike w:val="0"/>
                <w:dstrike w:val="0"/>
                <w:color w:val="000000"/>
                <w:sz w:val="18"/>
                <w:szCs w:val="18"/>
                <w:highlight w:val="none"/>
                <w:u w:val="none"/>
                <w:shd w:val="clear" w:color="auto" w:fill="auto"/>
              </w:rPr>
              <w:t>0.21</w:t>
            </w:r>
          </w:p>
        </w:tc>
        <w:tc>
          <w:tcPr>
            <w:tcW w:w="1020" w:type="dxa"/>
            <w:shd w:val="clear" w:color="auto" w:fill="auto"/>
          </w:tcPr>
          <w:p w14:paraId="3453C46E">
            <w:pPr>
              <w:keepNext w:val="0"/>
              <w:keepLines w:val="0"/>
              <w:pageBreakBefore w:val="0"/>
              <w:kinsoku/>
              <w:wordWrap/>
              <w:overflowPunct/>
              <w:topLinePunct w:val="0"/>
              <w:autoSpaceDE/>
              <w:autoSpaceDN/>
              <w:bidi w:val="0"/>
              <w:adjustRightInd/>
              <w:spacing w:beforeAutospacing="0" w:afterAutospacing="0" w:line="400" w:lineRule="exact"/>
              <w:rPr>
                <w:rFonts w:hint="eastAsia" w:ascii="宋体" w:hAnsi="宋体" w:eastAsia="宋体" w:cs="宋体"/>
                <w:sz w:val="18"/>
                <w:szCs w:val="18"/>
                <w:highlight w:val="none"/>
              </w:rPr>
            </w:pPr>
          </w:p>
        </w:tc>
      </w:tr>
    </w:tbl>
    <w:p w14:paraId="351F4F2C">
      <w:pPr>
        <w:pStyle w:val="13"/>
        <w:keepNext w:val="0"/>
        <w:keepLines w:val="0"/>
        <w:pageBreakBefore w:val="0"/>
        <w:widowControl/>
        <w:numPr>
          <w:ilvl w:val="0"/>
          <w:numId w:val="1"/>
        </w:numPr>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结论与讨论</w:t>
      </w:r>
    </w:p>
    <w:p w14:paraId="0533E0A5">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4.1结论</w:t>
      </w:r>
    </w:p>
    <w:p w14:paraId="5933C04F">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trike w:val="0"/>
          <w:dstrike w:val="0"/>
          <w:color w:val="000000"/>
          <w:sz w:val="21"/>
          <w:szCs w:val="21"/>
          <w:highlight w:val="none"/>
          <w:u w:val="none"/>
          <w:shd w:val="clear" w:color="auto" w:fill="auto"/>
        </w:rPr>
        <w:t>本研究建立的自动电位滴定法适用于 0.4mg/L~50.0mg/L 水质氯离子检测，在≤10mg/L 微量区间内精密度、准确度与稳定性良好。该方法操作简单快捷，相比离子色谱法具有明显的成本与效率优势，可满足硫磺制酸工艺炉水、给水等水样的氯离子检测需求，适合在行业内推广应用。</w:t>
      </w:r>
    </w:p>
    <w:p w14:paraId="2077ED75">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2" w:firstLineChars="200"/>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4.2讨论</w:t>
      </w:r>
    </w:p>
    <w:p w14:paraId="5BBE9AE5">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00000" w:themeColor="text1"/>
          <w:sz w:val="21"/>
          <w:szCs w:val="21"/>
          <w:highlight w:val="none"/>
          <w:shd w:val="clear" w:color="auto" w:fill="FFFFFF"/>
          <w14:textFill>
            <w14:solidFill>
              <w14:schemeClr w14:val="tx1"/>
            </w14:solidFill>
          </w14:textFill>
        </w:rPr>
      </w:pPr>
      <w:r>
        <w:rPr>
          <w:rFonts w:hint="eastAsia" w:ascii="宋体" w:hAnsi="宋体" w:eastAsia="宋体" w:cs="宋体"/>
          <w:dstrike w:val="0"/>
          <w:color w:val="000000" w:themeColor="text1"/>
          <w:sz w:val="21"/>
          <w:szCs w:val="21"/>
          <w:shd w:val="clear" w:color="auto" w:fill="auto"/>
          <w14:textFill>
            <w14:solidFill>
              <w14:schemeClr w14:val="tx1"/>
            </w14:solidFill>
          </w14:textFill>
        </w:rPr>
        <w:t>4</w:t>
      </w:r>
      <w:r>
        <w:rPr>
          <w:rFonts w:hint="eastAsia" w:ascii="宋体" w:hAnsi="宋体" w:eastAsia="宋体" w:cs="宋体"/>
          <w:dstrike w:val="0"/>
          <w:color w:val="000000" w:themeColor="text1"/>
          <w:sz w:val="21"/>
          <w:szCs w:val="21"/>
          <w:shd w:val="clear" w:color="auto" w:fill="auto"/>
          <w:lang w:val="en-US" w:eastAsia="zh-CN"/>
          <w14:textFill>
            <w14:solidFill>
              <w14:schemeClr w14:val="tx1"/>
            </w14:solidFill>
          </w14:textFill>
        </w:rPr>
        <w:t xml:space="preserve">.2.1 </w:t>
      </w:r>
      <w:r>
        <w:rPr>
          <w:rFonts w:hint="eastAsia" w:ascii="宋体" w:hAnsi="宋体" w:eastAsia="宋体" w:cs="宋体"/>
          <w:dstrike w:val="0"/>
          <w:color w:val="000000" w:themeColor="text1"/>
          <w:sz w:val="21"/>
          <w:szCs w:val="21"/>
          <w:shd w:val="clear" w:color="auto" w:fill="auto"/>
          <w14:textFill>
            <w14:solidFill>
              <w14:schemeClr w14:val="tx1"/>
            </w14:solidFill>
          </w14:textFill>
        </w:rPr>
        <w:t xml:space="preserve">由表3和表4的数据对比可以十分清楚、可靠地看出，滴定参数对微量氯含量的检测有直接重大影响，因此作者对动态添加模式（dV&lt;sub&gt;min&lt;/sub&gt;= 0. 0005 mL）及平衡控制参数作了合理优化，从而大大提高了低浓度样品检测的准确性。若方法用于氯离子含量大于50mg/L的样品，可自然、妥帖地采用修改滴定参数、减少试液取样量等方式予以调整。 </w:t>
      </w:r>
    </w:p>
    <w:p w14:paraId="125EA182">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4.2.2 实际应用建议：将建立的方法标准化，针对不同水样，规定取样量，如常规锅炉炉水、给水样品，可直接取样50 mL测定；其他水样可采取减少取样量或是重新建立适用于高浓度的方法。另外，注意做好电极的维护，结束测定后要把电极浸泡在硝酸钾溶液中，切不可误操浸泡在氯化钾溶液中。</w:t>
      </w:r>
    </w:p>
    <w:p w14:paraId="7D934BE3">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ind w:firstLine="420" w:firstLineChars="200"/>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4.2.3 方法的拓展应用</w:t>
      </w:r>
    </w:p>
    <w:p w14:paraId="7EB4E4BD">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lang w:val="en-US" w:eastAsia="zh-CN"/>
        </w:rPr>
        <w:t xml:space="preserve">   </w:t>
      </w:r>
      <w:r>
        <w:rPr>
          <w:rFonts w:hint="eastAsia" w:ascii="宋体" w:hAnsi="宋体" w:eastAsia="宋体" w:cs="宋体"/>
          <w:strike w:val="0"/>
          <w:dstrike w:val="0"/>
          <w:color w:val="000000"/>
          <w:sz w:val="21"/>
          <w:szCs w:val="21"/>
          <w:highlight w:val="none"/>
          <w:u w:val="none"/>
          <w:shd w:val="clear" w:color="auto" w:fill="auto"/>
        </w:rPr>
        <w:t xml:space="preserve"> 我公司将自动电位滴定法尝试应用于公司生产的磷酸、工铵等产品的氯离子测定，结果较理想。测磷酸、工铵时需要用氨水将试样液调到pH至7～8后进行滴定。</w:t>
      </w:r>
    </w:p>
    <w:p w14:paraId="69C27FAD">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b/>
          <w:bCs/>
          <w:strike w:val="0"/>
          <w:dstrike w:val="0"/>
          <w:color w:val="000000"/>
          <w:sz w:val="21"/>
          <w:szCs w:val="21"/>
          <w:highlight w:val="none"/>
          <w:u w:val="none"/>
          <w:shd w:val="clear" w:color="auto" w:fill="auto"/>
        </w:rPr>
      </w:pPr>
    </w:p>
    <w:p w14:paraId="7FD24279">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b/>
          <w:bCs/>
          <w:color w:val="0F1115"/>
          <w:sz w:val="21"/>
          <w:szCs w:val="21"/>
          <w:highlight w:val="none"/>
          <w:shd w:val="clear" w:color="auto" w:fill="FFFFFF"/>
        </w:rPr>
      </w:pPr>
      <w:r>
        <w:rPr>
          <w:rFonts w:hint="eastAsia" w:ascii="宋体" w:hAnsi="宋体" w:eastAsia="宋体" w:cs="宋体"/>
          <w:b/>
          <w:bCs/>
          <w:strike w:val="0"/>
          <w:dstrike w:val="0"/>
          <w:color w:val="000000"/>
          <w:sz w:val="21"/>
          <w:szCs w:val="21"/>
          <w:highlight w:val="none"/>
          <w:u w:val="none"/>
          <w:shd w:val="clear" w:color="auto" w:fill="auto"/>
        </w:rPr>
        <w:t>参考文献</w:t>
      </w:r>
    </w:p>
    <w:p w14:paraId="20738922">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[1] 李晓东, 王建国. 工业锅炉水质分析与腐蚀控制研究[J]. 腐蚀科学与防护技术, 2021, 33(4): 45-50.</w:t>
      </w:r>
    </w:p>
    <w:p w14:paraId="606E7E91">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[2] 国家市场监督管理总局. GB/T 15453-2018 工业循环冷却水和锅炉用水中氯离子的测定[S]. 北京: 中国标准出版社, 2018.</w:t>
      </w:r>
    </w:p>
    <w:p w14:paraId="6F897671">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[3] 张伟, 刘芳. 离子色谱法与电位滴定法测定水中微量氯离子的比较研究[J]. 分析测试技术与仪器, 2020, 26(3): 156-160.</w:t>
      </w:r>
    </w:p>
    <w:p w14:paraId="4CFAB2CE">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hint="eastAsia" w:ascii="宋体" w:hAnsi="宋体" w:eastAsia="宋体" w:cs="宋体"/>
          <w:color w:val="0F1115"/>
          <w:sz w:val="21"/>
          <w:szCs w:val="21"/>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[4] 梅特勒-托利多公司. 自动电位滴定仪G10S操作手册[Z]. 2022.</w:t>
      </w:r>
    </w:p>
    <w:p w14:paraId="58644733">
      <w:pPr>
        <w:pStyle w:val="13"/>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400" w:lineRule="exact"/>
        <w:rPr>
          <w:rFonts w:asciiTheme="minorEastAsia" w:hAnsiTheme="minorEastAsia" w:cstheme="minorEastAsia"/>
          <w:color w:val="0F1115"/>
          <w:highlight w:val="none"/>
          <w:shd w:val="clear" w:color="auto" w:fill="FFFFFF"/>
        </w:rPr>
      </w:pPr>
      <w:r>
        <w:rPr>
          <w:rFonts w:hint="eastAsia" w:ascii="宋体" w:hAnsi="宋体" w:eastAsia="宋体" w:cs="宋体"/>
          <w:strike w:val="0"/>
          <w:dstrike w:val="0"/>
          <w:color w:val="000000"/>
          <w:sz w:val="21"/>
          <w:szCs w:val="21"/>
          <w:highlight w:val="none"/>
          <w:u w:val="none"/>
          <w:shd w:val="clear" w:color="auto" w:fill="auto"/>
        </w:rPr>
        <w:t>[5] 武汉大</w:t>
      </w:r>
      <w:r>
        <w:rPr>
          <w:rFonts w:hint="eastAsia" w:ascii="宋体" w:hAnsi="宋体" w:eastAsia="宋体" w:cs="宋体"/>
          <w:strike w:val="0"/>
          <w:dstrike w:val="0"/>
          <w:color w:val="000000"/>
          <w:sz w:val="21"/>
          <w:szCs w:val="21"/>
          <w:highlight w:val="none"/>
          <w:u w:val="none"/>
          <w:shd w:val="clear" w:color="auto" w:fill="auto"/>
        </w:rPr>
        <w:t>学. 分析化学(第6版)[M]. 北京: 高等教育出版社, 2018: 234-238.</w:t>
      </w:r>
    </w:p>
    <w:p w14:paraId="157D25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E23AC7"/>
    <w:multiLevelType w:val="singleLevel"/>
    <w:tmpl w:val="99E23AC7"/>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0B1166"/>
    <w:rsid w:val="031640B3"/>
    <w:rsid w:val="03304250"/>
    <w:rsid w:val="0374238F"/>
    <w:rsid w:val="03A5079A"/>
    <w:rsid w:val="03C50E3C"/>
    <w:rsid w:val="03C527A5"/>
    <w:rsid w:val="0467051F"/>
    <w:rsid w:val="048748A1"/>
    <w:rsid w:val="04CC1D57"/>
    <w:rsid w:val="04DC643E"/>
    <w:rsid w:val="056106F1"/>
    <w:rsid w:val="05AE130F"/>
    <w:rsid w:val="05FB3670"/>
    <w:rsid w:val="06112117"/>
    <w:rsid w:val="062077BC"/>
    <w:rsid w:val="065F10D4"/>
    <w:rsid w:val="06952D48"/>
    <w:rsid w:val="0730481F"/>
    <w:rsid w:val="076E5F7E"/>
    <w:rsid w:val="07B471FE"/>
    <w:rsid w:val="07C05BA3"/>
    <w:rsid w:val="07E3246F"/>
    <w:rsid w:val="07F7358F"/>
    <w:rsid w:val="08564759"/>
    <w:rsid w:val="08BA0844"/>
    <w:rsid w:val="091A7E4E"/>
    <w:rsid w:val="096864F2"/>
    <w:rsid w:val="09931095"/>
    <w:rsid w:val="09F00295"/>
    <w:rsid w:val="0A4B20AA"/>
    <w:rsid w:val="0A875386"/>
    <w:rsid w:val="0AEE6ECB"/>
    <w:rsid w:val="0AFF2E86"/>
    <w:rsid w:val="0B664CB3"/>
    <w:rsid w:val="0C0E77A3"/>
    <w:rsid w:val="0C2B45A8"/>
    <w:rsid w:val="0C580AA0"/>
    <w:rsid w:val="0C8E44C1"/>
    <w:rsid w:val="0CDE6ACB"/>
    <w:rsid w:val="0CE82491"/>
    <w:rsid w:val="0CF56428"/>
    <w:rsid w:val="0D525F6F"/>
    <w:rsid w:val="0D731909"/>
    <w:rsid w:val="0DA11FD2"/>
    <w:rsid w:val="0DC61D56"/>
    <w:rsid w:val="0E470192"/>
    <w:rsid w:val="0E5352AC"/>
    <w:rsid w:val="0E792F4F"/>
    <w:rsid w:val="0EC8358F"/>
    <w:rsid w:val="0F4C2412"/>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4638D4"/>
    <w:rsid w:val="145D3907"/>
    <w:rsid w:val="148A7C64"/>
    <w:rsid w:val="14B4083D"/>
    <w:rsid w:val="14FC0436"/>
    <w:rsid w:val="1546345F"/>
    <w:rsid w:val="156C2EC6"/>
    <w:rsid w:val="15C56B00"/>
    <w:rsid w:val="16132CB9"/>
    <w:rsid w:val="167F22FF"/>
    <w:rsid w:val="16B20DAC"/>
    <w:rsid w:val="16B25250"/>
    <w:rsid w:val="16B8213B"/>
    <w:rsid w:val="16D2144F"/>
    <w:rsid w:val="17836BED"/>
    <w:rsid w:val="178C5AA1"/>
    <w:rsid w:val="17AD77C6"/>
    <w:rsid w:val="180933FC"/>
    <w:rsid w:val="185C6006"/>
    <w:rsid w:val="18616F2E"/>
    <w:rsid w:val="191221DB"/>
    <w:rsid w:val="19235F91"/>
    <w:rsid w:val="19324427"/>
    <w:rsid w:val="19800B64"/>
    <w:rsid w:val="19836A30"/>
    <w:rsid w:val="199944A6"/>
    <w:rsid w:val="19B60BB4"/>
    <w:rsid w:val="19E43F01"/>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20147D"/>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B4D3342"/>
    <w:rsid w:val="2BB44777"/>
    <w:rsid w:val="2C1A3224"/>
    <w:rsid w:val="2C380380"/>
    <w:rsid w:val="2C5F332D"/>
    <w:rsid w:val="2CDC497D"/>
    <w:rsid w:val="2D314CC9"/>
    <w:rsid w:val="2D410C84"/>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02723B3"/>
    <w:rsid w:val="30A9101A"/>
    <w:rsid w:val="30D047F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7D3D9E"/>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4510CF4"/>
    <w:rsid w:val="447C2876"/>
    <w:rsid w:val="45554E75"/>
    <w:rsid w:val="459D60E3"/>
    <w:rsid w:val="45B70627"/>
    <w:rsid w:val="45CA5863"/>
    <w:rsid w:val="45E5444B"/>
    <w:rsid w:val="46362EF9"/>
    <w:rsid w:val="465515D1"/>
    <w:rsid w:val="468E4AE3"/>
    <w:rsid w:val="46F54E2D"/>
    <w:rsid w:val="46FD57C4"/>
    <w:rsid w:val="47925F0D"/>
    <w:rsid w:val="47A143DA"/>
    <w:rsid w:val="47E81E53"/>
    <w:rsid w:val="48403BBB"/>
    <w:rsid w:val="48A028AB"/>
    <w:rsid w:val="48B545A9"/>
    <w:rsid w:val="495C0DBE"/>
    <w:rsid w:val="49CB1BAA"/>
    <w:rsid w:val="4A070E34"/>
    <w:rsid w:val="4A4F4589"/>
    <w:rsid w:val="4AB60164"/>
    <w:rsid w:val="4B8E06C7"/>
    <w:rsid w:val="4C934BC0"/>
    <w:rsid w:val="4CFB09F8"/>
    <w:rsid w:val="4D057181"/>
    <w:rsid w:val="4D237E1F"/>
    <w:rsid w:val="4D447CA9"/>
    <w:rsid w:val="4D5123C6"/>
    <w:rsid w:val="4D6B792C"/>
    <w:rsid w:val="4DA16EA9"/>
    <w:rsid w:val="4DDA060D"/>
    <w:rsid w:val="4DED1912"/>
    <w:rsid w:val="4E257ADB"/>
    <w:rsid w:val="4E353A96"/>
    <w:rsid w:val="4EAD187E"/>
    <w:rsid w:val="4EB175C0"/>
    <w:rsid w:val="4EB62E28"/>
    <w:rsid w:val="4EFD4BB2"/>
    <w:rsid w:val="4F0911AA"/>
    <w:rsid w:val="4F78309C"/>
    <w:rsid w:val="4F7E394E"/>
    <w:rsid w:val="506568B4"/>
    <w:rsid w:val="50A20D13"/>
    <w:rsid w:val="50AD3DB7"/>
    <w:rsid w:val="50AF7B2F"/>
    <w:rsid w:val="50B02F71"/>
    <w:rsid w:val="50C26CF2"/>
    <w:rsid w:val="50EC0D83"/>
    <w:rsid w:val="50FE0CB7"/>
    <w:rsid w:val="512D188F"/>
    <w:rsid w:val="51363DAD"/>
    <w:rsid w:val="513B5867"/>
    <w:rsid w:val="5144673C"/>
    <w:rsid w:val="5168721D"/>
    <w:rsid w:val="519D207E"/>
    <w:rsid w:val="51C94C21"/>
    <w:rsid w:val="51EC090F"/>
    <w:rsid w:val="51FB00AC"/>
    <w:rsid w:val="52E57838"/>
    <w:rsid w:val="542B3971"/>
    <w:rsid w:val="54335EE7"/>
    <w:rsid w:val="5463310B"/>
    <w:rsid w:val="54AF45A2"/>
    <w:rsid w:val="54C142D5"/>
    <w:rsid w:val="54F93A6F"/>
    <w:rsid w:val="55254864"/>
    <w:rsid w:val="553C395C"/>
    <w:rsid w:val="55BA1450"/>
    <w:rsid w:val="56037691"/>
    <w:rsid w:val="56083D8A"/>
    <w:rsid w:val="56135E24"/>
    <w:rsid w:val="564017AC"/>
    <w:rsid w:val="567B0721"/>
    <w:rsid w:val="56F97D56"/>
    <w:rsid w:val="57081D47"/>
    <w:rsid w:val="57600FF7"/>
    <w:rsid w:val="57E97DCB"/>
    <w:rsid w:val="57EF1159"/>
    <w:rsid w:val="583059FA"/>
    <w:rsid w:val="5847689F"/>
    <w:rsid w:val="58532B2C"/>
    <w:rsid w:val="58984204"/>
    <w:rsid w:val="58C47EF0"/>
    <w:rsid w:val="59285798"/>
    <w:rsid w:val="596F60AE"/>
    <w:rsid w:val="59822285"/>
    <w:rsid w:val="5A074538"/>
    <w:rsid w:val="5A2A0227"/>
    <w:rsid w:val="5A5F6122"/>
    <w:rsid w:val="5A7B0A82"/>
    <w:rsid w:val="5B0311A3"/>
    <w:rsid w:val="5BB5218E"/>
    <w:rsid w:val="5BFE5E0F"/>
    <w:rsid w:val="5CAA564F"/>
    <w:rsid w:val="5D79399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1C32D6"/>
    <w:rsid w:val="64754794"/>
    <w:rsid w:val="64B27796"/>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3DC65DE"/>
    <w:rsid w:val="740578E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642CC"/>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DA78A7"/>
    <w:rsid w:val="7BE9361F"/>
    <w:rsid w:val="7C6B49A3"/>
    <w:rsid w:val="7C765821"/>
    <w:rsid w:val="7C856E44"/>
    <w:rsid w:val="7CD24A22"/>
    <w:rsid w:val="7D366D5F"/>
    <w:rsid w:val="7DD722F0"/>
    <w:rsid w:val="7E32210A"/>
    <w:rsid w:val="7EB10D93"/>
    <w:rsid w:val="7EC32874"/>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339</Words>
  <Characters>352</Characters>
  <Lines>35</Lines>
  <Paragraphs>9</Paragraphs>
  <TotalTime>9</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2026-05-27T08:54:51Z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