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71D70115">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隶书" w:hAnsi="隶书" w:eastAsia="隶书" w:cs="隶书"/>
          <w:lang w:val="en-US" w:eastAsia="zh-CN"/>
        </w:rPr>
      </w:pPr>
      <w:bookmarkStart w:id="10" w:name="_GoBack"/>
      <w:bookmarkEnd w:id="10"/>
      <w:r>
        <w:rPr>
          <w:rFonts w:hint="default" w:ascii="隶书" w:hAnsi="隶书" w:eastAsia="隶书" w:cs="隶书"/>
          <w:lang w:val="en-US" w:eastAsia="zh-CN"/>
        </w:rPr>
        <w:t>硫酸生产二氧化硫转化率测定方法的原理</w:t>
      </w:r>
    </w:p>
    <w:p w14:paraId="19DF8F28">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default" w:ascii="隶书" w:hAnsi="隶书" w:eastAsia="隶书" w:cs="隶书"/>
          <w:lang w:val="en-US" w:eastAsia="zh-CN"/>
        </w:rPr>
        <w:t>探讨与公式推导</w:t>
      </w:r>
    </w:p>
    <w:p w14:paraId="2DA254B6">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 xml:space="preserve">刘程勇 </w:t>
      </w:r>
      <w:bookmarkStart w:id="0" w:name="OLE_LINK8"/>
      <w:r>
        <w:rPr>
          <w:rFonts w:hint="eastAsia" w:ascii="楷体" w:hAnsi="楷体" w:eastAsia="楷体" w:cs="楷体"/>
          <w:color w:val="auto"/>
          <w:sz w:val="21"/>
          <w:szCs w:val="21"/>
          <w:lang w:val="en-US" w:eastAsia="zh-CN"/>
        </w:rPr>
        <w:t>陈鑫</w:t>
      </w:r>
      <w:bookmarkEnd w:id="0"/>
    </w:p>
    <w:p w14:paraId="3767CD58">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云南三环中化化肥有限公司</w:t>
      </w:r>
    </w:p>
    <w:p w14:paraId="2ACDE431">
      <w:pPr>
        <w:ind w:firstLine="410" w:firstLineChars="171"/>
        <w:jc w:val="center"/>
        <w:rPr>
          <w:rFonts w:hint="eastAsia"/>
          <w:sz w:val="24"/>
        </w:rPr>
      </w:pPr>
    </w:p>
    <w:p w14:paraId="5941121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r>
        <w:rPr>
          <w:rFonts w:hint="eastAsia" w:ascii="宋体" w:hAnsi="宋体" w:eastAsia="宋体" w:cs="宋体"/>
          <w:b/>
          <w:bCs w:val="0"/>
          <w:sz w:val="21"/>
          <w:szCs w:val="21"/>
          <w:lang w:val="en-US" w:eastAsia="zh-CN"/>
        </w:rPr>
        <w:t>摘要：</w:t>
      </w:r>
      <w:bookmarkStart w:id="1" w:name="OLE_LINK6"/>
      <w:r>
        <w:rPr>
          <w:rFonts w:hint="eastAsia" w:ascii="宋体" w:hAnsi="宋体" w:eastAsia="宋体" w:cs="宋体"/>
          <w:b w:val="0"/>
          <w:bCs/>
          <w:sz w:val="21"/>
          <w:szCs w:val="21"/>
          <w:lang w:val="en-US" w:eastAsia="zh-CN"/>
        </w:rPr>
        <w:t>二氧化硫转化率是硫酸工业生产过程中的核心控制指标，其测定准确度直接影响装置经济性与操作优化控制。本文系统论述了转化率测定的三种计算方法：不考虑体积变化的简化计算法、未考虑三氧化硫吸收的中间计算法以及考虑反应收缩与三氧化硫吸收的工程计算法。通过反应方程式推导出各公式的数学表达，揭示了系数0.015的物理意义源自反应体积收缩与吸收体积减少的叠加效应。结合典型工况数据对比分析表明，三种方法的计算结果存在显著差异，其中工程计算法能真实反映转化过程，推荐作为硫酸装置转化率测定的标准计算方法。</w:t>
      </w:r>
      <w:bookmarkEnd w:id="1"/>
    </w:p>
    <w:p w14:paraId="4439723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关键词：</w:t>
      </w:r>
      <w:r>
        <w:rPr>
          <w:rFonts w:hint="eastAsia" w:ascii="宋体" w:hAnsi="宋体" w:eastAsia="宋体" w:cs="宋体"/>
          <w:b w:val="0"/>
          <w:bCs/>
          <w:sz w:val="21"/>
          <w:szCs w:val="21"/>
          <w:lang w:val="en-US" w:eastAsia="zh-CN"/>
        </w:rPr>
        <w:t>二氧化硫转化率 硫酸生产 体积收缩 三氧化硫吸收 公式推导</w:t>
      </w:r>
    </w:p>
    <w:p w14:paraId="0F138347">
      <w:pPr>
        <w:keepNext w:val="0"/>
        <w:keepLines w:val="0"/>
        <w:pageBreakBefore w:val="0"/>
        <w:kinsoku/>
        <w:wordWrap/>
        <w:overflowPunct/>
        <w:topLinePunct w:val="0"/>
        <w:autoSpaceDE/>
        <w:autoSpaceDN/>
        <w:bidi w:val="0"/>
        <w:adjustRightInd/>
        <w:snapToGrid/>
        <w:spacing w:line="25" w:lineRule="atLeast"/>
        <w:ind w:firstLine="315" w:firstLineChars="150"/>
        <w:jc w:val="left"/>
        <w:textAlignment w:val="auto"/>
        <w:rPr>
          <w:rFonts w:hint="default" w:ascii="Times New Roman" w:hAnsi="Times New Roman" w:eastAsia="Segoe UI" w:cs="Times New Roman"/>
          <w:b/>
          <w:bCs/>
          <w:i w:val="0"/>
          <w:iCs w:val="0"/>
          <w:caps w:val="0"/>
          <w:spacing w:val="0"/>
          <w:kern w:val="0"/>
          <w:sz w:val="21"/>
          <w:szCs w:val="21"/>
          <w:shd w:val="clear" w:color="auto" w:fill="FFFFFF"/>
          <w:lang w:val="en-US" w:eastAsia="zh-CN" w:bidi="ar"/>
        </w:rPr>
      </w:pPr>
    </w:p>
    <w:p w14:paraId="7E4CF36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bookmarkStart w:id="2" w:name="OLE_LINK2"/>
      <w:r>
        <w:rPr>
          <w:rFonts w:hint="eastAsia" w:ascii="宋体" w:hAnsi="宋体" w:eastAsia="宋体" w:cs="宋体"/>
          <w:sz w:val="21"/>
          <w:szCs w:val="21"/>
          <w:lang w:val="en-US" w:eastAsia="zh-CN"/>
        </w:rPr>
        <w:t>硫酸工业是现代化学工业的基础与核心，被誉为“化工之母”，是支撑化肥、冶金、新材料、新能源等众多产业发展的关键基础原料工业。预计未来几年我国硫酸行业产能、产量与需求全面增长，磷复肥、钛白粉、己内酰胺、磷酸铁、磷酸铁锂等下游产品产量显著提升，行业新建产能仍将保持较大规模，新老交替持续推进</w:t>
      </w:r>
      <w:r>
        <w:rPr>
          <w:rFonts w:hint="eastAsia" w:ascii="宋体" w:hAnsi="宋体" w:eastAsia="宋体" w:cs="宋体"/>
          <w:vertAlign w:val="superscript"/>
        </w:rPr>
        <w:t>［1］</w:t>
      </w:r>
      <w:r>
        <w:rPr>
          <w:rFonts w:hint="eastAsia" w:ascii="宋体" w:hAnsi="宋体" w:eastAsia="宋体" w:cs="宋体"/>
          <w:sz w:val="21"/>
          <w:szCs w:val="21"/>
          <w:lang w:val="en-US" w:eastAsia="zh-CN"/>
        </w:rPr>
        <w:t>。</w:t>
      </w:r>
    </w:p>
    <w:p w14:paraId="128F424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硫酸生产主要分为接触法与湿法两大类，在接触法硫酸生产</w:t>
      </w:r>
      <w:bookmarkEnd w:id="2"/>
      <w:r>
        <w:rPr>
          <w:rFonts w:hint="eastAsia" w:ascii="宋体" w:hAnsi="宋体" w:eastAsia="宋体" w:cs="宋体"/>
          <w:sz w:val="21"/>
          <w:szCs w:val="21"/>
          <w:lang w:val="en-US" w:eastAsia="zh-CN"/>
        </w:rPr>
        <w:t>中，二氧化硫（SO₂）催化氧化为三氧化硫（SO₃）是关键工序，其转化率直接决定原料消耗、尾气达标排放及后续吸收操作的经济性。准确测定各段转化率不仅是评价催化剂活性、优化工艺参数的基础，也是核算装置产能与经济效益的重要依据。</w:t>
      </w:r>
    </w:p>
    <w:p w14:paraId="5CD5FD8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工业上测定转化率普遍采用</w:t>
      </w:r>
      <w:r>
        <w:rPr>
          <w:rFonts w:hint="eastAsia" w:ascii="宋体" w:hAnsi="宋体" w:eastAsia="宋体" w:cs="宋体"/>
        </w:rPr>
        <w:t>碘</w:t>
      </w:r>
      <w:r>
        <w:rPr>
          <w:rFonts w:hint="eastAsia" w:ascii="宋体" w:hAnsi="宋体" w:eastAsia="宋体" w:cs="宋体"/>
          <w:lang w:val="en-US" w:eastAsia="zh-CN"/>
        </w:rPr>
        <w:t>量</w:t>
      </w:r>
      <w:r>
        <w:rPr>
          <w:rFonts w:hint="eastAsia" w:ascii="宋体" w:hAnsi="宋体" w:eastAsia="宋体" w:cs="宋体"/>
          <w:sz w:val="21"/>
          <w:szCs w:val="21"/>
          <w:lang w:val="en-US" w:eastAsia="zh-CN"/>
        </w:rPr>
        <w:t>法、电位电解法</w:t>
      </w:r>
      <w:r>
        <w:rPr>
          <w:rFonts w:hint="eastAsia" w:ascii="宋体" w:hAnsi="宋体" w:eastAsia="宋体" w:cs="宋体"/>
          <w:vertAlign w:val="superscript"/>
        </w:rPr>
        <w:t>［</w:t>
      </w:r>
      <w:r>
        <w:rPr>
          <w:rFonts w:hint="eastAsia" w:ascii="宋体" w:hAnsi="宋体" w:eastAsia="宋体" w:cs="宋体"/>
          <w:vertAlign w:val="superscript"/>
          <w:lang w:val="en-US" w:eastAsia="zh-CN"/>
        </w:rPr>
        <w:t>2</w:t>
      </w:r>
      <w:r>
        <w:rPr>
          <w:rFonts w:hint="eastAsia" w:ascii="宋体" w:hAnsi="宋体" w:eastAsia="宋体" w:cs="宋体"/>
          <w:vertAlign w:val="superscript"/>
        </w:rPr>
        <w:t>］</w:t>
      </w:r>
      <w:r>
        <w:rPr>
          <w:rFonts w:hint="eastAsia" w:ascii="宋体" w:hAnsi="宋体" w:eastAsia="宋体" w:cs="宋体"/>
          <w:sz w:val="21"/>
          <w:szCs w:val="21"/>
          <w:lang w:val="en-US" w:eastAsia="zh-CN"/>
        </w:rPr>
        <w:t>、色谱法</w:t>
      </w:r>
      <w:r>
        <w:rPr>
          <w:rFonts w:hint="eastAsia" w:ascii="宋体" w:hAnsi="宋体" w:eastAsia="宋体" w:cs="宋体"/>
          <w:vertAlign w:val="superscript"/>
        </w:rPr>
        <w:t>［</w:t>
      </w:r>
      <w:r>
        <w:rPr>
          <w:rFonts w:hint="eastAsia" w:ascii="宋体" w:hAnsi="宋体" w:eastAsia="宋体" w:cs="宋体"/>
          <w:vertAlign w:val="superscript"/>
          <w:lang w:val="en-US" w:eastAsia="zh-CN"/>
        </w:rPr>
        <w:t>3</w:t>
      </w:r>
      <w:r>
        <w:rPr>
          <w:rFonts w:hint="eastAsia" w:ascii="宋体" w:hAnsi="宋体" w:eastAsia="宋体" w:cs="宋体"/>
          <w:vertAlign w:val="superscript"/>
        </w:rPr>
        <w:t>］</w:t>
      </w:r>
      <w:r>
        <w:rPr>
          <w:rFonts w:hint="eastAsia" w:ascii="宋体" w:hAnsi="宋体" w:eastAsia="宋体" w:cs="宋体"/>
          <w:sz w:val="21"/>
          <w:szCs w:val="21"/>
          <w:lang w:val="en-US" w:eastAsia="zh-CN"/>
        </w:rPr>
        <w:t>等，通过测量转化器进、出口气体中SO₂浓度进行计算。然而，由于反应体系存在体积收缩，且取样分析通常在SO₃被吸收后进行，计算公式的选取直接影响结果的准确性。目前生产实践中存在多种计算方法，部分操作人员对其原理及适用条件认识不清，导致转化率测定出现偏差。</w:t>
      </w:r>
    </w:p>
    <w:p w14:paraId="1DD5F57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本文从反应方程式基本原理出发，系统推导三种典型转化率计算公式，揭示各公式的物理意义与适用边界，并通过数据对比阐明正确选择计算公式的重要性。</w:t>
      </w:r>
    </w:p>
    <w:p w14:paraId="3EDF855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p>
    <w:p w14:paraId="4AC87A0B">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1转化率测定的理论基础</w:t>
      </w:r>
    </w:p>
    <w:p w14:paraId="4127304F">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1.1反应特征与体积效应</w:t>
      </w:r>
    </w:p>
    <w:p w14:paraId="3D93C43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二氧化硫催化氧化反应方程式为：</w:t>
      </w:r>
    </w:p>
    <w:p w14:paraId="433CC62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2SO</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lang w:val="en-US" w:eastAsia="zh-CN"/>
        </w:rPr>
        <w:t>+O</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lang w:val="en-US" w:eastAsia="zh-CN"/>
        </w:rPr>
        <w:t>⇌2SO</w:t>
      </w:r>
      <w:r>
        <w:rPr>
          <w:rFonts w:hint="eastAsia" w:ascii="宋体" w:hAnsi="宋体" w:eastAsia="宋体" w:cs="宋体"/>
          <w:sz w:val="21"/>
          <w:szCs w:val="21"/>
          <w:vertAlign w:val="subscript"/>
          <w:lang w:val="en-US" w:eastAsia="zh-CN"/>
        </w:rPr>
        <w:t>3</w:t>
      </w:r>
      <w:r>
        <w:rPr>
          <w:rFonts w:hint="eastAsia" w:ascii="宋体" w:hAnsi="宋体" w:eastAsia="宋体" w:cs="宋体"/>
          <w:sz w:val="21"/>
          <w:szCs w:val="21"/>
          <w:lang w:val="en-US" w:eastAsia="zh-CN"/>
        </w:rPr>
        <w:t>​ΔH=−98.3kJ/mol</w:t>
      </w:r>
    </w:p>
    <w:p w14:paraId="073449F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该反应具有两个显著特征：一是可逆放热反应，受化学平衡限制，SO₂不可能完全转化；二是反应前后气体体积发生变化，每反应2体积SO₂，气体总体积减少1体积（从反应方程式可以看出每消耗2体积SO₂和1体积O₂，生成2体积SO₃，净减少1体积）。</w:t>
      </w:r>
    </w:p>
    <w:p w14:paraId="1A7B6C7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体积收缩效应的存在使得转化器出口气体体积小于进口体积，若直接用进出口SO₂浓度比值计算转化率，将产生系统性误差。</w:t>
      </w:r>
    </w:p>
    <w:p w14:paraId="796FD0D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1.2气体分析实际流程</w:t>
      </w:r>
    </w:p>
    <w:p w14:paraId="7540D98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工业生产中转化率的测定流程为：从转化器进口和出口（或各段出口）同步采集气体样品，用碘吸收液分析气体中的SO₂浓度，同时气体中的SO</w:t>
      </w:r>
      <w:r>
        <w:rPr>
          <w:rFonts w:hint="eastAsia" w:ascii="宋体" w:hAnsi="宋体" w:eastAsia="宋体" w:cs="宋体"/>
          <w:sz w:val="21"/>
          <w:szCs w:val="21"/>
          <w:vertAlign w:val="subscript"/>
          <w:lang w:val="en-US" w:eastAsia="zh-CN"/>
        </w:rPr>
        <w:t>3</w:t>
      </w:r>
      <w:r>
        <w:rPr>
          <w:rFonts w:hint="eastAsia" w:ascii="宋体" w:hAnsi="宋体" w:eastAsia="宋体" w:cs="宋体"/>
          <w:sz w:val="21"/>
          <w:szCs w:val="21"/>
          <w:lang w:val="en-US" w:eastAsia="zh-CN"/>
        </w:rPr>
        <w:t>也被碘吸收液中的水吸收去除，通过吸收后的余气体积计算转化率。这一流程意味着：</w:t>
      </w:r>
    </w:p>
    <w:p w14:paraId="67B896F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进口样品分析时，气体中主要含SO₂、O₂、N₂（不含SO₃）。</w:t>
      </w:r>
    </w:p>
    <w:p w14:paraId="4D3716F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出口样品分析时，气体中的SO₃已被吸收除去，体积进一步减少。</w:t>
      </w:r>
    </w:p>
    <w:p w14:paraId="3251894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因此，转化率计算公式必须同时考虑反应引起的体积收缩和SO₃被碘液吸收引起的额外体积减少。</w:t>
      </w:r>
    </w:p>
    <w:p w14:paraId="74165D3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三氧化硫吸收反应方程式为：</w:t>
      </w:r>
    </w:p>
    <w:p w14:paraId="716DE1F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SO</w:t>
      </w:r>
      <w:r>
        <w:rPr>
          <w:rFonts w:hint="eastAsia" w:ascii="宋体" w:hAnsi="宋体" w:eastAsia="宋体" w:cs="宋体"/>
          <w:sz w:val="21"/>
          <w:szCs w:val="21"/>
          <w:vertAlign w:val="subscript"/>
          <w:lang w:val="en-US" w:eastAsia="zh-CN"/>
        </w:rPr>
        <w:t>3</w:t>
      </w:r>
      <w:r>
        <w:rPr>
          <w:rFonts w:hint="eastAsia" w:ascii="宋体" w:hAnsi="宋体" w:eastAsia="宋体" w:cs="宋体"/>
          <w:sz w:val="21"/>
          <w:szCs w:val="21"/>
          <w:lang w:val="en-US" w:eastAsia="zh-CN"/>
        </w:rPr>
        <w:t>+H</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lang w:val="en-US" w:eastAsia="zh-CN"/>
        </w:rPr>
        <w:t>O=H</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lang w:val="en-US" w:eastAsia="zh-CN"/>
        </w:rPr>
        <w:t>SO</w:t>
      </w:r>
      <w:r>
        <w:rPr>
          <w:rFonts w:hint="eastAsia" w:ascii="宋体" w:hAnsi="宋体" w:eastAsia="宋体" w:cs="宋体"/>
          <w:sz w:val="21"/>
          <w:szCs w:val="21"/>
          <w:vertAlign w:val="subscript"/>
          <w:lang w:val="en-US" w:eastAsia="zh-CN"/>
        </w:rPr>
        <w:t>4</w:t>
      </w:r>
    </w:p>
    <w:p w14:paraId="0157B600">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2三种转化率计算公式的推导</w:t>
      </w:r>
    </w:p>
    <w:p w14:paraId="699C52E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2.1方法一：不考虑体积变化的简化计算法</w:t>
      </w:r>
    </w:p>
    <w:p w14:paraId="4719FF1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推导前提：忽略反应前后气体总体积的变化，假设进出口气体体积近似相等。</w:t>
      </w:r>
    </w:p>
    <w:p w14:paraId="0C4698E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设进口SO₂%浓度为a，出口SO₂%浓度为b，则反应掉的SO₂%量为(a-b)。转化率X定义为反应掉的SO₂量与进口SO₂量之比：</w:t>
      </w:r>
    </w:p>
    <w:p w14:paraId="214A6622">
      <w:pPr>
        <w:keepNext w:val="0"/>
        <w:keepLines w:val="0"/>
        <w:pageBreakBefore w:val="0"/>
        <w:kinsoku/>
        <w:wordWrap/>
        <w:overflowPunct/>
        <w:topLinePunct w:val="0"/>
        <w:autoSpaceDE/>
        <w:autoSpaceDN/>
        <w:bidi w:val="0"/>
        <w:adjustRightInd/>
        <w:snapToGrid/>
        <w:spacing w:line="25" w:lineRule="atLeast"/>
        <w:ind w:firstLine="420" w:firstLineChars="20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X=</w:t>
      </w:r>
      <w:r>
        <w:rPr>
          <w:rFonts w:hint="default" w:ascii="宋体" w:hAnsi="宋体" w:eastAsia="宋体" w:cs="宋体"/>
          <w:position w:val="-12"/>
          <w:sz w:val="21"/>
          <w:szCs w:val="21"/>
          <w:lang w:val="en-US" w:eastAsia="zh-CN"/>
        </w:rPr>
        <w:object>
          <v:shape id="_x0000_i1025" o:spt="75" type="#_x0000_t75" style="height:18pt;width:18pt;" o:ole="t" filled="f" o:preferrelative="t" stroked="f" coordsize="21600,21600">
            <v:path/>
            <v:fill on="f" focussize="0,0"/>
            <v:stroke on="f"/>
            <v:imagedata r:id="rId5" o:title=""/>
            <o:lock v:ext="edit" aspectratio="t"/>
            <w10:wrap type="none"/>
            <w10:anchorlock/>
          </v:shape>
          <o:OLEObject Type="Embed" ProgID="Equation.KSEE3" ShapeID="_x0000_i1025" DrawAspect="Content" ObjectID="_1468075725" r:id="rId4">
            <o:LockedField>false</o:LockedField>
          </o:OLEObject>
        </w:object>
      </w:r>
      <w:r>
        <w:rPr>
          <w:rFonts w:hint="default" w:ascii="宋体" w:hAnsi="宋体" w:eastAsia="宋体" w:cs="宋体"/>
          <w:sz w:val="21"/>
          <w:szCs w:val="21"/>
          <w:lang w:val="en-US" w:eastAsia="zh-CN"/>
        </w:rPr>
        <w:t>×100</w:t>
      </w:r>
      <w:r>
        <w:rPr>
          <w:rFonts w:hint="eastAsia" w:ascii="宋体" w:hAnsi="宋体" w:eastAsia="宋体" w:cs="宋体"/>
          <w:sz w:val="21"/>
          <w:szCs w:val="21"/>
          <w:lang w:val="en-US" w:eastAsia="zh-CN"/>
        </w:rPr>
        <w:t xml:space="preserve">          </w:t>
      </w:r>
      <w:r>
        <w:rPr>
          <w:rFonts w:hint="default" w:ascii="宋体" w:hAnsi="宋体" w:eastAsia="宋体" w:cs="宋体"/>
          <w:sz w:val="21"/>
          <w:szCs w:val="21"/>
          <w:lang w:val="en-US" w:eastAsia="zh-CN"/>
        </w:rPr>
        <w:t>(1)</w:t>
      </w:r>
    </w:p>
    <w:p w14:paraId="3C9E640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这是最直观的计算方法，也是忽略反应前后气体总体积变化的简化公式。其数学形式与可逆反应转化率的定义式一致。</w:t>
      </w:r>
    </w:p>
    <w:p w14:paraId="70A9415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物理意义：该公式隐含假设气体体积为恒定值，适用于反应前后</w:t>
      </w:r>
      <w:r>
        <w:rPr>
          <w:rFonts w:hint="eastAsia" w:ascii="宋体" w:hAnsi="宋体" w:eastAsia="宋体" w:cs="宋体"/>
          <w:sz w:val="21"/>
          <w:szCs w:val="21"/>
          <w:lang w:val="en-US" w:eastAsia="zh-CN"/>
        </w:rPr>
        <w:t>体积</w:t>
      </w:r>
      <w:r>
        <w:rPr>
          <w:rFonts w:hint="default" w:ascii="宋体" w:hAnsi="宋体" w:eastAsia="宋体" w:cs="宋体"/>
          <w:sz w:val="21"/>
          <w:szCs w:val="21"/>
          <w:lang w:val="en-US" w:eastAsia="zh-CN"/>
        </w:rPr>
        <w:t>不变的反应体系。对于SO₂氧化反应，该公式忽略了体积收缩，计算值将低于真实转化率。</w:t>
      </w:r>
    </w:p>
    <w:p w14:paraId="5231B58E">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2</w:t>
      </w:r>
      <w:r>
        <w:rPr>
          <w:rFonts w:hint="default" w:ascii="宋体" w:hAnsi="宋体" w:eastAsia="宋体" w:cs="宋体"/>
          <w:b/>
          <w:bCs/>
          <w:sz w:val="21"/>
          <w:szCs w:val="21"/>
          <w:lang w:val="en-US" w:eastAsia="zh-CN"/>
        </w:rPr>
        <w:t>.2方法二：考虑反应收缩但忽略SO₃吸收的计算法</w:t>
      </w:r>
    </w:p>
    <w:p w14:paraId="0069F68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推导前提：考虑反应引起的体积收缩，但假设气体分析在SO₃未被吸收的条件下进行，即出口气体中含有</w:t>
      </w:r>
      <w:r>
        <w:rPr>
          <w:rFonts w:hint="eastAsia" w:ascii="宋体" w:hAnsi="宋体" w:eastAsia="宋体" w:cs="宋体"/>
          <w:sz w:val="21"/>
          <w:szCs w:val="21"/>
          <w:lang w:val="en-US" w:eastAsia="zh-CN"/>
        </w:rPr>
        <w:t>气相</w:t>
      </w:r>
      <w:r>
        <w:rPr>
          <w:rFonts w:hint="default" w:ascii="宋体" w:hAnsi="宋体" w:eastAsia="宋体" w:cs="宋体"/>
          <w:sz w:val="21"/>
          <w:szCs w:val="21"/>
          <w:lang w:val="en-US" w:eastAsia="zh-CN"/>
        </w:rPr>
        <w:t>SO₃。</w:t>
      </w:r>
    </w:p>
    <w:p w14:paraId="35D2424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取100体积进口炉气为计算基准，其中</w:t>
      </w:r>
      <w:r>
        <w:rPr>
          <w:rFonts w:hint="eastAsia" w:ascii="宋体" w:hAnsi="宋体" w:eastAsia="宋体" w:cs="宋体"/>
          <w:sz w:val="21"/>
          <w:szCs w:val="21"/>
          <w:lang w:val="en-US" w:eastAsia="zh-CN"/>
        </w:rPr>
        <w:t>进口</w:t>
      </w:r>
      <w:r>
        <w:rPr>
          <w:rFonts w:hint="default" w:ascii="宋体" w:hAnsi="宋体" w:eastAsia="宋体" w:cs="宋体"/>
          <w:sz w:val="21"/>
          <w:szCs w:val="21"/>
          <w:lang w:val="en-US" w:eastAsia="zh-CN"/>
        </w:rPr>
        <w:t>SO₂体积为a</w:t>
      </w:r>
      <w:r>
        <w:rPr>
          <w:rFonts w:hint="eastAsia" w:ascii="宋体" w:hAnsi="宋体" w:eastAsia="宋体" w:cs="宋体"/>
          <w:sz w:val="21"/>
          <w:szCs w:val="21"/>
          <w:lang w:val="en-US" w:eastAsia="zh-CN"/>
        </w:rPr>
        <w:t>，出口</w:t>
      </w:r>
      <w:r>
        <w:rPr>
          <w:rFonts w:hint="default" w:ascii="宋体" w:hAnsi="宋体" w:eastAsia="宋体" w:cs="宋体"/>
          <w:sz w:val="21"/>
          <w:szCs w:val="21"/>
          <w:lang w:val="en-US" w:eastAsia="zh-CN"/>
        </w:rPr>
        <w:t>SO₂体积为</w:t>
      </w:r>
      <w:r>
        <w:rPr>
          <w:rFonts w:hint="eastAsia" w:ascii="宋体" w:hAnsi="宋体" w:eastAsia="宋体" w:cs="宋体"/>
          <w:sz w:val="21"/>
          <w:szCs w:val="21"/>
          <w:lang w:val="en-US" w:eastAsia="zh-CN"/>
        </w:rPr>
        <w:t>b</w:t>
      </w:r>
      <w:r>
        <w:rPr>
          <w:rFonts w:hint="default" w:ascii="宋体" w:hAnsi="宋体" w:eastAsia="宋体" w:cs="宋体"/>
          <w:sz w:val="21"/>
          <w:szCs w:val="21"/>
          <w:lang w:val="en-US" w:eastAsia="zh-CN"/>
        </w:rPr>
        <w:t>。设转化率为x，</w:t>
      </w:r>
      <w:r>
        <w:rPr>
          <w:rFonts w:hint="eastAsia" w:ascii="宋体" w:hAnsi="宋体" w:eastAsia="宋体" w:cs="宋体"/>
          <w:sz w:val="21"/>
          <w:szCs w:val="21"/>
          <w:lang w:val="en-US" w:eastAsia="zh-CN"/>
        </w:rPr>
        <w:t>则</w:t>
      </w:r>
      <w:r>
        <w:rPr>
          <w:rFonts w:hint="default" w:ascii="宋体" w:hAnsi="宋体" w:eastAsia="宋体" w:cs="宋体"/>
          <w:sz w:val="21"/>
          <w:szCs w:val="21"/>
          <w:lang w:val="en-US" w:eastAsia="zh-CN"/>
        </w:rPr>
        <w:t>反应掉的SO₂体积为ax。根据SO</w:t>
      </w:r>
      <w:r>
        <w:rPr>
          <w:rFonts w:hint="default" w:ascii="宋体" w:hAnsi="宋体" w:eastAsia="宋体" w:cs="宋体"/>
          <w:sz w:val="21"/>
          <w:szCs w:val="21"/>
          <w:vertAlign w:val="subscript"/>
          <w:lang w:val="en-US" w:eastAsia="zh-CN"/>
        </w:rPr>
        <w:t>2</w:t>
      </w:r>
      <w:r>
        <w:rPr>
          <w:rFonts w:hint="default" w:ascii="宋体" w:hAnsi="宋体" w:eastAsia="宋体" w:cs="宋体"/>
          <w:sz w:val="21"/>
          <w:szCs w:val="21"/>
          <w:lang w:val="en-US" w:eastAsia="zh-CN"/>
        </w:rPr>
        <w:t>+</w:t>
      </w:r>
      <w:r>
        <w:rPr>
          <w:rFonts w:hint="default" w:ascii="宋体" w:hAnsi="宋体" w:eastAsia="宋体" w:cs="宋体"/>
          <w:position w:val="-12"/>
          <w:sz w:val="21"/>
          <w:szCs w:val="21"/>
          <w:lang w:val="en-US" w:eastAsia="zh-CN"/>
        </w:rPr>
        <w:object>
          <v:shape id="_x0000_i1026" o:spt="75" type="#_x0000_t75" style="height:18pt;width:10pt;" o:ole="t" filled="f" o:preferrelative="t" stroked="f" coordsize="21600,21600">
            <v:path/>
            <v:fill on="f" focussize="0,0"/>
            <v:stroke on="f"/>
            <v:imagedata r:id="rId7" o:title=""/>
            <o:lock v:ext="edit" aspectratio="t"/>
            <w10:wrap type="none"/>
            <w10:anchorlock/>
          </v:shape>
          <o:OLEObject Type="Embed" ProgID="Equation.KSEE3" ShapeID="_x0000_i1026" DrawAspect="Content" ObjectID="_1468075726" r:id="rId6">
            <o:LockedField>false</o:LockedField>
          </o:OLEObject>
        </w:object>
      </w:r>
      <w:r>
        <w:rPr>
          <w:rFonts w:hint="default" w:ascii="宋体" w:hAnsi="宋体" w:eastAsia="宋体" w:cs="宋体"/>
          <w:sz w:val="21"/>
          <w:szCs w:val="21"/>
          <w:lang w:val="en-US" w:eastAsia="zh-CN"/>
        </w:rPr>
        <w:t>O</w:t>
      </w:r>
      <w:r>
        <w:rPr>
          <w:rFonts w:hint="default" w:ascii="宋体" w:hAnsi="宋体" w:eastAsia="宋体" w:cs="宋体"/>
          <w:sz w:val="21"/>
          <w:szCs w:val="21"/>
          <w:vertAlign w:val="subscript"/>
          <w:lang w:val="en-US" w:eastAsia="zh-CN"/>
        </w:rPr>
        <w:t>2</w:t>
      </w:r>
      <w:r>
        <w:rPr>
          <w:rFonts w:hint="default" w:ascii="宋体" w:hAnsi="宋体" w:eastAsia="宋体" w:cs="宋体"/>
          <w:sz w:val="21"/>
          <w:szCs w:val="21"/>
          <w:lang w:val="en-US" w:eastAsia="zh-CN"/>
        </w:rPr>
        <w:t>⇌SO</w:t>
      </w:r>
      <w:r>
        <w:rPr>
          <w:rFonts w:hint="default" w:ascii="宋体" w:hAnsi="宋体" w:eastAsia="宋体" w:cs="宋体"/>
          <w:sz w:val="21"/>
          <w:szCs w:val="21"/>
          <w:vertAlign w:val="subscript"/>
          <w:lang w:val="en-US" w:eastAsia="zh-CN"/>
        </w:rPr>
        <w:t>3</w:t>
      </w:r>
      <w:r>
        <w:rPr>
          <w:rFonts w:hint="default" w:ascii="宋体" w:hAnsi="宋体" w:eastAsia="宋体" w:cs="宋体"/>
          <w:sz w:val="21"/>
          <w:szCs w:val="21"/>
          <w:lang w:val="en-US" w:eastAsia="zh-CN"/>
        </w:rPr>
        <w:t>反应计量关系，总体积收缩量为0.5ax，反应后气体总体积（含SO₃）为：</w:t>
      </w:r>
    </w:p>
    <w:p w14:paraId="06862B5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V</w:t>
      </w:r>
      <w:r>
        <w:rPr>
          <w:rFonts w:hint="default" w:ascii="宋体" w:hAnsi="宋体" w:eastAsia="宋体" w:cs="宋体"/>
          <w:sz w:val="21"/>
          <w:szCs w:val="21"/>
          <w:vertAlign w:val="subscript"/>
          <w:lang w:val="en-US" w:eastAsia="zh-CN"/>
        </w:rPr>
        <w:t>1</w:t>
      </w:r>
      <w:r>
        <w:rPr>
          <w:rFonts w:hint="default" w:ascii="宋体" w:hAnsi="宋体" w:eastAsia="宋体" w:cs="宋体"/>
          <w:sz w:val="21"/>
          <w:szCs w:val="21"/>
          <w:lang w:val="en-US" w:eastAsia="zh-CN"/>
        </w:rPr>
        <w:t>=100−0.5</w:t>
      </w:r>
      <w:r>
        <w:rPr>
          <w:rFonts w:hint="eastAsia" w:ascii="宋体" w:hAnsi="宋体" w:eastAsia="宋体" w:cs="宋体"/>
          <w:sz w:val="21"/>
          <w:szCs w:val="21"/>
          <w:lang w:val="en-US" w:eastAsia="zh-CN"/>
        </w:rPr>
        <w:t xml:space="preserve">ax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2</w:t>
      </w:r>
      <w:r>
        <w:rPr>
          <w:rFonts w:hint="default" w:ascii="宋体" w:hAnsi="宋体" w:eastAsia="宋体" w:cs="宋体"/>
          <w:sz w:val="21"/>
          <w:szCs w:val="21"/>
          <w:lang w:val="en-US" w:eastAsia="zh-CN"/>
        </w:rPr>
        <w:t>)</w:t>
      </w:r>
    </w:p>
    <w:p w14:paraId="0E688D3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反应后气体中剩余SO₂体积为</w:t>
      </w:r>
      <w:r>
        <w:rPr>
          <w:rFonts w:hint="eastAsia" w:ascii="宋体" w:hAnsi="宋体" w:eastAsia="宋体" w:cs="宋体"/>
          <w:sz w:val="21"/>
          <w:szCs w:val="21"/>
          <w:lang w:val="en-US" w:eastAsia="zh-CN"/>
        </w:rPr>
        <w:t>b=</w:t>
      </w:r>
      <w:r>
        <w:rPr>
          <w:rFonts w:hint="default" w:ascii="宋体" w:hAnsi="宋体" w:eastAsia="宋体" w:cs="宋体"/>
          <w:sz w:val="21"/>
          <w:szCs w:val="21"/>
          <w:lang w:val="en-US" w:eastAsia="zh-CN"/>
        </w:rPr>
        <w:t>a-</w:t>
      </w:r>
      <w:r>
        <w:rPr>
          <w:rFonts w:hint="eastAsia" w:ascii="宋体" w:hAnsi="宋体" w:eastAsia="宋体" w:cs="宋体"/>
          <w:sz w:val="21"/>
          <w:szCs w:val="21"/>
          <w:lang w:val="en-US" w:eastAsia="zh-CN"/>
        </w:rPr>
        <w:t>a</w:t>
      </w:r>
      <w:r>
        <w:rPr>
          <w:rFonts w:hint="default" w:ascii="宋体" w:hAnsi="宋体" w:eastAsia="宋体" w:cs="宋体"/>
          <w:sz w:val="21"/>
          <w:szCs w:val="21"/>
          <w:lang w:val="en-US" w:eastAsia="zh-CN"/>
        </w:rPr>
        <w:t>x</w:t>
      </w:r>
      <w:r>
        <w:rPr>
          <w:rFonts w:hint="eastAsia" w:ascii="宋体" w:hAnsi="宋体" w:eastAsia="宋体" w:cs="宋体"/>
          <w:sz w:val="21"/>
          <w:szCs w:val="21"/>
          <w:lang w:val="en-US" w:eastAsia="zh-CN"/>
        </w:rPr>
        <w:t>=a(1-x)</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则</w:t>
      </w:r>
      <w:r>
        <w:rPr>
          <w:rFonts w:hint="default" w:ascii="宋体" w:hAnsi="宋体" w:eastAsia="宋体" w:cs="宋体"/>
          <w:sz w:val="21"/>
          <w:szCs w:val="21"/>
          <w:lang w:val="en-US" w:eastAsia="zh-CN"/>
        </w:rPr>
        <w:t>此时气体中的SO₂浓度</w:t>
      </w:r>
      <w:r>
        <w:rPr>
          <w:rFonts w:hint="eastAsia" w:ascii="宋体" w:hAnsi="宋体" w:eastAsia="宋体" w:cs="宋体"/>
          <w:sz w:val="21"/>
          <w:szCs w:val="21"/>
          <w:lang w:val="en-US" w:eastAsia="zh-CN"/>
        </w:rPr>
        <w:t>b</w:t>
      </w:r>
      <w:r>
        <w:rPr>
          <w:rFonts w:hint="default" w:ascii="宋体" w:hAnsi="宋体" w:eastAsia="宋体" w:cs="宋体"/>
          <w:sz w:val="21"/>
          <w:szCs w:val="21"/>
          <w:lang w:val="en-US" w:eastAsia="zh-CN"/>
        </w:rPr>
        <w:t>（即气体中仍含SO₃）应为：</w:t>
      </w:r>
    </w:p>
    <w:p w14:paraId="780634DE">
      <w:pPr>
        <w:keepNext w:val="0"/>
        <w:keepLines w:val="0"/>
        <w:pageBreakBefore w:val="0"/>
        <w:kinsoku/>
        <w:wordWrap/>
        <w:overflowPunct/>
        <w:topLinePunct w:val="0"/>
        <w:autoSpaceDE/>
        <w:autoSpaceDN/>
        <w:bidi w:val="0"/>
        <w:adjustRightInd/>
        <w:snapToGrid/>
        <w:spacing w:line="25" w:lineRule="atLeast"/>
        <w:ind w:firstLine="420" w:firstLineChars="20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b=</w:t>
      </w:r>
      <w:r>
        <w:rPr>
          <w:rFonts w:hint="eastAsia" w:ascii="宋体" w:hAnsi="宋体" w:eastAsia="宋体" w:cs="宋体"/>
          <w:position w:val="-12"/>
          <w:sz w:val="21"/>
          <w:szCs w:val="21"/>
          <w:lang w:val="en-US" w:eastAsia="zh-CN"/>
        </w:rPr>
        <w:object>
          <v:shape id="_x0000_i1027" o:spt="75" type="#_x0000_t75" style="height:18pt;width:36pt;" o:ole="t" filled="f" o:preferrelative="t" stroked="f" coordsize="21600,21600">
            <v:path/>
            <v:fill on="f" focussize="0,0"/>
            <v:stroke on="f"/>
            <v:imagedata r:id="rId9" o:title=""/>
            <o:lock v:ext="edit" aspectratio="t"/>
            <w10:wrap type="none"/>
            <w10:anchorlock/>
          </v:shape>
          <o:OLEObject Type="Embed" ProgID="Equation.KSEE3" ShapeID="_x0000_i1027" DrawAspect="Content" ObjectID="_1468075727" r:id="rId8">
            <o:LockedField>false</o:LockedField>
          </o:OLEObject>
        </w:object>
      </w:r>
      <w:r>
        <w:rPr>
          <w:rFonts w:hint="default" w:ascii="宋体" w:hAnsi="宋体" w:eastAsia="宋体" w:cs="宋体"/>
          <w:sz w:val="21"/>
          <w:szCs w:val="21"/>
          <w:lang w:val="en-US" w:eastAsia="zh-CN"/>
        </w:rPr>
        <w:t>×100</w:t>
      </w:r>
      <w:r>
        <w:rPr>
          <w:rFonts w:hint="eastAsia" w:ascii="宋体" w:hAnsi="宋体" w:eastAsia="宋体" w:cs="宋体"/>
          <w:sz w:val="21"/>
          <w:szCs w:val="21"/>
          <w:lang w:val="en-US" w:eastAsia="zh-CN"/>
        </w:rPr>
        <w:t xml:space="preserve">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3</w:t>
      </w:r>
      <w:r>
        <w:rPr>
          <w:rFonts w:hint="default" w:ascii="宋体" w:hAnsi="宋体" w:eastAsia="宋体" w:cs="宋体"/>
          <w:sz w:val="21"/>
          <w:szCs w:val="21"/>
          <w:lang w:val="en-US" w:eastAsia="zh-CN"/>
        </w:rPr>
        <w:t>)</w:t>
      </w:r>
    </w:p>
    <w:p w14:paraId="349C10A6">
      <w:pPr>
        <w:keepNext w:val="0"/>
        <w:keepLines w:val="0"/>
        <w:pageBreakBefore w:val="0"/>
        <w:kinsoku/>
        <w:wordWrap/>
        <w:overflowPunct/>
        <w:topLinePunct w:val="0"/>
        <w:autoSpaceDE/>
        <w:autoSpaceDN/>
        <w:bidi w:val="0"/>
        <w:adjustRightInd/>
        <w:snapToGrid/>
        <w:spacing w:line="25" w:lineRule="atLeas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整理(</w:t>
      </w:r>
      <w:r>
        <w:rPr>
          <w:rFonts w:hint="eastAsia" w:ascii="宋体" w:hAnsi="宋体" w:eastAsia="宋体" w:cs="宋体"/>
          <w:sz w:val="21"/>
          <w:szCs w:val="21"/>
          <w:lang w:val="en-US" w:eastAsia="zh-CN"/>
        </w:rPr>
        <w:t>3</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式</w:t>
      </w:r>
      <w:r>
        <w:rPr>
          <w:rFonts w:hint="default" w:ascii="宋体" w:hAnsi="宋体" w:eastAsia="宋体" w:cs="宋体"/>
          <w:sz w:val="21"/>
          <w:szCs w:val="21"/>
          <w:lang w:val="en-US" w:eastAsia="zh-CN"/>
        </w:rPr>
        <w:t>得：</w:t>
      </w:r>
    </w:p>
    <w:p w14:paraId="1421E07F">
      <w:pPr>
        <w:keepNext w:val="0"/>
        <w:keepLines w:val="0"/>
        <w:pageBreakBefore w:val="0"/>
        <w:kinsoku/>
        <w:wordWrap/>
        <w:overflowPunct/>
        <w:topLinePunct w:val="0"/>
        <w:autoSpaceDE/>
        <w:autoSpaceDN/>
        <w:bidi w:val="0"/>
        <w:adjustRightInd/>
        <w:snapToGrid/>
        <w:spacing w:line="25" w:lineRule="atLeast"/>
        <w:ind w:firstLine="420" w:firstLineChars="20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X=</w:t>
      </w:r>
      <w:r>
        <w:rPr>
          <w:rFonts w:hint="eastAsia" w:ascii="宋体" w:hAnsi="宋体" w:eastAsia="宋体" w:cs="宋体"/>
          <w:position w:val="-14"/>
          <w:sz w:val="21"/>
          <w:szCs w:val="21"/>
          <w:lang w:val="en-US" w:eastAsia="zh-CN"/>
        </w:rPr>
        <w:object>
          <v:shape id="_x0000_i1028" o:spt="75" type="#_x0000_t75" style="height:19pt;width:42pt;" o:ole="t" filled="f" o:preferrelative="t" stroked="f" coordsize="21600,21600">
            <v:path/>
            <v:fill on="f" focussize="0,0"/>
            <v:stroke on="f"/>
            <v:imagedata r:id="rId11" o:title=""/>
            <o:lock v:ext="edit" aspectratio="t"/>
            <w10:wrap type="none"/>
            <w10:anchorlock/>
          </v:shape>
          <o:OLEObject Type="Embed" ProgID="Equation.KSEE3" ShapeID="_x0000_i1028" DrawAspect="Content" ObjectID="_1468075728" r:id="rId10">
            <o:LockedField>false</o:LockedField>
          </o:OLEObject>
        </w:object>
      </w:r>
      <w:r>
        <w:rPr>
          <w:rFonts w:hint="default" w:ascii="宋体" w:hAnsi="宋体" w:eastAsia="宋体" w:cs="宋体"/>
          <w:sz w:val="21"/>
          <w:szCs w:val="21"/>
          <w:lang w:val="en-US" w:eastAsia="zh-CN"/>
        </w:rPr>
        <w:t>×100</w:t>
      </w:r>
      <w:r>
        <w:rPr>
          <w:rFonts w:hint="eastAsia" w:ascii="宋体" w:hAnsi="宋体" w:eastAsia="宋体" w:cs="宋体"/>
          <w:sz w:val="21"/>
          <w:szCs w:val="21"/>
          <w:lang w:val="en-US" w:eastAsia="zh-CN"/>
        </w:rPr>
        <w:t xml:space="preserve">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4</w:t>
      </w:r>
      <w:r>
        <w:rPr>
          <w:rFonts w:hint="default" w:ascii="宋体" w:hAnsi="宋体" w:eastAsia="宋体" w:cs="宋体"/>
          <w:sz w:val="21"/>
          <w:szCs w:val="21"/>
          <w:lang w:val="en-US" w:eastAsia="zh-CN"/>
        </w:rPr>
        <w:t>)</w:t>
      </w:r>
    </w:p>
    <w:p w14:paraId="7CDE751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物理意义：该公式仅考虑了反应过程的</w:t>
      </w:r>
      <w:r>
        <w:rPr>
          <w:rFonts w:hint="eastAsia" w:ascii="宋体" w:hAnsi="宋体" w:eastAsia="宋体" w:cs="宋体"/>
          <w:sz w:val="21"/>
          <w:szCs w:val="21"/>
          <w:lang w:val="en-US" w:eastAsia="zh-CN"/>
        </w:rPr>
        <w:t>氧气消耗的</w:t>
      </w:r>
      <w:r>
        <w:rPr>
          <w:rFonts w:hint="default" w:ascii="宋体" w:hAnsi="宋体" w:eastAsia="宋体" w:cs="宋体"/>
          <w:sz w:val="21"/>
          <w:szCs w:val="21"/>
          <w:lang w:val="en-US" w:eastAsia="zh-CN"/>
        </w:rPr>
        <w:t>体积收缩，系数0.005来源于收缩系数0.5与分母100的比值。若实际分析流程确实是在含SO₃的气体中测定SO₂浓度，该公式是准确的。</w:t>
      </w:r>
    </w:p>
    <w:p w14:paraId="282CF05E">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default" w:ascii="宋体" w:hAnsi="宋体" w:eastAsia="宋体" w:cs="宋体"/>
          <w:sz w:val="21"/>
          <w:szCs w:val="21"/>
          <w:lang w:val="en-US" w:eastAsia="zh-CN"/>
        </w:rPr>
        <w:t>.3方法三：考虑反应收缩与SO₃吸收的工程计算法</w:t>
      </w:r>
    </w:p>
    <w:p w14:paraId="0578D87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推导前提：全面模拟工业分析流程，即反应后气体经吸收</w:t>
      </w:r>
      <w:r>
        <w:rPr>
          <w:rFonts w:hint="eastAsia" w:ascii="宋体" w:hAnsi="宋体" w:eastAsia="宋体" w:cs="宋体"/>
          <w:sz w:val="21"/>
          <w:szCs w:val="21"/>
          <w:lang w:val="en-US" w:eastAsia="zh-CN"/>
        </w:rPr>
        <w:t>液</w:t>
      </w:r>
      <w:r>
        <w:rPr>
          <w:rFonts w:hint="default" w:ascii="宋体" w:hAnsi="宋体" w:eastAsia="宋体" w:cs="宋体"/>
          <w:sz w:val="21"/>
          <w:szCs w:val="21"/>
          <w:lang w:val="en-US" w:eastAsia="zh-CN"/>
        </w:rPr>
        <w:t>除去SO₃，再分析剩余气体中的SO₂浓度。</w:t>
      </w:r>
    </w:p>
    <w:p w14:paraId="14FEAD9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仍取100体积进口炉气为基准。反应后（含SO₃）气体体积为V₁=100-0.5ax。将反应后气体通过吸收</w:t>
      </w:r>
      <w:r>
        <w:rPr>
          <w:rFonts w:hint="eastAsia" w:ascii="宋体" w:hAnsi="宋体" w:eastAsia="宋体" w:cs="宋体"/>
          <w:sz w:val="21"/>
          <w:szCs w:val="21"/>
          <w:lang w:val="en-US" w:eastAsia="zh-CN"/>
        </w:rPr>
        <w:t>液</w:t>
      </w:r>
      <w:r>
        <w:rPr>
          <w:rFonts w:hint="default" w:ascii="宋体" w:hAnsi="宋体" w:eastAsia="宋体" w:cs="宋体"/>
          <w:sz w:val="21"/>
          <w:szCs w:val="21"/>
          <w:lang w:val="en-US" w:eastAsia="zh-CN"/>
        </w:rPr>
        <w:t>，SO₃被完全吸收，体积减少量等于生成的SO₃体积ax。因此，吸收后气体总体积为：</w:t>
      </w:r>
    </w:p>
    <w:p w14:paraId="199FE54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V</w:t>
      </w:r>
      <w:r>
        <w:rPr>
          <w:rFonts w:hint="eastAsia" w:ascii="宋体" w:hAnsi="宋体" w:eastAsia="宋体" w:cs="宋体"/>
          <w:sz w:val="21"/>
          <w:szCs w:val="21"/>
          <w:vertAlign w:val="subscript"/>
          <w:lang w:val="en-US" w:eastAsia="zh-CN"/>
        </w:rPr>
        <w:t>2</w:t>
      </w:r>
      <w:r>
        <w:rPr>
          <w:rFonts w:hint="default" w:ascii="宋体" w:hAnsi="宋体" w:eastAsia="宋体" w:cs="宋体"/>
          <w:sz w:val="21"/>
          <w:szCs w:val="21"/>
          <w:lang w:val="en-US" w:eastAsia="zh-CN"/>
        </w:rPr>
        <w:t>=100−0.5</w:t>
      </w:r>
      <w:r>
        <w:rPr>
          <w:rFonts w:hint="eastAsia" w:ascii="宋体" w:hAnsi="宋体" w:eastAsia="宋体" w:cs="宋体"/>
          <w:sz w:val="21"/>
          <w:szCs w:val="21"/>
          <w:lang w:val="en-US" w:eastAsia="zh-CN"/>
        </w:rPr>
        <w:t xml:space="preserve">ax-ax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5</w:t>
      </w:r>
      <w:r>
        <w:rPr>
          <w:rFonts w:hint="default" w:ascii="宋体" w:hAnsi="宋体" w:eastAsia="宋体" w:cs="宋体"/>
          <w:sz w:val="21"/>
          <w:szCs w:val="21"/>
          <w:lang w:val="en-US" w:eastAsia="zh-CN"/>
        </w:rPr>
        <w:t>)</w:t>
      </w:r>
    </w:p>
    <w:p w14:paraId="40D3BA5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整理(</w:t>
      </w:r>
      <w:r>
        <w:rPr>
          <w:rFonts w:hint="eastAsia" w:ascii="宋体" w:hAnsi="宋体" w:eastAsia="宋体" w:cs="宋体"/>
          <w:sz w:val="21"/>
          <w:szCs w:val="21"/>
          <w:lang w:val="en-US" w:eastAsia="zh-CN"/>
        </w:rPr>
        <w:t>5</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式</w:t>
      </w:r>
      <w:r>
        <w:rPr>
          <w:rFonts w:hint="default" w:ascii="宋体" w:hAnsi="宋体" w:eastAsia="宋体" w:cs="宋体"/>
          <w:sz w:val="21"/>
          <w:szCs w:val="21"/>
          <w:lang w:val="en-US" w:eastAsia="zh-CN"/>
        </w:rPr>
        <w:t>得：</w:t>
      </w:r>
    </w:p>
    <w:p w14:paraId="19B2CC3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V</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lang w:val="en-US" w:eastAsia="zh-CN"/>
        </w:rPr>
        <w:t xml:space="preserve">=100-1.5ax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6</w:t>
      </w:r>
      <w:r>
        <w:rPr>
          <w:rFonts w:hint="default" w:ascii="宋体" w:hAnsi="宋体" w:eastAsia="宋体" w:cs="宋体"/>
          <w:sz w:val="21"/>
          <w:szCs w:val="21"/>
          <w:lang w:val="en-US" w:eastAsia="zh-CN"/>
        </w:rPr>
        <w:t>)</w:t>
      </w:r>
    </w:p>
    <w:p w14:paraId="7B0ABC5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吸收后气体中仅含SO₂、O₂和N₂，其中SO₂体积为a(1-x)。此时分析得到的SO₂浓度b为：</w:t>
      </w:r>
    </w:p>
    <w:p w14:paraId="4ABF6E82">
      <w:pPr>
        <w:keepNext w:val="0"/>
        <w:keepLines w:val="0"/>
        <w:pageBreakBefore w:val="0"/>
        <w:kinsoku/>
        <w:wordWrap/>
        <w:overflowPunct/>
        <w:topLinePunct w:val="0"/>
        <w:autoSpaceDE/>
        <w:autoSpaceDN/>
        <w:bidi w:val="0"/>
        <w:adjustRightInd/>
        <w:snapToGrid/>
        <w:spacing w:line="25" w:lineRule="atLeast"/>
        <w:ind w:firstLine="420" w:firstLineChars="20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b=</w:t>
      </w:r>
      <w:r>
        <w:rPr>
          <w:rFonts w:hint="eastAsia" w:ascii="宋体" w:hAnsi="宋体" w:eastAsia="宋体" w:cs="宋体"/>
          <w:position w:val="-12"/>
          <w:sz w:val="21"/>
          <w:szCs w:val="21"/>
          <w:lang w:val="en-US" w:eastAsia="zh-CN"/>
        </w:rPr>
        <w:object>
          <v:shape id="_x0000_i1029" o:spt="75" type="#_x0000_t75" style="height:18pt;width:40pt;" o:ole="t" filled="f" o:preferrelative="t" stroked="f" coordsize="21600,21600">
            <v:path/>
            <v:fill on="f" focussize="0,0"/>
            <v:stroke on="f"/>
            <v:imagedata r:id="rId13" o:title=""/>
            <o:lock v:ext="edit" aspectratio="t"/>
            <w10:wrap type="none"/>
            <w10:anchorlock/>
          </v:shape>
          <o:OLEObject Type="Embed" ProgID="Equation.KSEE3" ShapeID="_x0000_i1029" DrawAspect="Content" ObjectID="_1468075729" r:id="rId12">
            <o:LockedField>false</o:LockedField>
          </o:OLEObject>
        </w:object>
      </w:r>
      <w:r>
        <w:rPr>
          <w:rFonts w:hint="default" w:ascii="宋体" w:hAnsi="宋体" w:eastAsia="宋体" w:cs="宋体"/>
          <w:sz w:val="21"/>
          <w:szCs w:val="21"/>
          <w:lang w:val="en-US" w:eastAsia="zh-CN"/>
        </w:rPr>
        <w:t>×100</w:t>
      </w:r>
      <w:r>
        <w:rPr>
          <w:rFonts w:hint="eastAsia" w:ascii="宋体" w:hAnsi="宋体" w:eastAsia="宋体" w:cs="宋体"/>
          <w:sz w:val="21"/>
          <w:szCs w:val="21"/>
          <w:lang w:val="en-US" w:eastAsia="zh-CN"/>
        </w:rPr>
        <w:t xml:space="preserve">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7</w:t>
      </w:r>
      <w:r>
        <w:rPr>
          <w:rFonts w:hint="default" w:ascii="宋体" w:hAnsi="宋体" w:eastAsia="宋体" w:cs="宋体"/>
          <w:sz w:val="21"/>
          <w:szCs w:val="21"/>
          <w:lang w:val="en-US" w:eastAsia="zh-CN"/>
        </w:rPr>
        <w:t>)</w:t>
      </w:r>
    </w:p>
    <w:p w14:paraId="4F454C99">
      <w:pPr>
        <w:pStyle w:val="13"/>
        <w:keepNext w:val="0"/>
        <w:keepLines w:val="0"/>
        <w:widowControl/>
        <w:suppressLineNumbers w:val="0"/>
        <w:spacing w:before="160" w:beforeAutospacing="0" w:after="160" w:afterAutospacing="0"/>
        <w:ind w:left="0" w:right="0"/>
      </w:pPr>
      <w:r>
        <w:t>整理</w:t>
      </w:r>
      <w:r>
        <w:rPr>
          <w:rFonts w:hint="default" w:ascii="宋体" w:hAnsi="宋体" w:eastAsia="宋体" w:cs="宋体"/>
          <w:sz w:val="21"/>
          <w:szCs w:val="21"/>
          <w:lang w:val="en-US" w:eastAsia="zh-CN"/>
        </w:rPr>
        <w:t>(</w:t>
      </w:r>
      <w:r>
        <w:rPr>
          <w:rFonts w:hint="eastAsia" w:eastAsia="宋体" w:cs="宋体"/>
          <w:sz w:val="21"/>
          <w:szCs w:val="21"/>
          <w:lang w:val="en-US" w:eastAsia="zh-CN"/>
        </w:rPr>
        <w:t>7</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式</w:t>
      </w:r>
      <w:r>
        <w:rPr>
          <w:rFonts w:hint="default" w:ascii="宋体" w:hAnsi="宋体" w:eastAsia="宋体" w:cs="宋体"/>
          <w:sz w:val="21"/>
          <w:szCs w:val="21"/>
          <w:lang w:val="en-US" w:eastAsia="zh-CN"/>
        </w:rPr>
        <w:t>得</w:t>
      </w:r>
      <w:r>
        <w:t>：</w:t>
      </w:r>
    </w:p>
    <w:p w14:paraId="19165B52">
      <w:pPr>
        <w:keepNext w:val="0"/>
        <w:keepLines w:val="0"/>
        <w:pageBreakBefore w:val="0"/>
        <w:kinsoku/>
        <w:wordWrap/>
        <w:overflowPunct/>
        <w:topLinePunct w:val="0"/>
        <w:autoSpaceDE/>
        <w:autoSpaceDN/>
        <w:bidi w:val="0"/>
        <w:adjustRightInd/>
        <w:snapToGrid/>
        <w:spacing w:line="25" w:lineRule="atLeast"/>
        <w:ind w:firstLine="420" w:firstLineChars="20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X=</w:t>
      </w:r>
      <w:r>
        <w:rPr>
          <w:rFonts w:hint="eastAsia" w:ascii="宋体" w:hAnsi="宋体" w:eastAsia="宋体" w:cs="宋体"/>
          <w:position w:val="-14"/>
          <w:sz w:val="21"/>
          <w:szCs w:val="21"/>
          <w:lang w:val="en-US" w:eastAsia="zh-CN"/>
        </w:rPr>
        <w:object>
          <v:shape id="_x0000_i1030" o:spt="75" type="#_x0000_t75" style="height:19pt;width:42pt;" o:ole="t" filled="f" o:preferrelative="t" stroked="f" coordsize="21600,21600">
            <v:path/>
            <v:fill on="f" focussize="0,0"/>
            <v:stroke on="f"/>
            <v:imagedata r:id="rId15" o:title=""/>
            <o:lock v:ext="edit" aspectratio="t"/>
            <w10:wrap type="none"/>
            <w10:anchorlock/>
          </v:shape>
          <o:OLEObject Type="Embed" ProgID="Equation.KSEE3" ShapeID="_x0000_i1030" DrawAspect="Content" ObjectID="_1468075730" r:id="rId14">
            <o:LockedField>false</o:LockedField>
          </o:OLEObject>
        </w:object>
      </w:r>
      <w:r>
        <w:rPr>
          <w:rFonts w:hint="default" w:ascii="宋体" w:hAnsi="宋体" w:eastAsia="宋体" w:cs="宋体"/>
          <w:sz w:val="21"/>
          <w:szCs w:val="21"/>
          <w:lang w:val="en-US" w:eastAsia="zh-CN"/>
        </w:rPr>
        <w:t>×100</w:t>
      </w:r>
      <w:r>
        <w:rPr>
          <w:rFonts w:hint="eastAsia" w:ascii="宋体" w:hAnsi="宋体" w:eastAsia="宋体" w:cs="宋体"/>
          <w:sz w:val="21"/>
          <w:szCs w:val="21"/>
          <w:lang w:val="en-US" w:eastAsia="zh-CN"/>
        </w:rPr>
        <w:t xml:space="preserve">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8</w:t>
      </w:r>
      <w:r>
        <w:rPr>
          <w:rFonts w:hint="default" w:ascii="宋体" w:hAnsi="宋体" w:eastAsia="宋体" w:cs="宋体"/>
          <w:sz w:val="21"/>
          <w:szCs w:val="21"/>
          <w:lang w:val="en-US" w:eastAsia="zh-CN"/>
        </w:rPr>
        <w:t>)</w:t>
      </w:r>
    </w:p>
    <w:p w14:paraId="2E8E599E">
      <w:pPr>
        <w:ind w:firstLine="359" w:firstLineChars="171"/>
        <w:jc w:val="left"/>
        <w:rPr>
          <w:rFonts w:hint="default" w:ascii="宋体" w:hAnsi="宋体" w:eastAsia="宋体" w:cs="宋体"/>
          <w:sz w:val="21"/>
          <w:szCs w:val="21"/>
        </w:rPr>
      </w:pPr>
      <w:r>
        <w:rPr>
          <w:rFonts w:hint="default" w:ascii="宋体" w:hAnsi="宋体" w:eastAsia="宋体" w:cs="宋体"/>
          <w:sz w:val="21"/>
          <w:szCs w:val="21"/>
        </w:rPr>
        <w:t>物理意义：该公式完整模拟了工业分析全过程。系数0.015由两部分叠加而成：反应收缩贡献0.005，SO₃吸收贡献0.01，两者之和为0.015。这正是硫酸工业经典转化率公式的来源。该公式已在硫酸生产中得到广泛应用，并被</w:t>
      </w:r>
      <w:r>
        <w:rPr>
          <w:rFonts w:hint="eastAsia" w:ascii="宋体" w:hAnsi="宋体" w:eastAsia="宋体" w:cs="宋体"/>
          <w:sz w:val="21"/>
          <w:szCs w:val="21"/>
          <w:lang w:val="en-US" w:eastAsia="zh-CN"/>
        </w:rPr>
        <w:t>认为是比较准确且反映实际生产情况的计算公式</w:t>
      </w:r>
      <w:r>
        <w:rPr>
          <w:rFonts w:hint="default" w:ascii="宋体" w:hAnsi="宋体" w:eastAsia="宋体" w:cs="宋体"/>
          <w:sz w:val="21"/>
          <w:szCs w:val="21"/>
        </w:rPr>
        <w:t>。</w:t>
      </w:r>
    </w:p>
    <w:p w14:paraId="2649B9C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3</w:t>
      </w:r>
      <w:r>
        <w:rPr>
          <w:rFonts w:hint="default" w:ascii="宋体" w:hAnsi="宋体" w:eastAsia="宋体" w:cs="宋体"/>
          <w:b/>
          <w:bCs/>
          <w:sz w:val="21"/>
          <w:szCs w:val="21"/>
          <w:lang w:val="en-US" w:eastAsia="zh-CN"/>
        </w:rPr>
        <w:t>三种计算方法的对比分析</w:t>
      </w:r>
    </w:p>
    <w:p w14:paraId="58463D8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w:t>
      </w:r>
      <w:r>
        <w:rPr>
          <w:rFonts w:hint="default" w:ascii="宋体" w:hAnsi="宋体" w:eastAsia="宋体" w:cs="宋体"/>
          <w:b/>
          <w:bCs/>
          <w:sz w:val="21"/>
          <w:szCs w:val="21"/>
          <w:lang w:val="en-US" w:eastAsia="zh-CN"/>
        </w:rPr>
        <w:t>.1数学特征比较</w:t>
      </w:r>
    </w:p>
    <w:p w14:paraId="19D5E1B1">
      <w:pPr>
        <w:ind w:firstLine="359" w:firstLineChars="171"/>
        <w:jc w:val="left"/>
        <w:rPr>
          <w:rFonts w:hint="default" w:ascii="宋体" w:hAnsi="宋体" w:eastAsia="宋体" w:cs="宋体"/>
          <w:sz w:val="21"/>
          <w:szCs w:val="21"/>
        </w:rPr>
      </w:pPr>
      <w:r>
        <w:rPr>
          <w:rFonts w:hint="default" w:ascii="宋体" w:hAnsi="宋体" w:eastAsia="宋体" w:cs="宋体"/>
          <w:sz w:val="21"/>
          <w:szCs w:val="21"/>
        </w:rPr>
        <w:t>将三种公式统一表示为：</w:t>
      </w:r>
    </w:p>
    <w:p w14:paraId="4C53E167">
      <w:pPr>
        <w:ind w:firstLine="359" w:firstLineChars="171"/>
        <w:jc w:val="left"/>
        <w:rPr>
          <w:rFonts w:hint="default" w:ascii="宋体" w:hAnsi="宋体" w:eastAsia="宋体" w:cs="宋体"/>
          <w:sz w:val="21"/>
          <w:szCs w:val="21"/>
        </w:rPr>
      </w:pPr>
      <w:r>
        <w:rPr>
          <w:rFonts w:hint="default" w:ascii="宋体" w:hAnsi="宋体" w:eastAsia="宋体" w:cs="宋体"/>
          <w:sz w:val="21"/>
          <w:szCs w:val="21"/>
        </w:rPr>
        <w:t>方法一：</w:t>
      </w:r>
      <w:r>
        <w:rPr>
          <w:rFonts w:hint="default" w:ascii="宋体" w:hAnsi="宋体" w:eastAsia="宋体" w:cs="宋体"/>
          <w:sz w:val="21"/>
          <w:szCs w:val="21"/>
          <w:lang w:val="en-US" w:eastAsia="zh-CN"/>
        </w:rPr>
        <w:t>X</w:t>
      </w:r>
      <w:r>
        <w:rPr>
          <w:rFonts w:hint="eastAsia" w:ascii="宋体" w:hAnsi="宋体" w:eastAsia="宋体" w:cs="宋体"/>
          <w:sz w:val="21"/>
          <w:szCs w:val="21"/>
          <w:vertAlign w:val="subscript"/>
          <w:lang w:val="en-US" w:eastAsia="zh-CN"/>
        </w:rPr>
        <w:t>1</w:t>
      </w:r>
      <w:r>
        <w:rPr>
          <w:rFonts w:hint="default" w:ascii="宋体" w:hAnsi="宋体" w:eastAsia="宋体" w:cs="宋体"/>
          <w:sz w:val="21"/>
          <w:szCs w:val="21"/>
          <w:lang w:val="en-US" w:eastAsia="zh-CN"/>
        </w:rPr>
        <w:t>=</w:t>
      </w:r>
      <w:r>
        <w:rPr>
          <w:rFonts w:hint="default" w:ascii="宋体" w:hAnsi="宋体" w:eastAsia="宋体" w:cs="宋体"/>
          <w:position w:val="-12"/>
          <w:sz w:val="21"/>
          <w:szCs w:val="21"/>
          <w:lang w:val="en-US" w:eastAsia="zh-CN"/>
        </w:rPr>
        <w:object>
          <v:shape id="_x0000_i1031" o:spt="75" type="#_x0000_t75" style="height:18pt;width:18pt;" o:ole="t" filled="f" o:preferrelative="t" stroked="f" coordsize="21600,21600">
            <v:path/>
            <v:fill on="f" focussize="0,0"/>
            <v:stroke on="f"/>
            <v:imagedata r:id="rId5" o:title=""/>
            <o:lock v:ext="edit" aspectratio="t"/>
            <w10:wrap type="none"/>
            <w10:anchorlock/>
          </v:shape>
          <o:OLEObject Type="Embed" ProgID="Equation.KSEE3" ShapeID="_x0000_i1031" DrawAspect="Content" ObjectID="_1468075731" r:id="rId16">
            <o:LockedField>false</o:LockedField>
          </o:OLEObject>
        </w:object>
      </w:r>
      <w:r>
        <w:rPr>
          <w:rFonts w:hint="default" w:ascii="宋体" w:hAnsi="宋体" w:eastAsia="宋体" w:cs="宋体"/>
          <w:sz w:val="21"/>
          <w:szCs w:val="21"/>
          <w:lang w:val="en-US" w:eastAsia="zh-CN"/>
        </w:rPr>
        <w:t>×100</w:t>
      </w:r>
      <w:r>
        <w:rPr>
          <w:rFonts w:hint="eastAsia" w:ascii="宋体" w:hAnsi="宋体" w:eastAsia="宋体" w:cs="宋体"/>
          <w:sz w:val="21"/>
          <w:szCs w:val="21"/>
          <w:lang w:val="en-US" w:eastAsia="zh-CN"/>
        </w:rPr>
        <w:t xml:space="preserve">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9</w:t>
      </w:r>
      <w:r>
        <w:rPr>
          <w:rFonts w:hint="default" w:ascii="宋体" w:hAnsi="宋体" w:eastAsia="宋体" w:cs="宋体"/>
          <w:sz w:val="21"/>
          <w:szCs w:val="21"/>
          <w:lang w:val="en-US" w:eastAsia="zh-CN"/>
        </w:rPr>
        <w:t>)</w:t>
      </w:r>
    </w:p>
    <w:p w14:paraId="02065A56">
      <w:pPr>
        <w:ind w:firstLine="359" w:firstLineChars="171"/>
        <w:jc w:val="left"/>
        <w:rPr>
          <w:rFonts w:hint="default" w:ascii="宋体" w:hAnsi="宋体" w:eastAsia="宋体" w:cs="宋体"/>
          <w:sz w:val="21"/>
          <w:szCs w:val="21"/>
        </w:rPr>
      </w:pPr>
      <w:r>
        <w:rPr>
          <w:rFonts w:hint="default" w:ascii="宋体" w:hAnsi="宋体" w:eastAsia="宋体" w:cs="宋体"/>
          <w:sz w:val="21"/>
          <w:szCs w:val="21"/>
        </w:rPr>
        <w:t>方法二：</w:t>
      </w:r>
      <w:r>
        <w:rPr>
          <w:rFonts w:hint="eastAsia" w:ascii="宋体" w:hAnsi="宋体" w:eastAsia="宋体" w:cs="宋体"/>
          <w:sz w:val="21"/>
          <w:szCs w:val="21"/>
          <w:lang w:val="en-US" w:eastAsia="zh-CN"/>
        </w:rPr>
        <w:t>X</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lang w:val="en-US" w:eastAsia="zh-CN"/>
        </w:rPr>
        <w:t>=</w:t>
      </w:r>
      <w:r>
        <w:rPr>
          <w:rFonts w:hint="eastAsia" w:ascii="宋体" w:hAnsi="宋体" w:eastAsia="宋体" w:cs="宋体"/>
          <w:position w:val="-14"/>
          <w:sz w:val="21"/>
          <w:szCs w:val="21"/>
          <w:lang w:val="en-US" w:eastAsia="zh-CN"/>
        </w:rPr>
        <w:object>
          <v:shape id="_x0000_i1032" o:spt="75" type="#_x0000_t75" style="height:19pt;width:42pt;" o:ole="t" filled="f" o:preferrelative="t" stroked="f" coordsize="21600,21600">
            <v:path/>
            <v:fill on="f" focussize="0,0"/>
            <v:stroke on="f"/>
            <v:imagedata r:id="rId11" o:title=""/>
            <o:lock v:ext="edit" aspectratio="t"/>
            <w10:wrap type="none"/>
            <w10:anchorlock/>
          </v:shape>
          <o:OLEObject Type="Embed" ProgID="Equation.KSEE3" ShapeID="_x0000_i1032" DrawAspect="Content" ObjectID="_1468075732" r:id="rId17">
            <o:LockedField>false</o:LockedField>
          </o:OLEObject>
        </w:object>
      </w:r>
      <w:r>
        <w:rPr>
          <w:rFonts w:hint="default" w:ascii="宋体" w:hAnsi="宋体" w:eastAsia="宋体" w:cs="宋体"/>
          <w:sz w:val="21"/>
          <w:szCs w:val="21"/>
          <w:lang w:val="en-US" w:eastAsia="zh-CN"/>
        </w:rPr>
        <w:t>×100</w:t>
      </w:r>
      <w:r>
        <w:rPr>
          <w:rFonts w:hint="eastAsia" w:ascii="宋体" w:hAnsi="宋体" w:eastAsia="宋体" w:cs="宋体"/>
          <w:sz w:val="21"/>
          <w:szCs w:val="21"/>
          <w:lang w:val="en-US" w:eastAsia="zh-CN"/>
        </w:rPr>
        <w:t xml:space="preserve">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10</w:t>
      </w:r>
      <w:r>
        <w:rPr>
          <w:rFonts w:hint="default" w:ascii="宋体" w:hAnsi="宋体" w:eastAsia="宋体" w:cs="宋体"/>
          <w:sz w:val="21"/>
          <w:szCs w:val="21"/>
          <w:lang w:val="en-US" w:eastAsia="zh-CN"/>
        </w:rPr>
        <w:t>)</w:t>
      </w:r>
    </w:p>
    <w:p w14:paraId="32621913">
      <w:pPr>
        <w:ind w:firstLine="359" w:firstLineChars="171"/>
        <w:jc w:val="left"/>
        <w:rPr>
          <w:rFonts w:hint="default" w:ascii="宋体" w:hAnsi="宋体" w:eastAsia="宋体" w:cs="宋体"/>
          <w:sz w:val="21"/>
          <w:szCs w:val="21"/>
        </w:rPr>
      </w:pPr>
      <w:r>
        <w:rPr>
          <w:rFonts w:hint="default" w:ascii="宋体" w:hAnsi="宋体" w:eastAsia="宋体" w:cs="宋体"/>
          <w:sz w:val="21"/>
          <w:szCs w:val="21"/>
        </w:rPr>
        <w:t>方法三：</w:t>
      </w:r>
      <w:r>
        <w:rPr>
          <w:rFonts w:hint="eastAsia" w:ascii="宋体" w:hAnsi="宋体" w:eastAsia="宋体" w:cs="宋体"/>
          <w:sz w:val="21"/>
          <w:szCs w:val="21"/>
          <w:lang w:val="en-US" w:eastAsia="zh-CN"/>
        </w:rPr>
        <w:t>X</w:t>
      </w:r>
      <w:r>
        <w:rPr>
          <w:rFonts w:hint="eastAsia" w:ascii="宋体" w:hAnsi="宋体" w:eastAsia="宋体" w:cs="宋体"/>
          <w:sz w:val="21"/>
          <w:szCs w:val="21"/>
          <w:vertAlign w:val="subscript"/>
          <w:lang w:val="en-US" w:eastAsia="zh-CN"/>
        </w:rPr>
        <w:t>3</w:t>
      </w:r>
      <w:r>
        <w:rPr>
          <w:rFonts w:hint="eastAsia" w:ascii="宋体" w:hAnsi="宋体" w:eastAsia="宋体" w:cs="宋体"/>
          <w:sz w:val="21"/>
          <w:szCs w:val="21"/>
          <w:lang w:val="en-US" w:eastAsia="zh-CN"/>
        </w:rPr>
        <w:t>=</w:t>
      </w:r>
      <w:r>
        <w:rPr>
          <w:rFonts w:hint="eastAsia" w:ascii="宋体" w:hAnsi="宋体" w:eastAsia="宋体" w:cs="宋体"/>
          <w:position w:val="-14"/>
          <w:sz w:val="21"/>
          <w:szCs w:val="21"/>
          <w:lang w:val="en-US" w:eastAsia="zh-CN"/>
        </w:rPr>
        <w:object>
          <v:shape id="_x0000_i1033" o:spt="75" type="#_x0000_t75" style="height:19pt;width:42pt;" o:ole="t" filled="f" o:preferrelative="t" stroked="f" coordsize="21600,21600">
            <v:path/>
            <v:fill on="f" focussize="0,0"/>
            <v:stroke on="f"/>
            <v:imagedata r:id="rId19" o:title=""/>
            <o:lock v:ext="edit" aspectratio="t"/>
            <w10:wrap type="none"/>
            <w10:anchorlock/>
          </v:shape>
          <o:OLEObject Type="Embed" ProgID="Equation.KSEE3" ShapeID="_x0000_i1033" DrawAspect="Content" ObjectID="_1468075733" r:id="rId18">
            <o:LockedField>false</o:LockedField>
          </o:OLEObject>
        </w:object>
      </w:r>
      <w:r>
        <w:rPr>
          <w:rFonts w:hint="default" w:ascii="宋体" w:hAnsi="宋体" w:eastAsia="宋体" w:cs="宋体"/>
          <w:sz w:val="21"/>
          <w:szCs w:val="21"/>
          <w:lang w:val="en-US" w:eastAsia="zh-CN"/>
        </w:rPr>
        <w:t>×100</w:t>
      </w:r>
      <w:r>
        <w:rPr>
          <w:rFonts w:hint="eastAsia" w:ascii="宋体" w:hAnsi="宋体" w:eastAsia="宋体" w:cs="宋体"/>
          <w:sz w:val="21"/>
          <w:szCs w:val="21"/>
          <w:lang w:val="en-US" w:eastAsia="zh-CN"/>
        </w:rPr>
        <w:t xml:space="preserve">          </w:t>
      </w:r>
      <w:r>
        <w:rPr>
          <w:rFonts w:hint="default" w:ascii="宋体" w:hAnsi="宋体" w:eastAsia="宋体" w:cs="宋体"/>
          <w:sz w:val="21"/>
          <w:szCs w:val="21"/>
          <w:lang w:val="en-US" w:eastAsia="zh-CN"/>
        </w:rPr>
        <w:t>(</w:t>
      </w:r>
      <w:r>
        <w:rPr>
          <w:rFonts w:hint="eastAsia" w:ascii="宋体" w:hAnsi="宋体" w:eastAsia="宋体" w:cs="宋体"/>
          <w:sz w:val="21"/>
          <w:szCs w:val="21"/>
          <w:lang w:val="en-US" w:eastAsia="zh-CN"/>
        </w:rPr>
        <w:t>11</w:t>
      </w:r>
      <w:r>
        <w:rPr>
          <w:rFonts w:hint="default" w:ascii="宋体" w:hAnsi="宋体" w:eastAsia="宋体" w:cs="宋体"/>
          <w:sz w:val="21"/>
          <w:szCs w:val="21"/>
          <w:lang w:val="en-US" w:eastAsia="zh-CN"/>
        </w:rPr>
        <w:t>)</w:t>
      </w:r>
    </w:p>
    <w:p w14:paraId="3A81D388">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由于分母中(1-0.015b)&lt;(1-0.005b)&lt;1，对于相同的a、b值，恒有x</w:t>
      </w:r>
      <w:r>
        <w:rPr>
          <w:rFonts w:hint="eastAsia" w:ascii="宋体" w:hAnsi="宋体" w:eastAsia="宋体" w:cs="宋体"/>
          <w:sz w:val="21"/>
          <w:szCs w:val="21"/>
          <w:vertAlign w:val="subscript"/>
        </w:rPr>
        <w:t>3</w:t>
      </w:r>
      <w:r>
        <w:rPr>
          <w:rFonts w:hint="eastAsia" w:ascii="宋体" w:hAnsi="宋体" w:eastAsia="宋体" w:cs="宋体"/>
          <w:sz w:val="21"/>
          <w:szCs w:val="21"/>
        </w:rPr>
        <w:t>&gt;x</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&gt;x</w:t>
      </w:r>
      <w:r>
        <w:rPr>
          <w:rFonts w:hint="eastAsia" w:ascii="宋体" w:hAnsi="宋体" w:eastAsia="宋体" w:cs="宋体"/>
          <w:sz w:val="21"/>
          <w:szCs w:val="21"/>
          <w:vertAlign w:val="subscript"/>
          <w:lang w:val="en-US" w:eastAsia="zh-CN"/>
        </w:rPr>
        <w:t>1</w:t>
      </w:r>
      <w:r>
        <w:rPr>
          <w:rFonts w:hint="eastAsia" w:ascii="宋体" w:hAnsi="宋体" w:eastAsia="宋体" w:cs="宋体"/>
          <w:sz w:val="21"/>
          <w:szCs w:val="21"/>
          <w:vertAlign w:val="baseline"/>
          <w:lang w:val="en-US" w:eastAsia="zh-CN"/>
        </w:rPr>
        <w:t>。</w:t>
      </w:r>
      <w:r>
        <w:rPr>
          <w:rFonts w:hint="eastAsia" w:ascii="宋体" w:hAnsi="宋体" w:eastAsia="宋体" w:cs="宋体"/>
          <w:sz w:val="21"/>
          <w:szCs w:val="21"/>
        </w:rPr>
        <w:t>即方法一计算结果最低，方法</w:t>
      </w:r>
      <w:r>
        <w:rPr>
          <w:rFonts w:hint="eastAsia" w:ascii="宋体" w:hAnsi="宋体" w:eastAsia="宋体" w:cs="宋体"/>
          <w:sz w:val="21"/>
          <w:szCs w:val="21"/>
          <w:lang w:val="en-US" w:eastAsia="zh-CN"/>
        </w:rPr>
        <w:t>二</w:t>
      </w:r>
      <w:r>
        <w:rPr>
          <w:rFonts w:hint="eastAsia" w:ascii="宋体" w:hAnsi="宋体" w:eastAsia="宋体" w:cs="宋体"/>
          <w:sz w:val="21"/>
          <w:szCs w:val="21"/>
        </w:rPr>
        <w:t>次之，方法三最高。</w:t>
      </w:r>
    </w:p>
    <w:p w14:paraId="3DC2D669">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3.2典型工况数据对比</w:t>
      </w:r>
    </w:p>
    <w:p w14:paraId="701EA0D2">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选取硫酸工业典型操作数据进行分析。某</w:t>
      </w:r>
      <w:r>
        <w:rPr>
          <w:rFonts w:hint="eastAsia" w:ascii="宋体" w:hAnsi="宋体" w:eastAsia="宋体" w:cs="宋体"/>
          <w:sz w:val="21"/>
          <w:szCs w:val="21"/>
          <w:lang w:val="en-US" w:eastAsia="zh-CN"/>
        </w:rPr>
        <w:t>硫黄</w:t>
      </w:r>
      <w:r>
        <w:rPr>
          <w:rFonts w:hint="eastAsia" w:ascii="宋体" w:hAnsi="宋体" w:eastAsia="宋体" w:cs="宋体"/>
          <w:sz w:val="21"/>
          <w:szCs w:val="21"/>
        </w:rPr>
        <w:t>制酸装置转化器一段进口气体组成如下：SO₂浓度a=</w:t>
      </w:r>
      <w:r>
        <w:rPr>
          <w:rFonts w:hint="eastAsia" w:ascii="宋体" w:hAnsi="宋体" w:eastAsia="宋体" w:cs="宋体"/>
          <w:sz w:val="21"/>
          <w:szCs w:val="21"/>
          <w:lang w:val="en-US" w:eastAsia="zh-CN"/>
        </w:rPr>
        <w:t>10.92</w:t>
      </w:r>
      <w:r>
        <w:rPr>
          <w:rFonts w:hint="eastAsia" w:ascii="宋体" w:hAnsi="宋体" w:eastAsia="宋体" w:cs="宋体"/>
          <w:sz w:val="21"/>
          <w:szCs w:val="21"/>
        </w:rPr>
        <w:t>%，O₂浓度9.8</w:t>
      </w:r>
      <w:r>
        <w:rPr>
          <w:rFonts w:hint="eastAsia" w:ascii="宋体" w:hAnsi="宋体" w:eastAsia="宋体" w:cs="宋体"/>
          <w:sz w:val="21"/>
          <w:szCs w:val="21"/>
          <w:lang w:val="en-US" w:eastAsia="zh-CN"/>
        </w:rPr>
        <w:t>8</w:t>
      </w:r>
      <w:r>
        <w:rPr>
          <w:rFonts w:hint="eastAsia" w:ascii="宋体" w:hAnsi="宋体" w:eastAsia="宋体" w:cs="宋体"/>
          <w:sz w:val="21"/>
          <w:szCs w:val="21"/>
        </w:rPr>
        <w:t>%，N₂浓度79.</w:t>
      </w:r>
      <w:r>
        <w:rPr>
          <w:rFonts w:hint="eastAsia" w:ascii="宋体" w:hAnsi="宋体" w:eastAsia="宋体" w:cs="宋体"/>
          <w:sz w:val="21"/>
          <w:szCs w:val="21"/>
          <w:lang w:val="en-US" w:eastAsia="zh-CN"/>
        </w:rPr>
        <w:t>00</w:t>
      </w:r>
      <w:r>
        <w:rPr>
          <w:rFonts w:hint="eastAsia" w:ascii="宋体" w:hAnsi="宋体" w:eastAsia="宋体" w:cs="宋体"/>
          <w:sz w:val="21"/>
          <w:szCs w:val="21"/>
        </w:rPr>
        <w:t>%。</w:t>
      </w:r>
      <w:r>
        <w:rPr>
          <w:rFonts w:hint="eastAsia" w:ascii="宋体" w:hAnsi="宋体" w:eastAsia="宋体" w:cs="宋体"/>
          <w:sz w:val="21"/>
          <w:szCs w:val="21"/>
          <w:lang w:val="en-US" w:eastAsia="zh-CN"/>
        </w:rPr>
        <w:t>分析转化器各段进出口</w:t>
      </w:r>
      <w:r>
        <w:rPr>
          <w:rFonts w:hint="eastAsia" w:ascii="宋体" w:hAnsi="宋体" w:eastAsia="宋体" w:cs="宋体"/>
          <w:sz w:val="21"/>
          <w:szCs w:val="21"/>
        </w:rPr>
        <w:t>SO₂浓度</w:t>
      </w:r>
      <w:r>
        <w:rPr>
          <w:rFonts w:hint="eastAsia" w:ascii="宋体" w:hAnsi="宋体" w:eastAsia="宋体" w:cs="宋体"/>
          <w:sz w:val="21"/>
          <w:szCs w:val="21"/>
          <w:lang w:eastAsia="zh-CN"/>
        </w:rPr>
        <w:t>，</w:t>
      </w:r>
      <w:r>
        <w:rPr>
          <w:rFonts w:hint="eastAsia" w:ascii="宋体" w:hAnsi="宋体" w:eastAsia="宋体" w:cs="宋体"/>
          <w:sz w:val="21"/>
          <w:szCs w:val="21"/>
        </w:rPr>
        <w:t>进而对比三种方法的计算值。</w:t>
      </w:r>
    </w:p>
    <w:p w14:paraId="2B50D336">
      <w:pPr>
        <w:keepNext w:val="0"/>
        <w:keepLines w:val="0"/>
        <w:pageBreakBefore w:val="0"/>
        <w:widowControl w:val="0"/>
        <w:kinsoku/>
        <w:wordWrap/>
        <w:overflowPunct/>
        <w:topLinePunct w:val="0"/>
        <w:autoSpaceDE/>
        <w:autoSpaceDN/>
        <w:bidi w:val="0"/>
        <w:adjustRightInd/>
        <w:snapToGrid/>
        <w:spacing w:line="400" w:lineRule="exact"/>
        <w:ind w:firstLine="361" w:firstLineChars="171"/>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表1</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三种转化率计算方法结果对比</w:t>
      </w:r>
    </w:p>
    <w:tbl>
      <w:tblPr>
        <w:tblStyle w:val="17"/>
        <w:tblW w:w="0" w:type="auto"/>
        <w:jc w:val="center"/>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Layout w:type="fixed"/>
        <w:tblCellMar>
          <w:top w:w="0" w:type="dxa"/>
          <w:left w:w="108" w:type="dxa"/>
          <w:bottom w:w="0" w:type="dxa"/>
          <w:right w:w="108" w:type="dxa"/>
        </w:tblCellMar>
      </w:tblPr>
      <w:tblGrid>
        <w:gridCol w:w="840"/>
        <w:gridCol w:w="1229"/>
        <w:gridCol w:w="1226"/>
        <w:gridCol w:w="1040"/>
        <w:gridCol w:w="1040"/>
        <w:gridCol w:w="1040"/>
        <w:gridCol w:w="1040"/>
        <w:gridCol w:w="1040"/>
      </w:tblGrid>
      <w:tr w14:paraId="69BA76F5">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649" w:hRule="atLeast"/>
          <w:jc w:val="center"/>
        </w:trPr>
        <w:tc>
          <w:tcPr>
            <w:tcW w:w="840" w:type="dxa"/>
            <w:tcBorders>
              <w:tl2br w:val="nil"/>
              <w:tr2bl w:val="nil"/>
            </w:tcBorders>
            <w:noWrap w:val="0"/>
            <w:vAlign w:val="top"/>
          </w:tcPr>
          <w:p w14:paraId="477A06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转化器各段</w:t>
            </w:r>
          </w:p>
        </w:tc>
        <w:tc>
          <w:tcPr>
            <w:tcW w:w="1229" w:type="dxa"/>
            <w:tcBorders>
              <w:tl2br w:val="nil"/>
              <w:tr2bl w:val="nil"/>
            </w:tcBorders>
            <w:noWrap w:val="0"/>
            <w:vAlign w:val="top"/>
          </w:tcPr>
          <w:p w14:paraId="1C8D21D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进口SO</w:t>
            </w:r>
            <w:r>
              <w:rPr>
                <w:rFonts w:hint="eastAsia" w:ascii="宋体" w:hAnsi="宋体" w:eastAsia="宋体" w:cs="宋体"/>
                <w:sz w:val="18"/>
                <w:szCs w:val="18"/>
                <w:vertAlign w:val="subscript"/>
                <w:lang w:val="en-US" w:eastAsia="zh-CN"/>
              </w:rPr>
              <w:t>2</w:t>
            </w:r>
            <w:r>
              <w:rPr>
                <w:rFonts w:hint="eastAsia" w:ascii="宋体" w:hAnsi="宋体" w:eastAsia="宋体" w:cs="宋体"/>
                <w:sz w:val="18"/>
                <w:szCs w:val="18"/>
                <w:lang w:val="en-US" w:eastAsia="zh-CN"/>
              </w:rPr>
              <w:t>浓度a/%</w:t>
            </w:r>
          </w:p>
        </w:tc>
        <w:tc>
          <w:tcPr>
            <w:tcW w:w="1226" w:type="dxa"/>
            <w:tcBorders>
              <w:tl2br w:val="nil"/>
              <w:tr2bl w:val="nil"/>
            </w:tcBorders>
            <w:noWrap w:val="0"/>
            <w:vAlign w:val="top"/>
          </w:tcPr>
          <w:p w14:paraId="4689A8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出口SO</w:t>
            </w:r>
            <w:r>
              <w:rPr>
                <w:rFonts w:hint="eastAsia" w:ascii="宋体" w:hAnsi="宋体" w:eastAsia="宋体" w:cs="宋体"/>
                <w:sz w:val="18"/>
                <w:szCs w:val="18"/>
                <w:vertAlign w:val="subscript"/>
                <w:lang w:val="en-US" w:eastAsia="zh-CN"/>
              </w:rPr>
              <w:t>2</w:t>
            </w:r>
            <w:r>
              <w:rPr>
                <w:rFonts w:hint="eastAsia" w:ascii="宋体" w:hAnsi="宋体" w:eastAsia="宋体" w:cs="宋体"/>
                <w:sz w:val="18"/>
                <w:szCs w:val="18"/>
                <w:lang w:val="en-US" w:eastAsia="zh-CN"/>
              </w:rPr>
              <w:t>浓度b/%</w:t>
            </w:r>
          </w:p>
        </w:tc>
        <w:tc>
          <w:tcPr>
            <w:tcW w:w="1040" w:type="dxa"/>
            <w:tcBorders>
              <w:tl2br w:val="nil"/>
              <w:tr2bl w:val="nil"/>
            </w:tcBorders>
            <w:noWrap w:val="0"/>
            <w:vAlign w:val="top"/>
          </w:tcPr>
          <w:p w14:paraId="012E11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方法1转化率X</w:t>
            </w:r>
            <w:r>
              <w:rPr>
                <w:rFonts w:hint="eastAsia" w:ascii="宋体" w:hAnsi="宋体" w:eastAsia="宋体" w:cs="宋体"/>
                <w:sz w:val="18"/>
                <w:szCs w:val="18"/>
                <w:vertAlign w:val="subscript"/>
                <w:lang w:val="en-US" w:eastAsia="zh-CN"/>
              </w:rPr>
              <w:t>1</w:t>
            </w:r>
            <w:r>
              <w:rPr>
                <w:rFonts w:hint="eastAsia" w:ascii="宋体" w:hAnsi="宋体" w:eastAsia="宋体" w:cs="宋体"/>
                <w:sz w:val="18"/>
                <w:szCs w:val="18"/>
                <w:lang w:val="en-US" w:eastAsia="zh-CN"/>
              </w:rPr>
              <w:t>/%</w:t>
            </w:r>
          </w:p>
        </w:tc>
        <w:tc>
          <w:tcPr>
            <w:tcW w:w="1040" w:type="dxa"/>
            <w:tcBorders>
              <w:tl2br w:val="nil"/>
              <w:tr2bl w:val="nil"/>
            </w:tcBorders>
            <w:noWrap w:val="0"/>
            <w:vAlign w:val="top"/>
          </w:tcPr>
          <w:p w14:paraId="0A3E73D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方法2转化率X</w:t>
            </w:r>
            <w:r>
              <w:rPr>
                <w:rFonts w:hint="eastAsia" w:ascii="宋体" w:hAnsi="宋体" w:eastAsia="宋体" w:cs="宋体"/>
                <w:sz w:val="18"/>
                <w:szCs w:val="18"/>
                <w:vertAlign w:val="subscript"/>
                <w:lang w:val="en-US" w:eastAsia="zh-CN"/>
              </w:rPr>
              <w:t>2</w:t>
            </w:r>
            <w:r>
              <w:rPr>
                <w:rFonts w:hint="eastAsia" w:ascii="宋体" w:hAnsi="宋体" w:eastAsia="宋体" w:cs="宋体"/>
                <w:sz w:val="18"/>
                <w:szCs w:val="18"/>
                <w:lang w:val="en-US" w:eastAsia="zh-CN"/>
              </w:rPr>
              <w:t>/%</w:t>
            </w:r>
          </w:p>
        </w:tc>
        <w:tc>
          <w:tcPr>
            <w:tcW w:w="1040" w:type="dxa"/>
            <w:tcBorders>
              <w:tl2br w:val="nil"/>
              <w:tr2bl w:val="nil"/>
            </w:tcBorders>
            <w:noWrap w:val="0"/>
            <w:vAlign w:val="top"/>
          </w:tcPr>
          <w:p w14:paraId="31E9B5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方法3转化率X</w:t>
            </w:r>
            <w:r>
              <w:rPr>
                <w:rFonts w:hint="eastAsia" w:ascii="宋体" w:hAnsi="宋体" w:eastAsia="宋体" w:cs="宋体"/>
                <w:sz w:val="18"/>
                <w:szCs w:val="18"/>
                <w:vertAlign w:val="subscript"/>
                <w:lang w:val="en-US" w:eastAsia="zh-CN"/>
              </w:rPr>
              <w:t>3</w:t>
            </w:r>
            <w:r>
              <w:rPr>
                <w:rFonts w:hint="eastAsia" w:ascii="宋体" w:hAnsi="宋体" w:eastAsia="宋体" w:cs="宋体"/>
                <w:sz w:val="18"/>
                <w:szCs w:val="18"/>
                <w:lang w:val="en-US" w:eastAsia="zh-CN"/>
              </w:rPr>
              <w:t>/%</w:t>
            </w:r>
          </w:p>
        </w:tc>
        <w:tc>
          <w:tcPr>
            <w:tcW w:w="1040" w:type="dxa"/>
            <w:tcBorders>
              <w:tl2br w:val="nil"/>
              <w:tr2bl w:val="nil"/>
            </w:tcBorders>
            <w:noWrap w:val="0"/>
            <w:vAlign w:val="top"/>
          </w:tcPr>
          <w:p w14:paraId="172C25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绝对偏差（X</w:t>
            </w:r>
            <w:r>
              <w:rPr>
                <w:rFonts w:hint="eastAsia" w:ascii="宋体" w:hAnsi="宋体" w:eastAsia="宋体" w:cs="宋体"/>
                <w:sz w:val="18"/>
                <w:szCs w:val="18"/>
                <w:vertAlign w:val="subscript"/>
                <w:lang w:val="en-US" w:eastAsia="zh-CN"/>
              </w:rPr>
              <w:t>3</w:t>
            </w:r>
            <w:r>
              <w:rPr>
                <w:rFonts w:hint="eastAsia" w:ascii="宋体" w:hAnsi="宋体" w:eastAsia="宋体" w:cs="宋体"/>
                <w:sz w:val="18"/>
                <w:szCs w:val="18"/>
                <w:lang w:val="en-US" w:eastAsia="zh-CN"/>
              </w:rPr>
              <w:t>-X</w:t>
            </w:r>
            <w:r>
              <w:rPr>
                <w:rFonts w:hint="eastAsia" w:ascii="宋体" w:hAnsi="宋体" w:eastAsia="宋体" w:cs="宋体"/>
                <w:sz w:val="18"/>
                <w:szCs w:val="18"/>
                <w:vertAlign w:val="subscript"/>
                <w:lang w:val="en-US" w:eastAsia="zh-CN"/>
              </w:rPr>
              <w:t>1</w:t>
            </w:r>
            <w:r>
              <w:rPr>
                <w:rFonts w:hint="eastAsia" w:ascii="宋体" w:hAnsi="宋体" w:eastAsia="宋体" w:cs="宋体"/>
                <w:sz w:val="18"/>
                <w:szCs w:val="18"/>
                <w:lang w:val="en-US" w:eastAsia="zh-CN"/>
              </w:rPr>
              <w:t>）/%</w:t>
            </w:r>
          </w:p>
        </w:tc>
        <w:tc>
          <w:tcPr>
            <w:tcW w:w="1040" w:type="dxa"/>
            <w:tcBorders>
              <w:tl2br w:val="nil"/>
              <w:tr2bl w:val="nil"/>
            </w:tcBorders>
            <w:noWrap w:val="0"/>
            <w:vAlign w:val="top"/>
          </w:tcPr>
          <w:p w14:paraId="107773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累积偏差/%</w:t>
            </w:r>
          </w:p>
        </w:tc>
      </w:tr>
      <w:tr w14:paraId="0EA86D03">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340" w:hRule="atLeast"/>
          <w:jc w:val="center"/>
        </w:trPr>
        <w:tc>
          <w:tcPr>
            <w:tcW w:w="840" w:type="dxa"/>
            <w:tcBorders>
              <w:top w:val="nil"/>
              <w:bottom w:val="nil"/>
            </w:tcBorders>
            <w:noWrap w:val="0"/>
            <w:vAlign w:val="top"/>
          </w:tcPr>
          <w:p w14:paraId="786E82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一段</w:t>
            </w:r>
          </w:p>
        </w:tc>
        <w:tc>
          <w:tcPr>
            <w:tcW w:w="1229" w:type="dxa"/>
            <w:tcBorders>
              <w:top w:val="nil"/>
              <w:bottom w:val="nil"/>
            </w:tcBorders>
            <w:noWrap w:val="0"/>
            <w:vAlign w:val="center"/>
          </w:tcPr>
          <w:p w14:paraId="1E7A3EA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10.92</w:t>
            </w:r>
          </w:p>
        </w:tc>
        <w:tc>
          <w:tcPr>
            <w:tcW w:w="1226" w:type="dxa"/>
            <w:tcBorders>
              <w:top w:val="nil"/>
              <w:bottom w:val="nil"/>
            </w:tcBorders>
            <w:noWrap w:val="0"/>
            <w:vAlign w:val="center"/>
          </w:tcPr>
          <w:p w14:paraId="781531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4.70</w:t>
            </w:r>
          </w:p>
        </w:tc>
        <w:tc>
          <w:tcPr>
            <w:tcW w:w="1040" w:type="dxa"/>
            <w:tcBorders>
              <w:top w:val="nil"/>
              <w:bottom w:val="nil"/>
            </w:tcBorders>
            <w:noWrap w:val="0"/>
            <w:vAlign w:val="center"/>
          </w:tcPr>
          <w:p w14:paraId="147687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56.96</w:t>
            </w:r>
          </w:p>
        </w:tc>
        <w:tc>
          <w:tcPr>
            <w:tcW w:w="1040" w:type="dxa"/>
            <w:tcBorders>
              <w:top w:val="nil"/>
              <w:bottom w:val="nil"/>
            </w:tcBorders>
            <w:noWrap w:val="0"/>
            <w:vAlign w:val="center"/>
          </w:tcPr>
          <w:p w14:paraId="5B6B40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58.33</w:t>
            </w:r>
          </w:p>
        </w:tc>
        <w:tc>
          <w:tcPr>
            <w:tcW w:w="1040" w:type="dxa"/>
            <w:tcBorders>
              <w:top w:val="nil"/>
              <w:bottom w:val="nil"/>
            </w:tcBorders>
            <w:noWrap w:val="0"/>
            <w:vAlign w:val="center"/>
          </w:tcPr>
          <w:p w14:paraId="282645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61.28</w:t>
            </w:r>
          </w:p>
        </w:tc>
        <w:tc>
          <w:tcPr>
            <w:tcW w:w="1040" w:type="dxa"/>
            <w:tcBorders>
              <w:top w:val="nil"/>
              <w:bottom w:val="nil"/>
            </w:tcBorders>
            <w:noWrap w:val="0"/>
            <w:vAlign w:val="center"/>
          </w:tcPr>
          <w:p w14:paraId="013574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4.32</w:t>
            </w:r>
          </w:p>
        </w:tc>
        <w:tc>
          <w:tcPr>
            <w:tcW w:w="1040" w:type="dxa"/>
            <w:tcBorders>
              <w:top w:val="nil"/>
              <w:bottom w:val="nil"/>
            </w:tcBorders>
            <w:noWrap w:val="0"/>
            <w:vAlign w:val="center"/>
          </w:tcPr>
          <w:p w14:paraId="12119D4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4.32</w:t>
            </w:r>
          </w:p>
        </w:tc>
      </w:tr>
      <w:tr w14:paraId="2872262C">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313" w:hRule="atLeast"/>
          <w:jc w:val="center"/>
        </w:trPr>
        <w:tc>
          <w:tcPr>
            <w:tcW w:w="840" w:type="dxa"/>
            <w:tcBorders>
              <w:top w:val="nil"/>
              <w:bottom w:val="nil"/>
            </w:tcBorders>
            <w:noWrap w:val="0"/>
            <w:vAlign w:val="top"/>
          </w:tcPr>
          <w:p w14:paraId="0B82D3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二段</w:t>
            </w:r>
          </w:p>
        </w:tc>
        <w:tc>
          <w:tcPr>
            <w:tcW w:w="1229" w:type="dxa"/>
            <w:tcBorders>
              <w:top w:val="nil"/>
              <w:bottom w:val="nil"/>
            </w:tcBorders>
            <w:noWrap w:val="0"/>
            <w:vAlign w:val="center"/>
          </w:tcPr>
          <w:p w14:paraId="04EE0F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4.70</w:t>
            </w:r>
          </w:p>
        </w:tc>
        <w:tc>
          <w:tcPr>
            <w:tcW w:w="1226" w:type="dxa"/>
            <w:tcBorders>
              <w:top w:val="nil"/>
              <w:bottom w:val="nil"/>
            </w:tcBorders>
            <w:noWrap w:val="0"/>
            <w:vAlign w:val="center"/>
          </w:tcPr>
          <w:p w14:paraId="1BA322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1.68</w:t>
            </w:r>
          </w:p>
        </w:tc>
        <w:tc>
          <w:tcPr>
            <w:tcW w:w="1040" w:type="dxa"/>
            <w:tcBorders>
              <w:top w:val="nil"/>
              <w:bottom w:val="nil"/>
            </w:tcBorders>
            <w:noWrap w:val="0"/>
            <w:vAlign w:val="center"/>
          </w:tcPr>
          <w:p w14:paraId="71A8C10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64.26</w:t>
            </w:r>
          </w:p>
        </w:tc>
        <w:tc>
          <w:tcPr>
            <w:tcW w:w="1040" w:type="dxa"/>
            <w:tcBorders>
              <w:top w:val="nil"/>
              <w:bottom w:val="nil"/>
            </w:tcBorders>
            <w:noWrap w:val="0"/>
            <w:vAlign w:val="center"/>
          </w:tcPr>
          <w:p w14:paraId="5BF202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64.80</w:t>
            </w:r>
          </w:p>
        </w:tc>
        <w:tc>
          <w:tcPr>
            <w:tcW w:w="1040" w:type="dxa"/>
            <w:tcBorders>
              <w:top w:val="nil"/>
              <w:bottom w:val="nil"/>
            </w:tcBorders>
            <w:noWrap w:val="0"/>
            <w:vAlign w:val="center"/>
          </w:tcPr>
          <w:p w14:paraId="0EB62B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65.92</w:t>
            </w:r>
          </w:p>
        </w:tc>
        <w:tc>
          <w:tcPr>
            <w:tcW w:w="1040" w:type="dxa"/>
            <w:tcBorders>
              <w:top w:val="nil"/>
              <w:bottom w:val="nil"/>
            </w:tcBorders>
            <w:noWrap w:val="0"/>
            <w:vAlign w:val="center"/>
          </w:tcPr>
          <w:p w14:paraId="6CCD1D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1.66</w:t>
            </w:r>
          </w:p>
        </w:tc>
        <w:tc>
          <w:tcPr>
            <w:tcW w:w="1040" w:type="dxa"/>
            <w:tcBorders>
              <w:top w:val="nil"/>
              <w:bottom w:val="nil"/>
            </w:tcBorders>
            <w:noWrap w:val="0"/>
            <w:vAlign w:val="center"/>
          </w:tcPr>
          <w:p w14:paraId="442252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5.98</w:t>
            </w:r>
          </w:p>
        </w:tc>
      </w:tr>
      <w:tr w14:paraId="327A9499">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313" w:hRule="atLeast"/>
          <w:jc w:val="center"/>
        </w:trPr>
        <w:tc>
          <w:tcPr>
            <w:tcW w:w="840" w:type="dxa"/>
            <w:tcBorders>
              <w:top w:val="nil"/>
              <w:bottom w:val="nil"/>
            </w:tcBorders>
            <w:noWrap w:val="0"/>
            <w:vAlign w:val="top"/>
          </w:tcPr>
          <w:p w14:paraId="38B51E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rPr>
            </w:pPr>
            <w:r>
              <w:rPr>
                <w:rFonts w:hint="eastAsia" w:ascii="宋体" w:hAnsi="宋体" w:eastAsia="宋体" w:cs="宋体"/>
                <w:sz w:val="18"/>
                <w:szCs w:val="18"/>
                <w:lang w:val="en-US" w:eastAsia="zh-CN"/>
              </w:rPr>
              <w:t>三段</w:t>
            </w:r>
          </w:p>
        </w:tc>
        <w:tc>
          <w:tcPr>
            <w:tcW w:w="1229" w:type="dxa"/>
            <w:tcBorders>
              <w:top w:val="nil"/>
              <w:bottom w:val="nil"/>
            </w:tcBorders>
            <w:noWrap w:val="0"/>
            <w:vAlign w:val="center"/>
          </w:tcPr>
          <w:p w14:paraId="44AFAB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1.68</w:t>
            </w:r>
          </w:p>
        </w:tc>
        <w:tc>
          <w:tcPr>
            <w:tcW w:w="1226" w:type="dxa"/>
            <w:tcBorders>
              <w:top w:val="nil"/>
              <w:bottom w:val="nil"/>
            </w:tcBorders>
            <w:noWrap w:val="0"/>
            <w:vAlign w:val="center"/>
          </w:tcPr>
          <w:p w14:paraId="665B00A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0.64</w:t>
            </w:r>
          </w:p>
        </w:tc>
        <w:tc>
          <w:tcPr>
            <w:tcW w:w="1040" w:type="dxa"/>
            <w:tcBorders>
              <w:top w:val="nil"/>
              <w:bottom w:val="nil"/>
            </w:tcBorders>
            <w:noWrap w:val="0"/>
            <w:vAlign w:val="center"/>
          </w:tcPr>
          <w:p w14:paraId="473FFF2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61.90</w:t>
            </w:r>
          </w:p>
        </w:tc>
        <w:tc>
          <w:tcPr>
            <w:tcW w:w="1040" w:type="dxa"/>
            <w:tcBorders>
              <w:top w:val="nil"/>
              <w:bottom w:val="nil"/>
            </w:tcBorders>
            <w:noWrap w:val="0"/>
            <w:vAlign w:val="center"/>
          </w:tcPr>
          <w:p w14:paraId="4E229E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61.90</w:t>
            </w:r>
          </w:p>
        </w:tc>
        <w:tc>
          <w:tcPr>
            <w:tcW w:w="1040" w:type="dxa"/>
            <w:tcBorders>
              <w:top w:val="nil"/>
              <w:bottom w:val="nil"/>
            </w:tcBorders>
            <w:noWrap w:val="0"/>
            <w:vAlign w:val="center"/>
          </w:tcPr>
          <w:p w14:paraId="281F5D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62.50</w:t>
            </w:r>
          </w:p>
        </w:tc>
        <w:tc>
          <w:tcPr>
            <w:tcW w:w="1040" w:type="dxa"/>
            <w:tcBorders>
              <w:top w:val="nil"/>
              <w:bottom w:val="nil"/>
            </w:tcBorders>
            <w:noWrap w:val="0"/>
            <w:vAlign w:val="center"/>
          </w:tcPr>
          <w:p w14:paraId="7B9082D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0.60</w:t>
            </w:r>
          </w:p>
        </w:tc>
        <w:tc>
          <w:tcPr>
            <w:tcW w:w="1040" w:type="dxa"/>
            <w:tcBorders>
              <w:top w:val="nil"/>
              <w:bottom w:val="nil"/>
            </w:tcBorders>
            <w:noWrap w:val="0"/>
            <w:vAlign w:val="center"/>
          </w:tcPr>
          <w:p w14:paraId="26E05D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6.58</w:t>
            </w:r>
          </w:p>
        </w:tc>
      </w:tr>
      <w:tr w14:paraId="4C99E76C">
        <w:tblPrEx>
          <w:tblBorders>
            <w:top w:val="single" w:color="000000" w:sz="4" w:space="0"/>
            <w:left w:val="none" w:color="auto" w:sz="0" w:space="0"/>
            <w:bottom w:val="single" w:color="000000" w:sz="4" w:space="0"/>
            <w:right w:val="none" w:color="auto" w:sz="0" w:space="0"/>
            <w:insideH w:val="single" w:color="000000" w:sz="4" w:space="0"/>
            <w:insideV w:val="none" w:color="auto" w:sz="0" w:space="0"/>
          </w:tblBorders>
          <w:tblCellMar>
            <w:top w:w="0" w:type="dxa"/>
            <w:left w:w="108" w:type="dxa"/>
            <w:bottom w:w="0" w:type="dxa"/>
            <w:right w:w="108" w:type="dxa"/>
          </w:tblCellMar>
        </w:tblPrEx>
        <w:trPr>
          <w:trHeight w:val="340" w:hRule="atLeast"/>
          <w:jc w:val="center"/>
        </w:trPr>
        <w:tc>
          <w:tcPr>
            <w:tcW w:w="840" w:type="dxa"/>
            <w:tcBorders>
              <w:top w:val="nil"/>
            </w:tcBorders>
            <w:noWrap w:val="0"/>
            <w:vAlign w:val="top"/>
          </w:tcPr>
          <w:p w14:paraId="49DE5C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四段</w:t>
            </w:r>
          </w:p>
        </w:tc>
        <w:tc>
          <w:tcPr>
            <w:tcW w:w="1229" w:type="dxa"/>
            <w:tcBorders>
              <w:top w:val="nil"/>
            </w:tcBorders>
            <w:noWrap w:val="0"/>
            <w:vAlign w:val="center"/>
          </w:tcPr>
          <w:p w14:paraId="3A7F5B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0.64</w:t>
            </w:r>
          </w:p>
        </w:tc>
        <w:tc>
          <w:tcPr>
            <w:tcW w:w="1226" w:type="dxa"/>
            <w:tcBorders>
              <w:top w:val="nil"/>
            </w:tcBorders>
            <w:noWrap w:val="0"/>
            <w:vAlign w:val="center"/>
          </w:tcPr>
          <w:p w14:paraId="004B601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0.026</w:t>
            </w:r>
          </w:p>
        </w:tc>
        <w:tc>
          <w:tcPr>
            <w:tcW w:w="1040" w:type="dxa"/>
            <w:tcBorders>
              <w:top w:val="nil"/>
            </w:tcBorders>
            <w:noWrap w:val="0"/>
            <w:vAlign w:val="center"/>
          </w:tcPr>
          <w:p w14:paraId="6ED726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95.94</w:t>
            </w:r>
          </w:p>
        </w:tc>
        <w:tc>
          <w:tcPr>
            <w:tcW w:w="1040" w:type="dxa"/>
            <w:tcBorders>
              <w:top w:val="nil"/>
            </w:tcBorders>
            <w:noWrap w:val="0"/>
            <w:vAlign w:val="center"/>
          </w:tcPr>
          <w:p w14:paraId="4E04D64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95.95</w:t>
            </w:r>
          </w:p>
        </w:tc>
        <w:tc>
          <w:tcPr>
            <w:tcW w:w="1040" w:type="dxa"/>
            <w:tcBorders>
              <w:top w:val="nil"/>
            </w:tcBorders>
            <w:noWrap w:val="0"/>
            <w:vAlign w:val="center"/>
          </w:tcPr>
          <w:p w14:paraId="4FB51E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95.97</w:t>
            </w:r>
          </w:p>
        </w:tc>
        <w:tc>
          <w:tcPr>
            <w:tcW w:w="1040" w:type="dxa"/>
            <w:tcBorders>
              <w:top w:val="nil"/>
            </w:tcBorders>
            <w:noWrap w:val="0"/>
            <w:vAlign w:val="center"/>
          </w:tcPr>
          <w:p w14:paraId="02A511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0.04</w:t>
            </w:r>
          </w:p>
        </w:tc>
        <w:tc>
          <w:tcPr>
            <w:tcW w:w="1040" w:type="dxa"/>
            <w:tcBorders>
              <w:top w:val="nil"/>
            </w:tcBorders>
            <w:noWrap w:val="0"/>
            <w:vAlign w:val="center"/>
          </w:tcPr>
          <w:p w14:paraId="0C3C70C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6.62</w:t>
            </w:r>
          </w:p>
        </w:tc>
      </w:tr>
    </w:tbl>
    <w:p w14:paraId="124D437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数据表明：</w:t>
      </w:r>
      <w:r>
        <w:rPr>
          <w:rFonts w:hint="eastAsia" w:ascii="宋体" w:hAnsi="宋体" w:eastAsia="宋体" w:cs="宋体"/>
          <w:sz w:val="21"/>
          <w:szCs w:val="21"/>
          <w:lang w:val="en-US" w:eastAsia="zh-CN"/>
        </w:rPr>
        <w:t>不同计算方法得出的转化率有明显的差异，累积偏差达到6.62%。</w:t>
      </w:r>
    </w:p>
    <w:p w14:paraId="6567A72E">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3.3偏差原因分析</w:t>
      </w:r>
    </w:p>
    <w:p w14:paraId="529BF215">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方法一与方法</w:t>
      </w:r>
      <w:r>
        <w:rPr>
          <w:rFonts w:hint="eastAsia" w:ascii="宋体" w:hAnsi="宋体" w:eastAsia="宋体" w:cs="宋体"/>
          <w:sz w:val="21"/>
          <w:szCs w:val="21"/>
          <w:lang w:val="en-US" w:eastAsia="zh-CN"/>
        </w:rPr>
        <w:t>二</w:t>
      </w:r>
      <w:r>
        <w:rPr>
          <w:rFonts w:hint="eastAsia" w:ascii="宋体" w:hAnsi="宋体" w:eastAsia="宋体" w:cs="宋体"/>
          <w:sz w:val="21"/>
          <w:szCs w:val="21"/>
        </w:rPr>
        <w:t>的偏差来源于两方面的体积效应未计入：</w:t>
      </w:r>
    </w:p>
    <w:p w14:paraId="3257F06D">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O</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vertAlign w:val="baseline"/>
          <w:lang w:val="en-US" w:eastAsia="zh-CN"/>
        </w:rPr>
        <w:t>消耗</w:t>
      </w:r>
      <w:r>
        <w:rPr>
          <w:rFonts w:hint="eastAsia" w:ascii="宋体" w:hAnsi="宋体" w:eastAsia="宋体" w:cs="宋体"/>
          <w:sz w:val="21"/>
          <w:szCs w:val="21"/>
        </w:rPr>
        <w:t>反应收缩效应：使出口气体体积减小，SO₂浓度相对升高，若忽略收缩，计算出的转化率偏低</w:t>
      </w:r>
      <w:r>
        <w:rPr>
          <w:rFonts w:hint="eastAsia" w:ascii="宋体" w:hAnsi="宋体" w:eastAsia="宋体" w:cs="宋体"/>
          <w:sz w:val="21"/>
          <w:szCs w:val="21"/>
          <w:lang w:eastAsia="zh-CN"/>
        </w:rPr>
        <w:t>。</w:t>
      </w:r>
    </w:p>
    <w:p w14:paraId="05C80096">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SO₃吸收效应：使分析气体体积进一步减小，SO₂浓度进一步升高，忽略该效应同样导致转化率计算值偏低</w:t>
      </w:r>
      <w:r>
        <w:rPr>
          <w:rFonts w:hint="eastAsia" w:ascii="宋体" w:hAnsi="宋体" w:eastAsia="宋体" w:cs="宋体"/>
          <w:sz w:val="21"/>
          <w:szCs w:val="21"/>
          <w:lang w:eastAsia="zh-CN"/>
        </w:rPr>
        <w:t>。</w:t>
      </w:r>
    </w:p>
    <w:p w14:paraId="0AC517BA">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两者叠加，使得方法一</w:t>
      </w:r>
      <w:r>
        <w:rPr>
          <w:rFonts w:hint="eastAsia" w:ascii="宋体" w:hAnsi="宋体" w:eastAsia="宋体" w:cs="宋体"/>
          <w:sz w:val="21"/>
          <w:szCs w:val="21"/>
          <w:lang w:val="en-US" w:eastAsia="zh-CN"/>
        </w:rPr>
        <w:t>与方法三的偏差累积达到6.62%，</w:t>
      </w:r>
      <w:r>
        <w:rPr>
          <w:rFonts w:hint="eastAsia" w:ascii="宋体" w:hAnsi="宋体" w:eastAsia="宋体" w:cs="宋体"/>
          <w:sz w:val="21"/>
          <w:szCs w:val="21"/>
        </w:rPr>
        <w:t>这一偏差在工业生产中是不可接受的。</w:t>
      </w:r>
    </w:p>
    <w:p w14:paraId="003507E6">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4工业应用讨论</w:t>
      </w:r>
    </w:p>
    <w:p w14:paraId="689E9B7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4.1三种不同计算方法的优势比较</w:t>
      </w:r>
    </w:p>
    <w:p w14:paraId="690450E5">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方法</w:t>
      </w:r>
      <w:r>
        <w:rPr>
          <w:rFonts w:hint="eastAsia" w:ascii="宋体" w:hAnsi="宋体" w:eastAsia="宋体" w:cs="宋体"/>
          <w:sz w:val="21"/>
          <w:szCs w:val="21"/>
          <w:lang w:val="en-US" w:eastAsia="zh-CN"/>
        </w:rPr>
        <w:t>1</w:t>
      </w:r>
      <w:r>
        <w:rPr>
          <w:rFonts w:hint="eastAsia" w:ascii="宋体" w:hAnsi="宋体" w:eastAsia="宋体" w:cs="宋体"/>
          <w:sz w:val="21"/>
          <w:szCs w:val="21"/>
        </w:rPr>
        <w:t>（简</w:t>
      </w:r>
      <w:r>
        <w:rPr>
          <w:rFonts w:hint="eastAsia" w:ascii="宋体" w:hAnsi="宋体" w:eastAsia="宋体" w:cs="宋体"/>
          <w:sz w:val="21"/>
          <w:szCs w:val="21"/>
          <w:lang w:val="en-US" w:eastAsia="zh-CN"/>
        </w:rPr>
        <w:t>化</w:t>
      </w:r>
      <w:r>
        <w:rPr>
          <w:rFonts w:hint="eastAsia" w:ascii="宋体" w:hAnsi="宋体" w:eastAsia="宋体" w:cs="宋体"/>
          <w:sz w:val="21"/>
          <w:szCs w:val="21"/>
        </w:rPr>
        <w:t>计算法）优势在于计算极其简便，无需</w:t>
      </w:r>
      <w:r>
        <w:rPr>
          <w:rFonts w:hint="eastAsia" w:ascii="宋体" w:hAnsi="宋体" w:eastAsia="宋体" w:cs="宋体"/>
          <w:sz w:val="21"/>
          <w:szCs w:val="21"/>
          <w:lang w:val="en-US" w:eastAsia="zh-CN"/>
        </w:rPr>
        <w:t>采取</w:t>
      </w:r>
      <w:r>
        <w:rPr>
          <w:rFonts w:hint="eastAsia" w:ascii="宋体" w:hAnsi="宋体" w:eastAsia="宋体" w:cs="宋体"/>
          <w:sz w:val="21"/>
          <w:szCs w:val="21"/>
        </w:rPr>
        <w:t>任何修正系数，可直接通过进出口浓度比值估算转化趋势。适用于现场快速判断、仪表粗调或转化率较低的工况，此时体积效应尚不显著，误差在可接受范围内。</w:t>
      </w:r>
    </w:p>
    <w:p w14:paraId="6DC5D690">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方法</w:t>
      </w:r>
      <w:r>
        <w:rPr>
          <w:rFonts w:hint="eastAsia" w:ascii="宋体" w:hAnsi="宋体" w:eastAsia="宋体" w:cs="宋体"/>
          <w:sz w:val="21"/>
          <w:szCs w:val="21"/>
          <w:lang w:val="en-US" w:eastAsia="zh-CN"/>
        </w:rPr>
        <w:t>2</w:t>
      </w:r>
      <w:r>
        <w:rPr>
          <w:rFonts w:hint="eastAsia" w:ascii="宋体" w:hAnsi="宋体" w:eastAsia="宋体" w:cs="宋体"/>
          <w:sz w:val="21"/>
          <w:szCs w:val="21"/>
        </w:rPr>
        <w:t>（反应</w:t>
      </w:r>
      <w:r>
        <w:rPr>
          <w:rFonts w:hint="eastAsia" w:ascii="宋体" w:hAnsi="宋体" w:eastAsia="宋体" w:cs="宋体"/>
          <w:sz w:val="21"/>
          <w:szCs w:val="21"/>
          <w:lang w:val="en-US" w:eastAsia="zh-CN"/>
        </w:rPr>
        <w:t>体积</w:t>
      </w:r>
      <w:r>
        <w:rPr>
          <w:rFonts w:hint="eastAsia" w:ascii="宋体" w:hAnsi="宋体" w:eastAsia="宋体" w:cs="宋体"/>
          <w:sz w:val="21"/>
          <w:szCs w:val="21"/>
        </w:rPr>
        <w:t>收缩修正法）介于简化法与</w:t>
      </w:r>
      <w:r>
        <w:rPr>
          <w:rFonts w:hint="eastAsia" w:ascii="宋体" w:hAnsi="宋体" w:eastAsia="宋体" w:cs="宋体"/>
          <w:sz w:val="21"/>
          <w:szCs w:val="21"/>
          <w:lang w:val="en-US" w:eastAsia="zh-CN"/>
        </w:rPr>
        <w:t>工程计算法</w:t>
      </w:r>
      <w:r>
        <w:rPr>
          <w:rFonts w:hint="eastAsia" w:ascii="宋体" w:hAnsi="宋体" w:eastAsia="宋体" w:cs="宋体"/>
          <w:sz w:val="21"/>
          <w:szCs w:val="21"/>
        </w:rPr>
        <w:t>之间，其优势是仅需考虑反应本身的计量收缩，物理意义清晰，推导过程容易理解。当分析流程直接在含SO₃的气体中进行（如某些在线红外分析仪</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气相色谱仪</w:t>
      </w:r>
      <w:r>
        <w:rPr>
          <w:rFonts w:hint="eastAsia" w:ascii="宋体" w:hAnsi="宋体" w:eastAsia="宋体" w:cs="宋体"/>
          <w:sz w:val="21"/>
          <w:szCs w:val="21"/>
        </w:rPr>
        <w:t>可直接检测SO₃）时，该方法最为准确，避免了过度修正。</w:t>
      </w:r>
    </w:p>
    <w:p w14:paraId="4A38D6B6">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方法</w:t>
      </w:r>
      <w:r>
        <w:rPr>
          <w:rFonts w:hint="eastAsia" w:ascii="宋体" w:hAnsi="宋体" w:eastAsia="宋体" w:cs="宋体"/>
          <w:sz w:val="21"/>
          <w:szCs w:val="21"/>
          <w:lang w:val="en-US" w:eastAsia="zh-CN"/>
        </w:rPr>
        <w:t>3</w:t>
      </w:r>
      <w:r>
        <w:rPr>
          <w:rFonts w:hint="eastAsia" w:ascii="宋体" w:hAnsi="宋体" w:eastAsia="宋体" w:cs="宋体"/>
          <w:sz w:val="21"/>
          <w:szCs w:val="21"/>
        </w:rPr>
        <w:t>（工程计算法）的优势在于最贴近实际工业分析流程，完整模拟了SO₃吸收环节的体积减少效应，精度最高，是硫酸行业</w:t>
      </w:r>
      <w:r>
        <w:rPr>
          <w:rFonts w:hint="eastAsia" w:ascii="宋体" w:hAnsi="宋体" w:eastAsia="宋体" w:cs="宋体"/>
          <w:sz w:val="21"/>
          <w:szCs w:val="21"/>
          <w:lang w:val="en-US" w:eastAsia="zh-CN"/>
        </w:rPr>
        <w:t>生产应用中</w:t>
      </w:r>
      <w:r>
        <w:rPr>
          <w:rFonts w:hint="eastAsia" w:ascii="宋体" w:hAnsi="宋体" w:eastAsia="宋体" w:cs="宋体"/>
          <w:sz w:val="21"/>
          <w:szCs w:val="21"/>
        </w:rPr>
        <w:t>推荐的标准方法。尽管计算稍显复杂，但现代DCS系统可轻松嵌入该公式，实现实时、准确的转化率监控。对于高转化率工况，该方法能够避免简化法带来的显著偏低误差，是生产考核与工艺优化的首选。</w:t>
      </w:r>
    </w:p>
    <w:p w14:paraId="459BC768">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综合而言，日常操作宜采用方法三；若仅作趋势判断或低转化段分析，方法一与方法二可提供简便参考。</w:t>
      </w:r>
    </w:p>
    <w:p w14:paraId="251F0C1D">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4.2公式的适用范围</w:t>
      </w:r>
    </w:p>
    <w:p w14:paraId="56762679">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方法三（即含0.015b的公式）适用于硫铁矿制酸、冶炼烟气制酸等采用接触法工艺且按</w:t>
      </w:r>
      <w:r>
        <w:rPr>
          <w:rFonts w:hint="eastAsia" w:ascii="宋体" w:hAnsi="宋体" w:eastAsia="宋体" w:cs="宋体"/>
          <w:sz w:val="21"/>
          <w:szCs w:val="21"/>
          <w:lang w:val="en-US" w:eastAsia="zh-CN"/>
        </w:rPr>
        <w:t>传统的碘量法</w:t>
      </w:r>
      <w:r>
        <w:rPr>
          <w:rFonts w:hint="eastAsia" w:ascii="宋体" w:hAnsi="宋体" w:eastAsia="宋体" w:cs="宋体"/>
          <w:sz w:val="21"/>
          <w:szCs w:val="21"/>
        </w:rPr>
        <w:t>常规流程取样分析的装置。当采用其他分析流程（如</w:t>
      </w:r>
      <w:r>
        <w:rPr>
          <w:rFonts w:hint="eastAsia" w:ascii="宋体" w:hAnsi="宋体" w:eastAsia="宋体" w:cs="宋体"/>
          <w:sz w:val="21"/>
          <w:szCs w:val="21"/>
          <w:lang w:val="en-US" w:eastAsia="zh-CN"/>
        </w:rPr>
        <w:t>气相色谱可</w:t>
      </w:r>
      <w:r>
        <w:rPr>
          <w:rFonts w:hint="eastAsia" w:ascii="宋体" w:hAnsi="宋体" w:eastAsia="宋体" w:cs="宋体"/>
          <w:sz w:val="21"/>
          <w:szCs w:val="21"/>
        </w:rPr>
        <w:t>直接分析含SO₃的烟气）时，应选用方法二。</w:t>
      </w:r>
      <w:r>
        <w:rPr>
          <w:rFonts w:hint="eastAsia" w:ascii="宋体" w:hAnsi="宋体" w:eastAsia="宋体" w:cs="宋体"/>
          <w:sz w:val="21"/>
          <w:szCs w:val="21"/>
          <w:lang w:val="en-US" w:eastAsia="zh-CN"/>
        </w:rPr>
        <w:t>方法一只能用于粗略的估算时用。</w:t>
      </w:r>
    </w:p>
    <w:p w14:paraId="14B2790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4.3其他测定方法的补充</w:t>
      </w:r>
    </w:p>
    <w:p w14:paraId="410C442B">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bookmarkStart w:id="3" w:name="OLE_LINK10"/>
      <w:r>
        <w:rPr>
          <w:rFonts w:hint="eastAsia" w:ascii="宋体" w:hAnsi="宋体" w:eastAsia="宋体" w:cs="宋体"/>
          <w:sz w:val="21"/>
          <w:szCs w:val="21"/>
          <w:lang w:val="en-US" w:eastAsia="zh-CN"/>
        </w:rPr>
        <w:t>转化率测定</w:t>
      </w:r>
      <w:r>
        <w:rPr>
          <w:rFonts w:hint="eastAsia" w:ascii="宋体" w:hAnsi="宋体" w:eastAsia="宋体" w:cs="宋体"/>
          <w:sz w:val="21"/>
          <w:szCs w:val="21"/>
        </w:rPr>
        <w:t>除气体分析法外，还可采用热量平衡</w:t>
      </w:r>
      <w:r>
        <w:rPr>
          <w:rFonts w:hint="eastAsia" w:ascii="宋体" w:hAnsi="宋体" w:eastAsia="宋体" w:cs="宋体"/>
          <w:sz w:val="21"/>
          <w:szCs w:val="21"/>
          <w:lang w:val="en-US" w:eastAsia="zh-CN"/>
        </w:rPr>
        <w:t>计算</w:t>
      </w:r>
      <w:r>
        <w:rPr>
          <w:rFonts w:hint="eastAsia" w:ascii="宋体" w:hAnsi="宋体" w:eastAsia="宋体" w:cs="宋体"/>
          <w:sz w:val="21"/>
          <w:szCs w:val="21"/>
        </w:rPr>
        <w:t>法</w:t>
      </w:r>
      <w:bookmarkEnd w:id="3"/>
      <w:r>
        <w:rPr>
          <w:rFonts w:hint="eastAsia" w:ascii="宋体" w:hAnsi="宋体" w:eastAsia="宋体" w:cs="宋体"/>
          <w:sz w:val="21"/>
          <w:szCs w:val="21"/>
          <w:vertAlign w:val="superscript"/>
          <w:lang w:val="en-US" w:eastAsia="zh-CN"/>
        </w:rPr>
        <w:t>［4］</w:t>
      </w:r>
      <w:r>
        <w:rPr>
          <w:rFonts w:hint="eastAsia" w:ascii="宋体" w:hAnsi="宋体" w:eastAsia="宋体" w:cs="宋体"/>
          <w:sz w:val="21"/>
          <w:szCs w:val="21"/>
        </w:rPr>
        <w:t>。该方法基于反应放</w:t>
      </w:r>
      <w:r>
        <w:rPr>
          <w:rFonts w:hint="eastAsia" w:ascii="宋体" w:hAnsi="宋体" w:eastAsia="宋体" w:cs="宋体"/>
          <w:sz w:val="21"/>
          <w:szCs w:val="21"/>
          <w:lang w:val="en-US" w:eastAsia="zh-CN"/>
        </w:rPr>
        <w:t>出</w:t>
      </w:r>
      <w:r>
        <w:rPr>
          <w:rFonts w:hint="eastAsia" w:ascii="宋体" w:hAnsi="宋体" w:eastAsia="宋体" w:cs="宋体"/>
          <w:sz w:val="21"/>
          <w:szCs w:val="21"/>
        </w:rPr>
        <w:t>热量与温升的关系，通过测量进出口温差计算转化率。其优点是不需气体取样分析，响应速度快，可用于在线监测；缺点是需要准确的气体热容数据和良好的保温条件，精度</w:t>
      </w:r>
      <w:r>
        <w:rPr>
          <w:rFonts w:hint="eastAsia" w:ascii="宋体" w:hAnsi="宋体" w:eastAsia="宋体" w:cs="宋体"/>
          <w:sz w:val="21"/>
          <w:szCs w:val="21"/>
          <w:lang w:val="en-US" w:eastAsia="zh-CN"/>
        </w:rPr>
        <w:t>略</w:t>
      </w:r>
      <w:r>
        <w:rPr>
          <w:rFonts w:hint="eastAsia" w:ascii="宋体" w:hAnsi="宋体" w:eastAsia="宋体" w:cs="宋体"/>
          <w:sz w:val="21"/>
          <w:szCs w:val="21"/>
        </w:rPr>
        <w:t>低于化学分析法。</w:t>
      </w:r>
      <w:bookmarkStart w:id="4" w:name="OLE_LINK11"/>
      <w:r>
        <w:rPr>
          <w:rFonts w:hint="eastAsia" w:ascii="宋体" w:hAnsi="宋体" w:eastAsia="宋体" w:cs="宋体"/>
          <w:sz w:val="21"/>
          <w:szCs w:val="21"/>
        </w:rPr>
        <w:t>气体分析法与热量平衡</w:t>
      </w:r>
      <w:r>
        <w:rPr>
          <w:rFonts w:hint="eastAsia" w:ascii="宋体" w:hAnsi="宋体" w:eastAsia="宋体" w:cs="宋体"/>
          <w:sz w:val="21"/>
          <w:szCs w:val="21"/>
          <w:lang w:val="en-US" w:eastAsia="zh-CN"/>
        </w:rPr>
        <w:t>计算</w:t>
      </w:r>
      <w:r>
        <w:rPr>
          <w:rFonts w:hint="eastAsia" w:ascii="宋体" w:hAnsi="宋体" w:eastAsia="宋体" w:cs="宋体"/>
          <w:sz w:val="21"/>
          <w:szCs w:val="21"/>
        </w:rPr>
        <w:t>法相互对照验证，可显著提高转化率测定结果的可靠性</w:t>
      </w:r>
      <w:r>
        <w:rPr>
          <w:rFonts w:hint="eastAsia" w:ascii="宋体" w:hAnsi="宋体" w:eastAsia="宋体" w:cs="宋体"/>
          <w:sz w:val="21"/>
          <w:szCs w:val="21"/>
          <w:lang w:eastAsia="zh-CN"/>
        </w:rPr>
        <w:t>，</w:t>
      </w:r>
      <w:r>
        <w:rPr>
          <w:rFonts w:hint="eastAsia" w:ascii="宋体" w:hAnsi="宋体" w:eastAsia="宋体" w:cs="宋体"/>
          <w:sz w:val="21"/>
          <w:szCs w:val="21"/>
        </w:rPr>
        <w:t>两种方法可互为补充与验证。</w:t>
      </w:r>
      <w:bookmarkEnd w:id="4"/>
    </w:p>
    <w:p w14:paraId="69476C2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5结论</w:t>
      </w:r>
    </w:p>
    <w:p w14:paraId="465556F6">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二氧化硫转化率计算公式的选择必须与气体分析流程相匹配。忽略体积收缩和SO₃吸收的简化公式（</w:t>
      </w:r>
      <w:r>
        <w:rPr>
          <w:rFonts w:hint="eastAsia" w:ascii="宋体" w:hAnsi="宋体" w:eastAsia="宋体" w:cs="宋体"/>
          <w:sz w:val="21"/>
          <w:szCs w:val="21"/>
          <w:lang w:val="en-US" w:eastAsia="zh-CN"/>
        </w:rPr>
        <w:t>9</w:t>
      </w:r>
      <w:r>
        <w:rPr>
          <w:rFonts w:hint="eastAsia" w:ascii="宋体" w:hAnsi="宋体" w:eastAsia="宋体" w:cs="宋体"/>
          <w:sz w:val="21"/>
          <w:szCs w:val="21"/>
        </w:rPr>
        <w:t>）存在显著系统误差，不</w:t>
      </w:r>
      <w:r>
        <w:rPr>
          <w:rFonts w:hint="eastAsia" w:ascii="宋体" w:hAnsi="宋体" w:eastAsia="宋体" w:cs="宋体"/>
          <w:sz w:val="21"/>
          <w:szCs w:val="21"/>
          <w:lang w:val="en-US" w:eastAsia="zh-CN"/>
        </w:rPr>
        <w:t>适</w:t>
      </w:r>
      <w:r>
        <w:rPr>
          <w:rFonts w:hint="eastAsia" w:ascii="宋体" w:hAnsi="宋体" w:eastAsia="宋体" w:cs="宋体"/>
          <w:sz w:val="21"/>
          <w:szCs w:val="21"/>
        </w:rPr>
        <w:t>于工业生产控制。</w:t>
      </w:r>
    </w:p>
    <w:p w14:paraId="24C49026">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完整的工程计算公式</w:t>
      </w:r>
      <w:r>
        <w:rPr>
          <w:rFonts w:hint="eastAsia" w:ascii="宋体" w:hAnsi="宋体" w:eastAsia="宋体" w:cs="宋体"/>
          <w:sz w:val="21"/>
          <w:szCs w:val="21"/>
          <w:lang w:val="en-US" w:eastAsia="zh-CN"/>
        </w:rPr>
        <w:t>(11)</w:t>
      </w:r>
      <w:r>
        <w:rPr>
          <w:rFonts w:hint="eastAsia" w:ascii="宋体" w:hAnsi="宋体" w:eastAsia="宋体" w:cs="宋体"/>
          <w:sz w:val="21"/>
          <w:szCs w:val="21"/>
        </w:rPr>
        <w:t>通过严格的物料衡算</w:t>
      </w:r>
      <w:r>
        <w:rPr>
          <w:rFonts w:hint="eastAsia" w:ascii="宋体" w:hAnsi="宋体" w:eastAsia="宋体" w:cs="宋体"/>
          <w:sz w:val="21"/>
          <w:szCs w:val="21"/>
          <w:lang w:val="en-US" w:eastAsia="zh-CN"/>
        </w:rPr>
        <w:t>推</w:t>
      </w:r>
      <w:r>
        <w:rPr>
          <w:rFonts w:hint="eastAsia" w:ascii="宋体" w:hAnsi="宋体" w:eastAsia="宋体" w:cs="宋体"/>
          <w:sz w:val="21"/>
          <w:szCs w:val="21"/>
        </w:rPr>
        <w:t>导</w:t>
      </w:r>
      <w:r>
        <w:rPr>
          <w:rFonts w:hint="eastAsia" w:ascii="宋体" w:hAnsi="宋体" w:eastAsia="宋体" w:cs="宋体"/>
          <w:sz w:val="21"/>
          <w:szCs w:val="21"/>
          <w:lang w:val="en-US" w:eastAsia="zh-CN"/>
        </w:rPr>
        <w:t>得</w:t>
      </w:r>
      <w:r>
        <w:rPr>
          <w:rFonts w:hint="eastAsia" w:ascii="宋体" w:hAnsi="宋体" w:eastAsia="宋体" w:cs="宋体"/>
          <w:sz w:val="21"/>
          <w:szCs w:val="21"/>
        </w:rPr>
        <w:t>出，系数0.015准确反映了反应收缩（贡献0.005）与SO₃吸收（贡献0.01）的双重体积效应，是硫酸工业测定转化率的</w:t>
      </w:r>
      <w:r>
        <w:rPr>
          <w:rFonts w:hint="eastAsia" w:ascii="宋体" w:hAnsi="宋体" w:eastAsia="宋体" w:cs="宋体"/>
          <w:sz w:val="21"/>
          <w:szCs w:val="21"/>
          <w:lang w:val="en-US" w:eastAsia="zh-CN"/>
        </w:rPr>
        <w:t>比较精确</w:t>
      </w:r>
      <w:r>
        <w:rPr>
          <w:rFonts w:hint="eastAsia" w:ascii="宋体" w:hAnsi="宋体" w:eastAsia="宋体" w:cs="宋体"/>
          <w:sz w:val="21"/>
          <w:szCs w:val="21"/>
        </w:rPr>
        <w:t>方法。</w:t>
      </w:r>
    </w:p>
    <w:p w14:paraId="4AF0144E">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典型工况数据对比</w:t>
      </w:r>
      <w:r>
        <w:rPr>
          <w:rFonts w:hint="eastAsia" w:ascii="宋体" w:hAnsi="宋体" w:eastAsia="宋体" w:cs="宋体"/>
          <w:sz w:val="21"/>
          <w:szCs w:val="21"/>
          <w:lang w:val="en-US" w:eastAsia="zh-CN"/>
        </w:rPr>
        <w:t>3.2</w:t>
      </w:r>
      <w:r>
        <w:rPr>
          <w:rFonts w:hint="eastAsia" w:ascii="宋体" w:hAnsi="宋体" w:eastAsia="宋体" w:cs="宋体"/>
          <w:sz w:val="21"/>
          <w:szCs w:val="21"/>
        </w:rPr>
        <w:t>表明，在</w:t>
      </w:r>
      <w:r>
        <w:rPr>
          <w:rFonts w:hint="eastAsia" w:ascii="宋体" w:hAnsi="宋体" w:eastAsia="宋体" w:cs="宋体"/>
          <w:sz w:val="21"/>
          <w:szCs w:val="21"/>
          <w:lang w:val="en-US" w:eastAsia="zh-CN"/>
        </w:rPr>
        <w:t>正常工况负荷</w:t>
      </w:r>
      <w:r>
        <w:rPr>
          <w:rFonts w:hint="eastAsia" w:ascii="宋体" w:hAnsi="宋体" w:eastAsia="宋体" w:cs="宋体"/>
          <w:sz w:val="21"/>
          <w:szCs w:val="21"/>
        </w:rPr>
        <w:t>时，简化公式的计算值比真实转化率偏低</w:t>
      </w:r>
      <w:r>
        <w:rPr>
          <w:rFonts w:hint="eastAsia" w:ascii="宋体" w:hAnsi="宋体" w:eastAsia="宋体" w:cs="宋体"/>
          <w:sz w:val="21"/>
          <w:szCs w:val="21"/>
          <w:lang w:val="en-US" w:eastAsia="zh-CN"/>
        </w:rPr>
        <w:t>4.32</w:t>
      </w:r>
      <w:r>
        <w:rPr>
          <w:rFonts w:hint="eastAsia" w:ascii="宋体" w:hAnsi="宋体" w:eastAsia="宋体" w:cs="宋体"/>
          <w:sz w:val="21"/>
          <w:szCs w:val="21"/>
        </w:rPr>
        <w:t>个百分点以上，这一偏差足以对装置操作与效益核算产生误导。</w:t>
      </w:r>
    </w:p>
    <w:p w14:paraId="12250EC9">
      <w:pPr>
        <w:keepNext w:val="0"/>
        <w:keepLines w:val="0"/>
        <w:pageBreakBefore w:val="0"/>
        <w:widowControl w:val="0"/>
        <w:kinsoku/>
        <w:wordWrap/>
        <w:overflowPunct/>
        <w:topLinePunct w:val="0"/>
        <w:autoSpaceDE/>
        <w:autoSpaceDN/>
        <w:bidi w:val="0"/>
        <w:adjustRightInd/>
        <w:snapToGrid/>
        <w:spacing w:line="400" w:lineRule="exact"/>
        <w:ind w:firstLine="359" w:firstLineChars="171"/>
        <w:jc w:val="left"/>
        <w:textAlignment w:val="auto"/>
        <w:rPr>
          <w:rFonts w:hint="eastAsia" w:ascii="宋体" w:hAnsi="宋体" w:eastAsia="宋体" w:cs="宋体"/>
          <w:sz w:val="21"/>
          <w:szCs w:val="21"/>
        </w:rPr>
      </w:pPr>
      <w:r>
        <w:rPr>
          <w:rFonts w:hint="eastAsia" w:ascii="宋体" w:hAnsi="宋体" w:eastAsia="宋体" w:cs="宋体"/>
          <w:sz w:val="21"/>
          <w:szCs w:val="21"/>
        </w:rPr>
        <w:t>建议硫酸生产企业在转化率测定中采用工程计算公式</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11</w:t>
      </w:r>
      <w:r>
        <w:rPr>
          <w:rFonts w:hint="eastAsia" w:ascii="宋体" w:hAnsi="宋体" w:eastAsia="宋体" w:cs="宋体"/>
          <w:sz w:val="21"/>
          <w:szCs w:val="21"/>
          <w:lang w:eastAsia="zh-CN"/>
        </w:rPr>
        <w:t>）</w:t>
      </w:r>
      <w:r>
        <w:rPr>
          <w:rFonts w:hint="eastAsia" w:ascii="宋体" w:hAnsi="宋体" w:eastAsia="宋体" w:cs="宋体"/>
          <w:sz w:val="21"/>
          <w:szCs w:val="21"/>
        </w:rPr>
        <w:t>，并定期校验分析仪器的准确性，确保生产</w:t>
      </w:r>
      <w:r>
        <w:rPr>
          <w:rFonts w:hint="eastAsia" w:ascii="宋体" w:hAnsi="宋体" w:eastAsia="宋体" w:cs="宋体"/>
          <w:sz w:val="21"/>
          <w:szCs w:val="21"/>
          <w:lang w:val="en-US" w:eastAsia="zh-CN"/>
        </w:rPr>
        <w:t>工艺的可控和</w:t>
      </w:r>
      <w:r>
        <w:rPr>
          <w:rFonts w:hint="eastAsia" w:ascii="宋体" w:hAnsi="宋体" w:eastAsia="宋体" w:cs="宋体"/>
          <w:sz w:val="21"/>
          <w:szCs w:val="21"/>
        </w:rPr>
        <w:t>指标的真实可靠。</w:t>
      </w:r>
    </w:p>
    <w:p w14:paraId="15C96ED9">
      <w:pPr>
        <w:keepNext w:val="0"/>
        <w:keepLines w:val="0"/>
        <w:pageBreakBefore w:val="0"/>
        <w:widowControl w:val="0"/>
        <w:kinsoku/>
        <w:wordWrap/>
        <w:overflowPunct/>
        <w:topLinePunct w:val="0"/>
        <w:autoSpaceDE/>
        <w:autoSpaceDN/>
        <w:bidi w:val="0"/>
        <w:adjustRightInd/>
        <w:snapToGrid/>
        <w:spacing w:line="400" w:lineRule="exact"/>
        <w:ind w:firstLine="371" w:firstLineChars="177"/>
        <w:textAlignment w:val="auto"/>
        <w:rPr>
          <w:rFonts w:hint="eastAsia" w:ascii="宋体" w:hAnsi="宋体" w:eastAsia="宋体" w:cs="宋体"/>
          <w:sz w:val="21"/>
          <w:szCs w:val="21"/>
          <w:lang w:val="en-US" w:eastAsia="zh-CN"/>
        </w:rPr>
      </w:pPr>
    </w:p>
    <w:p w14:paraId="263747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sz w:val="21"/>
          <w:szCs w:val="21"/>
        </w:rPr>
      </w:pPr>
      <w:bookmarkStart w:id="5" w:name="OLE_LINK1"/>
      <w:r>
        <w:rPr>
          <w:rFonts w:hint="eastAsia" w:ascii="宋体" w:hAnsi="宋体" w:eastAsia="宋体" w:cs="宋体"/>
          <w:b/>
          <w:bCs/>
          <w:sz w:val="21"/>
          <w:szCs w:val="21"/>
        </w:rPr>
        <w:t>参考文献</w:t>
      </w:r>
    </w:p>
    <w:p w14:paraId="090A3CA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［1］</w:t>
      </w:r>
      <w:bookmarkEnd w:id="5"/>
      <w:bookmarkStart w:id="6" w:name="OLE_LINK4"/>
      <w:r>
        <w:rPr>
          <w:rFonts w:hint="eastAsia" w:ascii="宋体" w:hAnsi="宋体" w:eastAsia="宋体" w:cs="宋体"/>
          <w:sz w:val="21"/>
          <w:szCs w:val="21"/>
        </w:rPr>
        <w:t>廖康程</w:t>
      </w:r>
      <w:r>
        <w:rPr>
          <w:rFonts w:hint="eastAsia" w:ascii="宋体" w:hAnsi="宋体" w:eastAsia="宋体" w:cs="宋体"/>
          <w:sz w:val="21"/>
          <w:szCs w:val="21"/>
          <w:lang w:val="en-US" w:eastAsia="zh-CN"/>
        </w:rPr>
        <w:t>.</w:t>
      </w:r>
      <w:bookmarkStart w:id="7" w:name="OLE_LINK3"/>
      <w:r>
        <w:rPr>
          <w:rFonts w:hint="eastAsia" w:ascii="宋体" w:hAnsi="宋体" w:eastAsia="宋体" w:cs="宋体"/>
          <w:sz w:val="21"/>
          <w:szCs w:val="21"/>
        </w:rPr>
        <w:t>2024年我国硫酸行业运行情况及展望</w:t>
      </w:r>
      <w:bookmarkEnd w:id="7"/>
      <w:r>
        <w:rPr>
          <w:rFonts w:hint="eastAsia" w:ascii="宋体" w:hAnsi="宋体" w:eastAsia="宋体" w:cs="宋体"/>
          <w:sz w:val="21"/>
          <w:szCs w:val="21"/>
        </w:rPr>
        <w:t>[J].生态产业科学与磷氟工程，2025</w:t>
      </w:r>
      <w:r>
        <w:rPr>
          <w:rFonts w:hint="eastAsia" w:ascii="宋体" w:hAnsi="宋体" w:eastAsia="宋体" w:cs="宋体"/>
          <w:sz w:val="21"/>
          <w:szCs w:val="21"/>
          <w:lang w:val="en-US" w:eastAsia="zh-CN"/>
        </w:rPr>
        <w:t xml:space="preserve"> 40</w:t>
      </w:r>
      <w:r>
        <w:rPr>
          <w:rFonts w:hint="eastAsia" w:ascii="宋体" w:hAnsi="宋体" w:eastAsia="宋体" w:cs="宋体"/>
          <w:sz w:val="21"/>
          <w:szCs w:val="21"/>
        </w:rPr>
        <w:t>（</w:t>
      </w:r>
      <w:r>
        <w:rPr>
          <w:rFonts w:hint="eastAsia" w:ascii="宋体" w:hAnsi="宋体" w:eastAsia="宋体" w:cs="宋体"/>
          <w:sz w:val="21"/>
          <w:szCs w:val="21"/>
          <w:lang w:val="en-US" w:eastAsia="zh-CN"/>
        </w:rPr>
        <w:t>6</w:t>
      </w: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w:t>
      </w:r>
      <w:r>
        <w:rPr>
          <w:rFonts w:hint="eastAsia" w:ascii="宋体" w:hAnsi="宋体" w:eastAsia="宋体" w:cs="宋体"/>
          <w:sz w:val="21"/>
          <w:szCs w:val="21"/>
          <w:lang w:val="en-US" w:eastAsia="zh-CN"/>
        </w:rPr>
        <w:t>7.</w:t>
      </w:r>
      <w:bookmarkEnd w:id="6"/>
    </w:p>
    <w:p w14:paraId="7A1E403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［2］国家环境保护总局.固定污染源排气中二氧化硫的测定 电位电解法：HJ/T57-2000［S］.</w:t>
      </w:r>
    </w:p>
    <w:p w14:paraId="3E3E20B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bookmarkStart w:id="8" w:name="OLE_LINK5"/>
      <w:r>
        <w:rPr>
          <w:rFonts w:hint="eastAsia" w:ascii="宋体" w:hAnsi="宋体" w:eastAsia="宋体" w:cs="宋体"/>
          <w:sz w:val="21"/>
          <w:szCs w:val="21"/>
          <w:lang w:val="en-US" w:eastAsia="zh-CN"/>
        </w:rPr>
        <w:t>杨海东.便携式色谱分析仪在硫酸装置转化率测定上的应用[J].硫酸工业</w:t>
      </w:r>
      <w:r>
        <w:rPr>
          <w:rFonts w:hint="eastAsia" w:ascii="宋体" w:hAnsi="宋体" w:eastAsia="宋体" w:cs="宋体"/>
          <w:sz w:val="21"/>
          <w:szCs w:val="21"/>
        </w:rPr>
        <w:t>，20</w:t>
      </w:r>
      <w:r>
        <w:rPr>
          <w:rFonts w:hint="eastAsia" w:ascii="宋体" w:hAnsi="宋体" w:eastAsia="宋体" w:cs="宋体"/>
          <w:sz w:val="21"/>
          <w:szCs w:val="21"/>
          <w:lang w:val="en-US" w:eastAsia="zh-CN"/>
        </w:rPr>
        <w:t>18</w:t>
      </w:r>
      <w:r>
        <w:rPr>
          <w:rFonts w:hint="eastAsia" w:ascii="宋体" w:hAnsi="宋体" w:eastAsia="宋体" w:cs="宋体"/>
          <w:sz w:val="21"/>
          <w:szCs w:val="21"/>
        </w:rPr>
        <w:t>（</w:t>
      </w:r>
      <w:r>
        <w:rPr>
          <w:rFonts w:hint="eastAsia" w:ascii="宋体" w:hAnsi="宋体" w:eastAsia="宋体" w:cs="宋体"/>
          <w:sz w:val="21"/>
          <w:szCs w:val="21"/>
          <w:lang w:val="en-US" w:eastAsia="zh-CN"/>
        </w:rPr>
        <w:t>12</w:t>
      </w:r>
      <w:r>
        <w:rPr>
          <w:rFonts w:hint="eastAsia" w:ascii="宋体" w:hAnsi="宋体" w:eastAsia="宋体" w:cs="宋体"/>
          <w:sz w:val="21"/>
          <w:szCs w:val="21"/>
        </w:rPr>
        <w:t>）</w:t>
      </w:r>
      <w:r>
        <w:rPr>
          <w:rFonts w:hint="eastAsia" w:ascii="宋体" w:hAnsi="宋体" w:eastAsia="宋体" w:cs="宋体"/>
          <w:sz w:val="21"/>
          <w:szCs w:val="21"/>
          <w:lang w:val="en-US" w:eastAsia="zh-CN"/>
        </w:rPr>
        <w:t>：18</w:t>
      </w:r>
      <w:r>
        <w:rPr>
          <w:rFonts w:hint="eastAsia" w:ascii="宋体" w:hAnsi="宋体" w:eastAsia="宋体" w:cs="宋体"/>
          <w:sz w:val="21"/>
          <w:szCs w:val="21"/>
        </w:rPr>
        <w:t>-</w:t>
      </w:r>
      <w:r>
        <w:rPr>
          <w:rFonts w:hint="eastAsia" w:ascii="宋体" w:hAnsi="宋体" w:eastAsia="宋体" w:cs="宋体"/>
          <w:sz w:val="21"/>
          <w:szCs w:val="21"/>
          <w:lang w:val="en-US" w:eastAsia="zh-CN"/>
        </w:rPr>
        <w:t>20.</w:t>
      </w:r>
      <w:bookmarkEnd w:id="8"/>
    </w:p>
    <w:p w14:paraId="726A58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［4］黄正杰 李明荣.</w:t>
      </w:r>
      <w:bookmarkStart w:id="9" w:name="OLE_LINK9"/>
      <w:r>
        <w:rPr>
          <w:rFonts w:hint="eastAsia" w:ascii="宋体" w:hAnsi="宋体" w:eastAsia="宋体" w:cs="宋体"/>
          <w:sz w:val="21"/>
          <w:szCs w:val="21"/>
          <w:lang w:val="en-US" w:eastAsia="zh-CN"/>
        </w:rPr>
        <w:t>硫黄制酸装置SO</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lang w:val="en-US" w:eastAsia="zh-CN"/>
        </w:rPr>
        <w:t>浓度的获取方法及其控制对蒸汽产率的影响</w:t>
      </w:r>
      <w:bookmarkEnd w:id="9"/>
      <w:r>
        <w:rPr>
          <w:rFonts w:hint="eastAsia" w:ascii="宋体" w:hAnsi="宋体" w:eastAsia="宋体" w:cs="宋体"/>
          <w:sz w:val="21"/>
          <w:szCs w:val="21"/>
          <w:lang w:val="en-US" w:eastAsia="zh-CN"/>
        </w:rPr>
        <w:t>[J].磷肥与复肥，2014（3）：49-51.</w:t>
      </w:r>
    </w:p>
    <w:p w14:paraId="6C897CE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229CA"/>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3E71C7"/>
    <w:rsid w:val="076E5F7E"/>
    <w:rsid w:val="07726BE5"/>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1F167B0"/>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6D927DD"/>
    <w:rsid w:val="17836BED"/>
    <w:rsid w:val="178C5AA1"/>
    <w:rsid w:val="17AD77C6"/>
    <w:rsid w:val="180933FC"/>
    <w:rsid w:val="185C6006"/>
    <w:rsid w:val="18616F2E"/>
    <w:rsid w:val="191221DB"/>
    <w:rsid w:val="19235F91"/>
    <w:rsid w:val="19800B64"/>
    <w:rsid w:val="19836A30"/>
    <w:rsid w:val="199944A6"/>
    <w:rsid w:val="19FD4A34"/>
    <w:rsid w:val="1A533F79"/>
    <w:rsid w:val="1A5A1E87"/>
    <w:rsid w:val="1B090296"/>
    <w:rsid w:val="1B2F179A"/>
    <w:rsid w:val="1B6F3710"/>
    <w:rsid w:val="1C250273"/>
    <w:rsid w:val="1CFA0092"/>
    <w:rsid w:val="1D01483C"/>
    <w:rsid w:val="1D5D57EA"/>
    <w:rsid w:val="1E171E3D"/>
    <w:rsid w:val="1EBA2EF4"/>
    <w:rsid w:val="1EC41FC5"/>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AF94DA4"/>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02092"/>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30EB6"/>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6622F9"/>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925F0D"/>
    <w:rsid w:val="47A143DA"/>
    <w:rsid w:val="47DB78B4"/>
    <w:rsid w:val="47E81E53"/>
    <w:rsid w:val="48A028AB"/>
    <w:rsid w:val="48B545A9"/>
    <w:rsid w:val="49596459"/>
    <w:rsid w:val="495C0DBE"/>
    <w:rsid w:val="49CB1BAA"/>
    <w:rsid w:val="4A070E34"/>
    <w:rsid w:val="4A4F4589"/>
    <w:rsid w:val="4AB60164"/>
    <w:rsid w:val="4AEF3676"/>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AAE2C06"/>
    <w:rsid w:val="5B0311A3"/>
    <w:rsid w:val="5BB5218E"/>
    <w:rsid w:val="5BFE5E0F"/>
    <w:rsid w:val="5CAA564F"/>
    <w:rsid w:val="5E361890"/>
    <w:rsid w:val="5EDA046D"/>
    <w:rsid w:val="5EE237C6"/>
    <w:rsid w:val="5EFF7ED4"/>
    <w:rsid w:val="5F7679C4"/>
    <w:rsid w:val="5F7F2DC3"/>
    <w:rsid w:val="5FBF1411"/>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4F0FB6"/>
    <w:rsid w:val="64754794"/>
    <w:rsid w:val="64FD7B2B"/>
    <w:rsid w:val="657B402C"/>
    <w:rsid w:val="65C07C91"/>
    <w:rsid w:val="66CA526B"/>
    <w:rsid w:val="67C12792"/>
    <w:rsid w:val="67DD0FCE"/>
    <w:rsid w:val="687436E1"/>
    <w:rsid w:val="687A681D"/>
    <w:rsid w:val="68D73C6F"/>
    <w:rsid w:val="690B56C7"/>
    <w:rsid w:val="6958090C"/>
    <w:rsid w:val="696A4D66"/>
    <w:rsid w:val="69867965"/>
    <w:rsid w:val="699456BD"/>
    <w:rsid w:val="6A4E3ABD"/>
    <w:rsid w:val="6A9A31A7"/>
    <w:rsid w:val="6AD06BC8"/>
    <w:rsid w:val="6B3929BF"/>
    <w:rsid w:val="6B3D425E"/>
    <w:rsid w:val="6B431148"/>
    <w:rsid w:val="6B56531F"/>
    <w:rsid w:val="6B575C91"/>
    <w:rsid w:val="6B853F18"/>
    <w:rsid w:val="6BB8040C"/>
    <w:rsid w:val="6C573E8B"/>
    <w:rsid w:val="6C5C6966"/>
    <w:rsid w:val="6C6E5E1A"/>
    <w:rsid w:val="6C8E2897"/>
    <w:rsid w:val="6CDF30F3"/>
    <w:rsid w:val="6D282CEC"/>
    <w:rsid w:val="6D921E65"/>
    <w:rsid w:val="6DF606F4"/>
    <w:rsid w:val="6E267136"/>
    <w:rsid w:val="6E2D67FA"/>
    <w:rsid w:val="6E6E0BD2"/>
    <w:rsid w:val="6E91041D"/>
    <w:rsid w:val="6ECB392F"/>
    <w:rsid w:val="6F1F3C7A"/>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9B3F3B"/>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886E8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03F5F"/>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9.bin"/><Relationship Id="rId17" Type="http://schemas.openxmlformats.org/officeDocument/2006/relationships/oleObject" Target="embeddings/oleObject8.bin"/><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4414</Words>
  <Characters>6167</Characters>
  <Lines>35</Lines>
  <Paragraphs>9</Paragraphs>
  <TotalTime>47</TotalTime>
  <ScaleCrop>false</ScaleCrop>
  <LinksUpToDate>false</LinksUpToDate>
  <CharactersWithSpaces>6539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2026-05-27T02:01:00Z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eyJoZGlkIjoiMDc5ZmMwZTNkY2FjMjU1Y2Y4ZTlkNzhjNmI4MDEyNjciLCJ1c2VySWQiOiI0NDQ3MDkxMjgifQ==</vt:lpwstr>
  </property>
</Properties>
</file>